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200" w:after="283"/>
        <w:jc w:val="center"/>
        <w:rPr>
          <w:rFonts w:ascii="Times New Roman;sans-serif" w:hAnsi="Times New Roman;sans-serif"/>
          <w:b/>
          <w:color w:val="000000"/>
          <w:sz w:val="22"/>
        </w:rPr>
      </w:pPr>
      <w:r>
        <w:rPr>
          <w:rFonts w:ascii="Times New Roman;sans-serif" w:hAnsi="Times New Roman;sans-serif"/>
          <w:b/>
          <w:color w:val="000000"/>
          <w:sz w:val="22"/>
        </w:rPr>
        <w:t>FORM 10-Q</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2024</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001-39729</w:t>
      </w:r>
    </w:p>
    <w:p>
      <w:pPr>
        <w:pStyle w:val="TextBody"/>
        <w:bidi w:val="0"/>
        <w:spacing w:before="120" w:after="283"/>
        <w:jc w:val="center"/>
        <w:rPr/>
      </w:pPr>
      <w:r>
        <w:rPr/>
        <w:drawing>
          <wp:inline distT="0" distB="0" distL="0" distR="0">
            <wp:extent cx="145732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7325" cy="476250"/>
                    </a:xfrm>
                    <a:prstGeom prst="rect">
                      <a:avLst/>
                    </a:prstGeom>
                  </pic:spPr>
                </pic:pic>
              </a:graphicData>
            </a:graphic>
          </wp:inline>
        </w:drawing>
      </w:r>
    </w:p>
    <w:p>
      <w:pPr>
        <w:pStyle w:val="TextBody"/>
        <w:bidi w:val="0"/>
        <w:spacing w:lineRule="auto" w:line="288" w:before="120" w:after="283"/>
        <w:jc w:val="center"/>
        <w:rPr>
          <w:rFonts w:ascii="Times New Roman;sans-serif" w:hAnsi="Times New Roman;sans-serif"/>
          <w:b/>
          <w:color w:val="000000"/>
          <w:sz w:val="34"/>
        </w:rPr>
      </w:pPr>
      <w:r>
        <w:rPr>
          <w:rFonts w:ascii="Times New Roman;sans-serif" w:hAnsi="Times New Roman;sans-serif"/>
          <w:b/>
          <w:color w:val="000000"/>
          <w:sz w:val="34"/>
        </w:rPr>
        <w:t>SOTERA HEALTH COMPANY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359"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286"/>
        <w:gridCol w:w="286"/>
        <w:gridCol w:w="286"/>
        <w:gridCol w:w="286"/>
        <w:gridCol w:w="286"/>
        <w:gridCol w:w="286"/>
        <w:gridCol w:w="286"/>
        <w:gridCol w:w="286"/>
        <w:gridCol w:w="424"/>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47-3531161</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9100 South Hills Blvd, Suite 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Broadview Heights, 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44147</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(440)</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262-1410</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382" w:type="dxa"/>
        <w:jc w:val="left"/>
        <w:tblInd w:w="0" w:type="dxa"/>
        <w:tblLayout w:type="fixed"/>
        <w:tblCellMar>
          <w:top w:w="28" w:type="dxa"/>
          <w:left w:w="28" w:type="dxa"/>
          <w:bottom w:w="28" w:type="dxa"/>
          <w:right w:w="28" w:type="dxa"/>
        </w:tblCellMar>
      </w:tblPr>
      <w:tblGrid>
        <w:gridCol w:w="1209"/>
        <w:gridCol w:w="1064"/>
        <w:gridCol w:w="1071"/>
        <w:gridCol w:w="519"/>
        <w:gridCol w:w="519"/>
        <w:gridCol w:w="521"/>
        <w:gridCol w:w="1019"/>
        <w:gridCol w:w="1019"/>
        <w:gridCol w:w="1441"/>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$0.01 par value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SHC</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bl>
    <w:p>
      <w:pPr>
        <w:pStyle w:val="TextBody"/>
        <w:bidi w:val="0"/>
        <w:spacing w:lineRule="auto" w:line="288" w:before="200" w:after="283"/>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lineRule="auto" w:line="288" w:before="20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200" w:after="283"/>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pPr>
      <w:r>
        <w:rPr>
          <w:rFonts w:ascii="Times New Roman;sans-serif" w:hAnsi="Times New Roman;sans-serif"/>
          <w:b w:val="false"/>
          <w:color w:val="000000"/>
          <w:sz w:val="18"/>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8"/>
        </w:rPr>
        <w:t xml:space="preserve">Yes   </w:t>
      </w:r>
      <w:r>
        <w:rPr>
          <w:color w:val="000000"/>
        </w:rPr>
        <w:t>☒ </w:t>
      </w:r>
      <w:r>
        <w:rPr>
          <w:rFonts w:ascii="Times New Roman;sans-serif" w:hAnsi="Times New Roman;sans-serif"/>
          <w:b w:val="false"/>
          <w:color w:val="000000"/>
          <w:sz w:val="18"/>
        </w:rPr>
        <w:t>No</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of April 25, 2024, there were 283,070,826 shares of the registrant’s common stock, $0.01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SOTERA HEALTH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TABLE OF CONTENTS -</w:t>
      </w:r>
    </w:p>
    <w:tbl>
      <w:tblPr>
        <w:tblW w:w="8351" w:type="dxa"/>
        <w:jc w:val="left"/>
        <w:tblInd w:w="0" w:type="dxa"/>
        <w:tblLayout w:type="fixed"/>
        <w:tblCellMar>
          <w:top w:w="28" w:type="dxa"/>
          <w:left w:w="28" w:type="dxa"/>
          <w:bottom w:w="28" w:type="dxa"/>
          <w:right w:w="28" w:type="dxa"/>
        </w:tblCellMar>
      </w:tblPr>
      <w:tblGrid>
        <w:gridCol w:w="2891"/>
        <w:gridCol w:w="2539"/>
        <w:gridCol w:w="2549"/>
        <w:gridCol w:w="109"/>
        <w:gridCol w:w="109"/>
        <w:gridCol w:w="154"/>
      </w:tblGrid>
      <w:tr>
        <w:trPr/>
        <w:tc>
          <w:tcPr>
            <w:tcW w:w="2891"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be4eb4d91274a9e8d4d07e286588d83_13">
              <w:r>
                <w:rPr>
                  <w:rStyle w:val="InternetLink"/>
                  <w:rFonts w:ascii="Times New Roman;sans-serif" w:hAnsi="Times New Roman;sans-serif"/>
                  <w:b/>
                  <w:color w:val="0000FF"/>
                  <w:sz w:val="20"/>
                  <w:u w:val="single"/>
                </w:rPr>
                <w:t>Part I—FINANCIAL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7be4eb4d91274a9e8d4d07e286588d83_13">
              <w:r>
                <w:rPr>
                  <w:rStyle w:val="InternetLink"/>
                  <w:rFonts w:ascii="Times New Roman;sans-serif" w:hAnsi="Times New Roman;sans-serif"/>
                  <w:b w:val="false"/>
                  <w:color w:val="0000FF"/>
                  <w:sz w:val="20"/>
                  <w:u w:val="single"/>
                </w:rPr>
                <w:t>5</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be4eb4d91274a9e8d4d07e286588d83_16">
              <w:r>
                <w:rPr>
                  <w:rStyle w:val="InternetLink"/>
                  <w:rFonts w:ascii="Times New Roman;sans-serif" w:hAnsi="Times New Roman;sans-serif"/>
                  <w:b w:val="false"/>
                  <w:color w:val="0000FF"/>
                  <w:sz w:val="20"/>
                  <w:u w:val="single"/>
                </w:rPr>
                <w:t>Item 1.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be4eb4d91274a9e8d4d07e286588d83_16">
              <w:r>
                <w:rPr>
                  <w:rStyle w:val="InternetLink"/>
                  <w:rFonts w:ascii="Times New Roman;sans-serif" w:hAnsi="Times New Roman;sans-serif"/>
                  <w:b w:val="false"/>
                  <w:color w:val="0000FF"/>
                  <w:sz w:val="20"/>
                  <w:u w:val="single"/>
                </w:rPr>
                <w:t>5</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be4eb4d91274a9e8d4d07e286588d83_88">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7be4eb4d91274a9e8d4d07e286588d83_88">
              <w:r>
                <w:rPr>
                  <w:rStyle w:val="InternetLink"/>
                  <w:rFonts w:ascii="Times New Roman;sans-serif" w:hAnsi="Times New Roman;sans-serif"/>
                  <w:b w:val="false"/>
                  <w:color w:val="0000FF"/>
                  <w:sz w:val="20"/>
                  <w:u w:val="single"/>
                </w:rPr>
                <w:t>29</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be4eb4d91274a9e8d4d07e286588d83_115">
              <w:r>
                <w:rPr>
                  <w:rStyle w:val="InternetLink"/>
                  <w:rFonts w:ascii="Times New Roman;sans-serif" w:hAnsi="Times New Roman;sans-serif"/>
                  <w:b w:val="false"/>
                  <w:color w:val="0000FF"/>
                  <w:sz w:val="20"/>
                  <w:u w:val="single"/>
                </w:rPr>
                <w:t>Item 3. 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be4eb4d91274a9e8d4d07e286588d83_115">
              <w:r>
                <w:rPr>
                  <w:rStyle w:val="InternetLink"/>
                  <w:rFonts w:ascii="Times New Roman;sans-serif" w:hAnsi="Times New Roman;sans-serif"/>
                  <w:b w:val="false"/>
                  <w:color w:val="0000FF"/>
                  <w:sz w:val="20"/>
                  <w:u w:val="single"/>
                </w:rPr>
                <w:t>40</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be4eb4d91274a9e8d4d07e286588d83_118">
              <w:r>
                <w:rPr>
                  <w:rStyle w:val="InternetLink"/>
                  <w:rFonts w:ascii="Times New Roman;sans-serif" w:hAnsi="Times New Roman;sans-serif"/>
                  <w:b w:val="false"/>
                  <w:color w:val="0000FF"/>
                  <w:sz w:val="20"/>
                  <w:u w:val="single"/>
                </w:rPr>
                <w:t>Item 4. 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7be4eb4d91274a9e8d4d07e286588d83_118">
              <w:r>
                <w:rPr>
                  <w:rStyle w:val="InternetLink"/>
                  <w:rFonts w:ascii="Times New Roman;sans-serif" w:hAnsi="Times New Roman;sans-serif"/>
                  <w:b w:val="false"/>
                  <w:color w:val="0000FF"/>
                  <w:sz w:val="20"/>
                  <w:u w:val="single"/>
                </w:rPr>
                <w:t>40</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be4eb4d91274a9e8d4d07e286588d83_121">
              <w:r>
                <w:rPr>
                  <w:rStyle w:val="InternetLink"/>
                  <w:rFonts w:ascii="Times New Roman;sans-serif" w:hAnsi="Times New Roman;sans-serif"/>
                  <w:b/>
                  <w:color w:val="0000FF"/>
                  <w:sz w:val="20"/>
                  <w:u w:val="single"/>
                </w:rPr>
                <w:t>Part II—OTHER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be4eb4d91274a9e8d4d07e286588d83_121">
              <w:r>
                <w:rPr>
                  <w:rStyle w:val="InternetLink"/>
                  <w:rFonts w:ascii="Times New Roman;sans-serif" w:hAnsi="Times New Roman;sans-serif"/>
                  <w:b w:val="false"/>
                  <w:color w:val="0000FF"/>
                  <w:sz w:val="20"/>
                  <w:u w:val="single"/>
                </w:rPr>
                <w:t>41</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be4eb4d91274a9e8d4d07e286588d83_124">
              <w:r>
                <w:rPr>
                  <w:rStyle w:val="InternetLink"/>
                  <w:rFonts w:ascii="Times New Roman;sans-serif" w:hAnsi="Times New Roman;sans-serif"/>
                  <w:b w:val="false"/>
                  <w:color w:val="0000FF"/>
                  <w:sz w:val="20"/>
                  <w:u w:val="single"/>
                </w:rPr>
                <w:t>Item 1. 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7be4eb4d91274a9e8d4d07e286588d83_124">
              <w:r>
                <w:rPr>
                  <w:rStyle w:val="InternetLink"/>
                  <w:rFonts w:ascii="Times New Roman;sans-serif" w:hAnsi="Times New Roman;sans-serif"/>
                  <w:b w:val="false"/>
                  <w:color w:val="0000FF"/>
                  <w:sz w:val="20"/>
                  <w:u w:val="single"/>
                </w:rPr>
                <w:t>41</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be4eb4d91274a9e8d4d07e286588d83_127">
              <w:r>
                <w:rPr>
                  <w:rStyle w:val="InternetLink"/>
                  <w:rFonts w:ascii="Times New Roman;sans-serif" w:hAnsi="Times New Roman;sans-serif"/>
                  <w:b w:val="false"/>
                  <w:color w:val="000080"/>
                  <w:sz w:val="20"/>
                  <w:u w:val="single"/>
                </w:rPr>
                <w:t>Item 1A. Risk Factors</w:t>
              </w:r>
            </w:hyperlink>
            <w:hyperlink w:anchor="i7be4eb4d91274a9e8d4d07e286588d83_127">
              <w:r>
                <w:rPr>
                  <w:rStyle w:val="InternetLink"/>
                  <w:rFonts w:ascii="Times New Roman;sans-serif" w:hAnsi="Times New Roman;sans-serif"/>
                  <w:b w:val="false"/>
                  <w:color w:val="000080"/>
                  <w:sz w:val="20"/>
                  <w:u w:val="single"/>
                </w:rPr>
                <w: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be4eb4d91274a9e8d4d07e286588d83_127">
              <w:r>
                <w:rPr>
                  <w:rStyle w:val="InternetLink"/>
                  <w:rFonts w:ascii="Times New Roman;sans-serif" w:hAnsi="Times New Roman;sans-serif"/>
                  <w:b w:val="false"/>
                  <w:color w:val="0000FF"/>
                  <w:sz w:val="20"/>
                  <w:u w:val="single"/>
                </w:rPr>
                <w:t>42</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be4eb4d91274a9e8d4d07e286588d83_1099511628269">
              <w:r>
                <w:rPr>
                  <w:rStyle w:val="InternetLink"/>
                  <w:rFonts w:ascii="Times New Roman;sans-serif" w:hAnsi="Times New Roman;sans-serif"/>
                  <w:b w:val="false"/>
                  <w:color w:val="0000FF"/>
                  <w:sz w:val="20"/>
                  <w:u w:val="single"/>
                </w:rPr>
                <w:t>Item 5. 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7be4eb4d91274a9e8d4d07e286588d83_127">
              <w:r>
                <w:rPr>
                  <w:rStyle w:val="InternetLink"/>
                  <w:rFonts w:ascii="Times New Roman;sans-serif" w:hAnsi="Times New Roman;sans-serif"/>
                  <w:b w:val="false"/>
                  <w:color w:val="0000FF"/>
                  <w:sz w:val="20"/>
                  <w:u w:val="single"/>
                </w:rPr>
                <w:t>42</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be4eb4d91274a9e8d4d07e286588d83_130">
              <w:r>
                <w:rPr>
                  <w:rStyle w:val="InternetLink"/>
                  <w:rFonts w:ascii="Times New Roman;sans-serif" w:hAnsi="Times New Roman;sans-serif"/>
                  <w:b w:val="false"/>
                  <w:color w:val="000080"/>
                  <w:sz w:val="20"/>
                  <w:u w:val="single"/>
                </w:rPr>
                <w:t>Item 6. Exhibits</w:t>
              </w:r>
            </w:hyperlink>
            <w:hyperlink w:anchor="i7be4eb4d91274a9e8d4d07e286588d83_130">
              <w:r>
                <w:rPr>
                  <w:rStyle w:val="InternetLink"/>
                  <w:rFonts w:ascii="Times New Roman;sans-serif" w:hAnsi="Times New Roman;sans-serif"/>
                  <w:b w:val="false"/>
                  <w:color w:val="000080"/>
                  <w:sz w:val="20"/>
                  <w:u w:val="single"/>
                </w:rPr>
                <w: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be4eb4d91274a9e8d4d07e286588d83_130">
              <w:r>
                <w:rPr>
                  <w:rStyle w:val="InternetLink"/>
                  <w:rFonts w:ascii="Times New Roman;sans-serif" w:hAnsi="Times New Roman;sans-serif"/>
                  <w:b w:val="false"/>
                  <w:color w:val="0000FF"/>
                  <w:sz w:val="20"/>
                  <w:u w:val="single"/>
                </w:rPr>
                <w:t>43</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be4eb4d91274a9e8d4d07e286588d83_133">
              <w:r>
                <w:rPr>
                  <w:rStyle w:val="InternetLink"/>
                  <w:rFonts w:ascii="Times New Roman;sans-serif" w:hAnsi="Times New Roman;sans-serif"/>
                  <w:b/>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7be4eb4d91274a9e8d4d07e286588d83_133">
              <w:r>
                <w:rPr>
                  <w:rStyle w:val="InternetLink"/>
                  <w:rFonts w:ascii="Times New Roman;sans-serif" w:hAnsi="Times New Roman;sans-serif"/>
                  <w:b w:val="false"/>
                  <w:color w:val="0000FF"/>
                  <w:sz w:val="20"/>
                  <w:u w:val="singl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achievements, or industry results, to differ materially from historical results or any future results, performance or achievements expressed, suggested or implied by such forward-looking statements. Such risks and uncertainties include, but are not limited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and/or the European Union;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environmental, health and safety regulations or preferences, and general economic, social and business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health and safety risks associated with the use, storage, transportation and disposal of potentially hazardous materials such as EO and Co-60;</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and outcome of current and future legal proceedings and liability claims, including litigation related to the use, emissions and releases of EO from our facilities in California, Georgia, Illinois and New Mexico and the possibility that additional claims will be made in the future relating to these or other facilities;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allegations of our failure to properly perform services and potential product liability claims, recalls, penalties and reputational harm;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compliance with the extensive regulatory requirements to which we are subject, the related costs, and any failures to receive or maintain, or delays in receiving, required clearances or approvals;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 changes in industry trends;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competition we face;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 changes, including inflationary trends, that impact our long-term supply contracts with variable price clauses and increase our cost of revenues;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business continuity hazards, including supply chain disruptions and other risks associated with our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risks of doing business internationally, including global and regional economic and political instability and compliance with numerous laws and sometimes inconsistent laws and regulations in multiple jurisdictions;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increase capacity at existing facilities, build new facilities in a timely and cost-effective manner and renew leases for our leased facilities;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attract and retain qualified employees;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severe health events or environmental events;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cybersecurity breaches, unauthorized data disclosures, and our dependence on information technology systems;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inability to pursue strategic transactions, find suitable acquisition targets, or integrate strategic acquisitions into our business successfully;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maintain effective internal controls over financial reporting;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reliance on intellectual property to maintain our competitive position and the risk of claims from third parties that we have infringed or misappropriated, or are infringing or misappropriating, their intellectual property rights;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comply with rapidly evolving data privacy and security laws and regulations in various jurisdictions and any ineffective compliance efforts with such laws and regulations;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maintain profitability in the future;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impairment charges on our goodwill and other intangible assets with indefinite lives, as well as other long-lived assets and intangible assets with definite lives;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effects of unionization efforts and labor regulations in countries in which we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 changes to our tax positions in U.S. or non-U.S. jurisdictions or the interpretation and application of recent U.S. tax legislation or other changes in U.S. or non-U.S. taxation of our operations;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2023 (the “2023 10-K”).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expressly indicated or the context requires otherwise, the terms “Sotera Health,” “Company,” “we,” “us,” and “our” in this document refer to Sotera Health Company, a Delaware corporation, and, where appropriate, its subsidiaries on a consolidated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86"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656"/>
        <w:gridCol w:w="2257"/>
        <w:gridCol w:w="2266"/>
        <w:gridCol w:w="204"/>
        <w:gridCol w:w="923"/>
        <w:gridCol w:w="113"/>
        <w:gridCol w:w="109"/>
        <w:gridCol w:w="109"/>
        <w:gridCol w:w="109"/>
        <w:gridCol w:w="233"/>
        <w:gridCol w:w="1039"/>
        <w:gridCol w:w="187"/>
      </w:tblGrid>
      <w:tr>
        <w:trPr/>
        <w:tc>
          <w:tcPr>
            <w:tcW w:w="2656"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i/>
                <w:color w:val="000000"/>
                <w:sz w:val="16"/>
              </w:rPr>
            </w:pPr>
            <w:r>
              <w:rPr>
                <w:rFonts w:ascii="Times New Roman;sans-serif" w:hAnsi="Times New Roman;sans-serif"/>
                <w:b/>
                <w:i/>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261,133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296,407 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short-term</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1,687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uncollectible accounts of $3,925 and $4,689, respectively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111,069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147,696 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51,342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48,316 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53,663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53,846 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8,285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487,179</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557,244 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979,422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946,914 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22,517</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24,037 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4,883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Post-retirement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29,502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28,482 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42,881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41,242 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390,457</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416,318 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1,102,851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1,111,190 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3,059,692</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3,130,420 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equity</w:t>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61,576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71,039 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61,774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122,471 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12,882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4,808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finance lease obligations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1,490</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obligations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5,303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4,507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152,340</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230,654 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less current portion</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2,224,611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2,223,674 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obligations, less current portion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90,858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63,793 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obligations, less current portion</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19,132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 retirement obligations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48,021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47,944 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lease income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18,223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18,762 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Post-retirement obligations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8,235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liabilities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8,728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60,152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64,454 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2,630,300</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2,686,686 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See Commitments and contingencies note</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with $0.01 par value, 1,200,000 shares authorized; 286,037 shares issued at March 31, 2024 and December 31, 2023</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Preferred stock, with $0.01 par value, 120,000 authorized; no shares issued at March 31, 2024 and </w:t>
            </w:r>
          </w:p>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December 31, 2023</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(2,966 and 3,207 shares at March 31, 2024 and December 31, 2023, respectively)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(26,042)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(27,182)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1,220,547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1,215,178 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deficit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(648,117)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(654,440)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(119,856)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(92,682)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429,392</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443,734 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equity</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3,059,692</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3,130,420 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86"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and Comprehensive Income (Loss)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per share amounts)</w:t>
      </w:r>
    </w:p>
    <w:tbl>
      <w:tblPr>
        <w:tblW w:w="8468" w:type="dxa"/>
        <w:jc w:val="left"/>
        <w:tblInd w:w="0" w:type="dxa"/>
        <w:tblLayout w:type="fixed"/>
        <w:tblCellMar>
          <w:top w:w="28" w:type="dxa"/>
          <w:left w:w="28" w:type="dxa"/>
          <w:bottom w:w="28" w:type="dxa"/>
          <w:right w:w="28" w:type="dxa"/>
        </w:tblCellMar>
      </w:tblPr>
      <w:tblGrid>
        <w:gridCol w:w="2117"/>
        <w:gridCol w:w="1858"/>
        <w:gridCol w:w="1874"/>
        <w:gridCol w:w="208"/>
        <w:gridCol w:w="798"/>
        <w:gridCol w:w="115"/>
        <w:gridCol w:w="115"/>
        <w:gridCol w:w="115"/>
        <w:gridCol w:w="115"/>
        <w:gridCol w:w="208"/>
        <w:gridCol w:w="782"/>
        <w:gridCol w:w="163"/>
      </w:tblGrid>
      <w:tr>
        <w:trPr/>
        <w:tc>
          <w:tcPr>
            <w:tcW w:w="2117"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i/>
                <w:color w:val="000000"/>
                <w:sz w:val="18"/>
              </w:rPr>
            </w:pPr>
            <w:r>
              <w:rPr>
                <w:rFonts w:ascii="Times New Roman;sans-serif" w:hAnsi="Times New Roman;sans-serif"/>
                <w:b/>
                <w:i/>
                <w:color w:val="000000"/>
                <w:sz w:val="18"/>
              </w:rPr>
              <w:t>(Unaudited)</w:t>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226,481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21,695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248,176</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220,590 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 of revenues: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110,852</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10,209</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cost of revenues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121,061</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109,087 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127,115</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111,503 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58,209</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15,732</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operating expenses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73,941</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78,137 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53,174</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41,771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(gain) loss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(572)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961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11,014</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4,691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6,323</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income (loss) net of tax:</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post-retirement benefits (net of taxes of $37 and $(17), respectively)</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derivatives (net of taxes of $146 and $(3,396), respectively)</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419</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(27,706)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(loss) income</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(20,851)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share:</w:t>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0.02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0.02</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number of shares outstanding:</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281,913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284,062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282,977 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i/>
          <w:color w:val="000000"/>
          <w:sz w:val="18"/>
        </w:rPr>
        <w:t>See notes to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86"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8184" w:type="dxa"/>
        <w:jc w:val="left"/>
        <w:tblInd w:w="0" w:type="dxa"/>
        <w:tblLayout w:type="fixed"/>
        <w:tblCellMar>
          <w:top w:w="28" w:type="dxa"/>
          <w:left w:w="28" w:type="dxa"/>
          <w:bottom w:w="28" w:type="dxa"/>
          <w:right w:w="28" w:type="dxa"/>
        </w:tblCellMar>
      </w:tblPr>
      <w:tblGrid>
        <w:gridCol w:w="2067"/>
        <w:gridCol w:w="1817"/>
        <w:gridCol w:w="1831"/>
        <w:gridCol w:w="196"/>
        <w:gridCol w:w="751"/>
        <w:gridCol w:w="109"/>
        <w:gridCol w:w="109"/>
        <w:gridCol w:w="109"/>
        <w:gridCol w:w="109"/>
        <w:gridCol w:w="196"/>
        <w:gridCol w:w="736"/>
        <w:gridCol w:w="154"/>
      </w:tblGrid>
      <w:tr>
        <w:trPr/>
        <w:tc>
          <w:tcPr>
            <w:tcW w:w="206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i/>
                <w:color w:val="000000"/>
                <w:sz w:val="16"/>
              </w:rPr>
            </w:pPr>
            <w:r>
              <w:rPr>
                <w:rFonts w:ascii="Times New Roman;sans-serif" w:hAnsi="Times New Roman;sans-serif"/>
                <w:b/>
                <w:i/>
                <w:color w:val="000000"/>
                <w:sz w:val="16"/>
              </w:rPr>
              <w:t>(Unaudited)</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6,323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20,306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20,124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8,663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asset retirement obligations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foreign exchange (gain)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derivatives not designated as hedging instruments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1,833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2,535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40,569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(4,052)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(31,006)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Georgia EO litigation settlement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 /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9,699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(34,890)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(34,853)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long-term borrowings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on long-term borrowings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on revolving credit facility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debt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Buyout of leased facilities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(6,736)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(11,941)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273,916 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increase in cash and cash equivalents, including restricted cash</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(38,834)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263,886 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including restricted cash, at beginning of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301,654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including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262,820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69,735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 income taxes, net of tax refunds received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9,837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 included in accounts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15,454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86"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Equity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10358" w:type="dxa"/>
        <w:jc w:val="left"/>
        <w:tblInd w:w="0" w:type="dxa"/>
        <w:tblLayout w:type="fixed"/>
        <w:tblCellMar>
          <w:top w:w="28" w:type="dxa"/>
          <w:left w:w="28" w:type="dxa"/>
          <w:bottom w:w="28" w:type="dxa"/>
          <w:right w:w="28" w:type="dxa"/>
        </w:tblCellMar>
      </w:tblPr>
      <w:tblGrid>
        <w:gridCol w:w="664"/>
        <w:gridCol w:w="268"/>
        <w:gridCol w:w="269"/>
        <w:gridCol w:w="375"/>
        <w:gridCol w:w="376"/>
        <w:gridCol w:w="198"/>
        <w:gridCol w:w="109"/>
        <w:gridCol w:w="109"/>
        <w:gridCol w:w="109"/>
        <w:gridCol w:w="196"/>
        <w:gridCol w:w="571"/>
        <w:gridCol w:w="109"/>
        <w:gridCol w:w="109"/>
        <w:gridCol w:w="109"/>
        <w:gridCol w:w="109"/>
        <w:gridCol w:w="196"/>
        <w:gridCol w:w="661"/>
        <w:gridCol w:w="109"/>
        <w:gridCol w:w="109"/>
        <w:gridCol w:w="109"/>
        <w:gridCol w:w="109"/>
        <w:gridCol w:w="196"/>
        <w:gridCol w:w="886"/>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Additional</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Paid-In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Retained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Earnings /</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Other</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Comprehensive</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 xml:space="preserve">Total </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Common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Common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Treasury</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282,421</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(29,775)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1,189,622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(705,816)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(106,653)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350,238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6,090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11,257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derivatives,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(9,251)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2,842</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282,516</w:t>
            </w:r>
            <w:r>
              <w:rPr>
                <w:color w:val="000000"/>
              </w:rPr>
              <w:t>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(29,420)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1,195,357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(702,974)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(104,698)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361,125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58" w:type="dxa"/>
        <w:jc w:val="left"/>
        <w:tblInd w:w="0" w:type="dxa"/>
        <w:tblLayout w:type="fixed"/>
        <w:tblCellMar>
          <w:top w:w="28" w:type="dxa"/>
          <w:left w:w="28" w:type="dxa"/>
          <w:bottom w:w="28" w:type="dxa"/>
          <w:right w:w="28" w:type="dxa"/>
        </w:tblCellMar>
      </w:tblPr>
      <w:tblGrid>
        <w:gridCol w:w="664"/>
        <w:gridCol w:w="268"/>
        <w:gridCol w:w="269"/>
        <w:gridCol w:w="375"/>
        <w:gridCol w:w="376"/>
        <w:gridCol w:w="198"/>
        <w:gridCol w:w="109"/>
        <w:gridCol w:w="109"/>
        <w:gridCol w:w="109"/>
        <w:gridCol w:w="196"/>
        <w:gridCol w:w="571"/>
        <w:gridCol w:w="109"/>
        <w:gridCol w:w="109"/>
        <w:gridCol w:w="109"/>
        <w:gridCol w:w="109"/>
        <w:gridCol w:w="196"/>
        <w:gridCol w:w="661"/>
        <w:gridCol w:w="109"/>
        <w:gridCol w:w="109"/>
        <w:gridCol w:w="109"/>
        <w:gridCol w:w="109"/>
        <w:gridCol w:w="196"/>
        <w:gridCol w:w="886"/>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Additional</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Paid-In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Retained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Earnings /</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Other</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Comprehensive</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 xml:space="preserve">Total </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Common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Common</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Treasury</w:t>
            </w:r>
          </w:p>
          <w:p>
            <w:pPr>
              <w:pStyle w:val="TableContents"/>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282,830</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(27,182)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1,215,178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(654,440)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(92,682)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443,734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6,509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(27,706)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derivatives,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419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6,323</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283,071</w:t>
            </w:r>
            <w:r>
              <w:rPr>
                <w:color w:val="000000"/>
              </w:rPr>
              <w:t>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(26,042)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1,220,547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(648,117)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(119,856)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429,392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1.Basis of Presentation</w:t>
      </w:r>
    </w:p>
    <w:p>
      <w:pPr>
        <w:pStyle w:val="TextBody"/>
        <w:bidi w:val="0"/>
        <w:spacing w:lineRule="auto" w:line="288" w:before="120" w:after="283"/>
        <w:jc w:val="left"/>
        <w:rPr/>
      </w:pPr>
      <w:r>
        <w:rPr>
          <w:rFonts w:ascii="Times New Roman;sans-serif" w:hAnsi="Times New Roman;sans-serif"/>
          <w:b w:val="false"/>
          <w:i/>
          <w:color w:val="000000"/>
          <w:sz w:val="20"/>
        </w:rPr>
        <w:t>Principles of Consolidation</w:t>
      </w:r>
      <w:r>
        <w:rPr>
          <w:color w:val="000000"/>
        </w:rPr>
        <w:t xml:space="preserve"> – </w:t>
      </w:r>
      <w:r>
        <w:rPr>
          <w:rFonts w:ascii="Times New Roman;sans-serif" w:hAnsi="Times New Roman;sans-serif"/>
          <w:b w:val="false"/>
          <w:color w:val="000000"/>
          <w:sz w:val="20"/>
        </w:rPr>
        <w:t xml:space="preserve">Sotera Health Company (also referred to herein as the “Company,” “we,” “our,” “us” or “its”), is a leading global provider of mission-critical end-to-end sterilization solutions, lab testing and advisory services for the healthcare industry with operations primarily in the Americas, Europe and Asia.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and report in three segments: Sterigenics, Nordion and Nelson Labs. We describe our reportable segments in Note 16, “Segment Information”. All intercompany balances and transactions have been eliminated in consolidation.</w:t>
      </w:r>
    </w:p>
    <w:p>
      <w:pPr>
        <w:pStyle w:val="TextBody"/>
        <w:bidi w:val="0"/>
        <w:spacing w:lineRule="auto" w:line="288" w:before="240" w:after="283"/>
        <w:jc w:val="left"/>
        <w:rPr/>
      </w:pPr>
      <w:r>
        <w:rPr>
          <w:rFonts w:ascii="Times New Roman;sans-serif" w:hAnsi="Times New Roman;sans-serif"/>
          <w:b w:val="false"/>
          <w:i/>
          <w:color w:val="000000"/>
          <w:sz w:val="20"/>
        </w:rPr>
        <w:t>Use of Estimates</w:t>
      </w:r>
      <w:r>
        <w:rPr>
          <w:color w:val="000000"/>
        </w:rPr>
        <w:t xml:space="preserve"> – </w:t>
      </w:r>
      <w:r>
        <w:rPr>
          <w:rFonts w:ascii="Times New Roman;sans-serif" w:hAnsi="Times New Roman;sans-serif"/>
          <w:b w:val="false"/>
          <w:color w:val="000000"/>
          <w:sz w:val="20"/>
        </w:rPr>
        <w:t xml:space="preserve">In preparing our consolidated financial statements in conformity with U.S. Generally Accepted Accounting Principles (“GAAP”), we make estimates and assumptions that affect the amounts reported and the accompanying notes. We regularly evaluate the estimates and assumptions used and revise them as new information becomes available. Actual results may vary from those estimates. </w:t>
      </w:r>
    </w:p>
    <w:p>
      <w:pPr>
        <w:pStyle w:val="TextBody"/>
        <w:bidi w:val="0"/>
        <w:spacing w:lineRule="auto" w:line="288" w:before="240" w:after="283"/>
        <w:jc w:val="left"/>
        <w:rPr/>
      </w:pPr>
      <w:r>
        <w:rPr>
          <w:rFonts w:ascii="Times New Roman;sans-serif" w:hAnsi="Times New Roman;sans-serif"/>
          <w:b w:val="false"/>
          <w:i/>
          <w:color w:val="000000"/>
          <w:sz w:val="20"/>
        </w:rPr>
        <w:t xml:space="preserve">Interim Financial Statements </w:t>
      </w:r>
      <w:r>
        <w:rPr>
          <w:color w:val="000000"/>
        </w:rPr>
        <w:t xml:space="preserve">– </w:t>
      </w:r>
      <w:r>
        <w:rPr>
          <w:rFonts w:ascii="Times New Roman;sans-serif" w:hAnsi="Times New Roman;sans-serif"/>
          <w:b w:val="false"/>
          <w:color w:val="000000"/>
          <w:sz w:val="20"/>
        </w:rPr>
        <w:t>The accompanying consolidated financial statements include the assets, liabilities, operating results, and cash flows of the Company and its wholly owned subsidiaries. These financial statements are prepared in accordance with U.S. GAAP for interim financial information and the instructions to the Quarterly Report on Form 10-Q and Rule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have been included. These unaudited interim financial statements should be read in conjunction with the Company's annual consolidated financial statements and accompanying notes in our 2023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2.Recent Accounting Standards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Accounting Standards Updates (“ASU”) Issued But Not Yet Adopted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ASU 2023-07-Segment Reporting (Topic 280): Improvements to Reportable Segment Disclosures. The amendments in ASU 2023-07 require an entity to provide enhanced disclosures about significant segment expenses. The amendments in this ASU are effective for fiscal years beginning after December 15, 2023, and interim periods within fiscal years beginning after December 15, 2024. Early adoption is permitted. The Company is in the process of evaluating the impact of this standard on our consolidated financial statements and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2023-09-Income Taxes (Topic 740): Improvements to Income Tax Disclosures. The amendments in this ASU require entities to disclose, on an annual basis, specific categories in the reconciliation of the provision (benefit) for income taxes to the statutory rate and provide additional information for reconciling items that meet a quantitative threshold. Additionally, the update requires entities to disclose a disaggregation of taxes paid by category (federal, state and foreign taxes) as well as individual jurisdictions. For public business entities, the amendments in this ASU are effective for annual periods beginning after December 15, 2024. The Company is in the process of evaluating the impact of this standard on our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disaggregated net revenues from contracts with external customers by timing of revenue and by segment for the three months ended March 31, 2024 and 2023:</w:t>
      </w:r>
    </w:p>
    <w:tbl>
      <w:tblPr>
        <w:tblW w:w="7455"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54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166,497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24,007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57,672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248,176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7350"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631"/>
        <w:gridCol w:w="109"/>
        <w:gridCol w:w="109"/>
        <w:gridCol w:w="109"/>
        <w:gridCol w:w="109"/>
        <w:gridCol w:w="211"/>
        <w:gridCol w:w="736"/>
        <w:gridCol w:w="109"/>
        <w:gridCol w:w="109"/>
        <w:gridCol w:w="109"/>
        <w:gridCol w:w="109"/>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53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159,997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8,551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52,042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220,590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we receive consideration from a customer prior to transferring goods or services under the terms of a sales contract, we record deferred revenue, which represents a contract liability. Deferred revenue totaled $12.9 million and $13.5 million at March 31, 2024 and December 31, 2023, respectively. We recognize deferred revenue after we have transferred control of the goods or services to the customer and all revenue recognition criteria are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4.Inventories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w:t>
      </w:r>
    </w:p>
    <w:tbl>
      <w:tblPr>
        <w:tblW w:w="6655" w:type="dxa"/>
        <w:jc w:val="left"/>
        <w:tblInd w:w="0" w:type="dxa"/>
        <w:tblLayout w:type="fixed"/>
        <w:tblCellMar>
          <w:top w:w="28" w:type="dxa"/>
          <w:left w:w="28" w:type="dxa"/>
          <w:bottom w:w="28" w:type="dxa"/>
          <w:right w:w="28" w:type="dxa"/>
        </w:tblCellMar>
      </w:tblPr>
      <w:tblGrid>
        <w:gridCol w:w="1277"/>
        <w:gridCol w:w="1122"/>
        <w:gridCol w:w="1125"/>
        <w:gridCol w:w="251"/>
        <w:gridCol w:w="878"/>
        <w:gridCol w:w="130"/>
        <w:gridCol w:w="109"/>
        <w:gridCol w:w="109"/>
        <w:gridCol w:w="109"/>
        <w:gridCol w:w="300"/>
        <w:gridCol w:w="1026"/>
        <w:gridCol w:w="219"/>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supplies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41,436</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3,008</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7,129</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51,573</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excess and obsolete inventory</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(231)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Inventories, net</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51,342</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5.Prepaid Expenses and Other Current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tbl>
      <w:tblPr>
        <w:tblW w:w="6760" w:type="dxa"/>
        <w:jc w:val="left"/>
        <w:tblInd w:w="0" w:type="dxa"/>
        <w:tblLayout w:type="fixed"/>
        <w:tblCellMar>
          <w:top w:w="28" w:type="dxa"/>
          <w:left w:w="28" w:type="dxa"/>
          <w:bottom w:w="28" w:type="dxa"/>
          <w:right w:w="28" w:type="dxa"/>
        </w:tblCellMar>
      </w:tblPr>
      <w:tblGrid>
        <w:gridCol w:w="1316"/>
        <w:gridCol w:w="1154"/>
        <w:gridCol w:w="1159"/>
        <w:gridCol w:w="251"/>
        <w:gridCol w:w="878"/>
        <w:gridCol w:w="130"/>
        <w:gridCol w:w="109"/>
        <w:gridCol w:w="109"/>
        <w:gridCol w:w="109"/>
        <w:gridCol w:w="300"/>
        <w:gridCol w:w="1026"/>
        <w:gridCol w:w="219"/>
      </w:tblGrid>
      <w:tr>
        <w:trPr/>
        <w:tc>
          <w:tcPr>
            <w:tcW w:w="13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31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taxes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3,717</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business insurance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6,261</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rent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1,193</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 assets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18,550</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deposits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416</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maintenance contracts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448</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tax receivable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3,549</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software licensing</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2,265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supplies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3,754</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assets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1,667</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11,843</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 current assets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53,663</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6.Goodwill and Other 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to goodwill during the three months ended March 31, 2024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10042" w:type="dxa"/>
        <w:jc w:val="left"/>
        <w:tblInd w:w="0" w:type="dxa"/>
        <w:tblLayout w:type="fixed"/>
        <w:tblCellMar>
          <w:top w:w="28" w:type="dxa"/>
          <w:left w:w="28" w:type="dxa"/>
          <w:bottom w:w="28" w:type="dxa"/>
          <w:right w:w="28" w:type="dxa"/>
        </w:tblCellMar>
      </w:tblPr>
      <w:tblGrid>
        <w:gridCol w:w="1451"/>
        <w:gridCol w:w="1274"/>
        <w:gridCol w:w="127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109"/>
        <w:gridCol w:w="109"/>
        <w:gridCol w:w="211"/>
        <w:gridCol w:w="99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December 31, 2023</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due to foreign currency exchange rates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Goodwill at March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658,206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271,026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173,619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1,102,851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intangible assets consisted of the following: </w:t>
      </w:r>
    </w:p>
    <w:tbl>
      <w:tblPr>
        <w:tblW w:w="6173" w:type="dxa"/>
        <w:jc w:val="left"/>
        <w:tblInd w:w="0" w:type="dxa"/>
        <w:tblLayout w:type="fixed"/>
        <w:tblCellMar>
          <w:top w:w="28" w:type="dxa"/>
          <w:left w:w="28" w:type="dxa"/>
          <w:bottom w:w="28" w:type="dxa"/>
          <w:right w:w="28" w:type="dxa"/>
        </w:tblCellMar>
      </w:tblPr>
      <w:tblGrid>
        <w:gridCol w:w="1207"/>
        <w:gridCol w:w="1060"/>
        <w:gridCol w:w="1062"/>
        <w:gridCol w:w="211"/>
        <w:gridCol w:w="991"/>
        <w:gridCol w:w="109"/>
        <w:gridCol w:w="109"/>
        <w:gridCol w:w="109"/>
        <w:gridCol w:w="109"/>
        <w:gridCol w:w="211"/>
        <w:gridCol w:w="841"/>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Gross Carrying</w:t>
            </w:r>
          </w:p>
          <w:p>
            <w:pPr>
              <w:pStyle w:val="TableContents"/>
              <w:bidi w:val="0"/>
              <w:spacing w:lineRule="auto" w:line="288" w:before="0" w:after="3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88" w:before="0" w:after="30"/>
              <w:jc w:val="center"/>
              <w:rPr>
                <w:rFonts w:ascii="Times New Roman;sans-serif" w:hAnsi="Times New Roman;sans-serif"/>
                <w:b/>
                <w:color w:val="000000"/>
                <w:sz w:val="16"/>
              </w:rPr>
            </w:pPr>
            <w:r>
              <w:rPr>
                <w:rFonts w:ascii="Times New Roman;sans-serif" w:hAnsi="Times New Roman;sans-serif"/>
                <w:b/>
                <w:color w:val="000000"/>
                <w:sz w:val="16"/>
              </w:rPr>
              <w:t>Amortization</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March 31, 2024</w:t>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Finite-lived intangible 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654,734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498,395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83,975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58,095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1,321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Land-use rights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8,583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1,871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Sealed source and supply agreements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204,435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108,302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4,470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3,096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finite-lived intangible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958,759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671,080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Indefinite-lived intangible assets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Regulatory licenses and other</w:t>
            </w:r>
            <w:r>
              <w:rPr>
                <w:rFonts w:ascii="Times New Roman;sans-serif" w:hAnsi="Times New Roman;sans-serif"/>
                <w:b w:val="false"/>
                <w:color w:val="000000"/>
                <w:sz w:val="13"/>
              </w:rPr>
              <w:t>(a)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76,995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 trademarks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25,783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indefinite-lived intangible assets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102,778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1,061,537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671,080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43" w:type="dxa"/>
        <w:jc w:val="left"/>
        <w:tblInd w:w="0" w:type="dxa"/>
        <w:tblLayout w:type="fixed"/>
        <w:tblCellMar>
          <w:top w:w="28" w:type="dxa"/>
          <w:left w:w="28" w:type="dxa"/>
          <w:bottom w:w="28" w:type="dxa"/>
          <w:right w:w="28" w:type="dxa"/>
        </w:tblCellMar>
      </w:tblPr>
      <w:tblGrid>
        <w:gridCol w:w="1204"/>
        <w:gridCol w:w="1060"/>
        <w:gridCol w:w="1065"/>
        <w:gridCol w:w="211"/>
        <w:gridCol w:w="976"/>
        <w:gridCol w:w="109"/>
        <w:gridCol w:w="109"/>
        <w:gridCol w:w="109"/>
        <w:gridCol w:w="109"/>
        <w:gridCol w:w="211"/>
        <w:gridCol w:w="82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2023</w:t>
            </w:r>
          </w:p>
        </w:tc>
        <w:tc>
          <w:tcPr>
            <w:tcW w:w="1296"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Gross Carrying</w:t>
            </w:r>
          </w:p>
          <w:p>
            <w:pPr>
              <w:pStyle w:val="TableContents"/>
              <w:bidi w:val="0"/>
              <w:spacing w:lineRule="auto" w:line="288" w:before="0" w:after="3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Amortization</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Finite-lived intangible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Land-use rights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Sealed source and supply agreements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finite-lived intangible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Indefinite-lived intangible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Regulatory licenses and other</w:t>
            </w:r>
            <w:r>
              <w:rPr>
                <w:rFonts w:ascii="Times New Roman;sans-serif" w:hAnsi="Times New Roman;sans-serif"/>
                <w:b w:val="false"/>
                <w:color w:val="000000"/>
                <w:sz w:val="13"/>
              </w:rPr>
              <w:t>(a)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 trademarks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indefinite-lived intangible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1,071,880 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3"/>
        </w:rPr>
        <w:t>(a)</w:t>
      </w:r>
      <w:r>
        <w:rPr>
          <w:rFonts w:ascii="Times New Roman;sans-serif" w:hAnsi="Times New Roman;sans-serif"/>
          <w:b w:val="false"/>
          <w:color w:val="000000"/>
          <w:sz w:val="20"/>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10-year license period as Nordion has demonstrated over its 75 years of history.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include the impact of foreign currency translation. Fully amortized amounts are written off.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finite-lived intangible assets was $20.1 million and $20.6 million for the three months ended March 31, 2024 and 2023, respectively. $15.7 million and $16.2 million was included in “Amortization of intangible assets” in the Consolidated Statements of Operations and Comprehensive Income (Loss) for the three months ended March 31, 2024 and 2023, respectively, whereas the remainder was included in “Cost of revenues.”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aggregate amortization expense for finite-lived intangible assets for each of the next five years and thereafter is as follows:</w:t>
      </w:r>
    </w:p>
    <w:tbl>
      <w:tblPr>
        <w:tblW w:w="3425" w:type="dxa"/>
        <w:jc w:val="left"/>
        <w:tblInd w:w="0" w:type="dxa"/>
        <w:tblLayout w:type="fixed"/>
        <w:tblCellMar>
          <w:top w:w="28" w:type="dxa"/>
          <w:left w:w="28" w:type="dxa"/>
          <w:bottom w:w="28" w:type="dxa"/>
          <w:right w:w="28" w:type="dxa"/>
        </w:tblCellMar>
      </w:tblPr>
      <w:tblGrid>
        <w:gridCol w:w="804"/>
        <w:gridCol w:w="706"/>
        <w:gridCol w:w="709"/>
        <w:gridCol w:w="211"/>
        <w:gridCol w:w="841"/>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59,479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42,349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22,197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21,120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20,572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121,962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287,679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useful life of the finite-lived intangible assets was approximately 9 years as of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7.Accrued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w:t>
      </w:r>
    </w:p>
    <w:tbl>
      <w:tblPr>
        <w:tblW w:w="6504" w:type="dxa"/>
        <w:jc w:val="left"/>
        <w:tblInd w:w="0" w:type="dxa"/>
        <w:tblLayout w:type="fixed"/>
        <w:tblCellMar>
          <w:top w:w="28" w:type="dxa"/>
          <w:left w:w="28" w:type="dxa"/>
          <w:bottom w:w="28" w:type="dxa"/>
          <w:right w:w="28" w:type="dxa"/>
        </w:tblCellMar>
      </w:tblPr>
      <w:tblGrid>
        <w:gridCol w:w="1223"/>
        <w:gridCol w:w="1074"/>
        <w:gridCol w:w="1077"/>
        <w:gridCol w:w="251"/>
        <w:gridCol w:w="878"/>
        <w:gridCol w:w="130"/>
        <w:gridCol w:w="109"/>
        <w:gridCol w:w="109"/>
        <w:gridCol w:w="109"/>
        <w:gridCol w:w="273"/>
        <w:gridCol w:w="1072"/>
        <w:gridCol w:w="199"/>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313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26,450</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 EO litigation settlement reserve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 EO litigation settlement reserve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legal reserves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460</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expense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2,624</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2,698</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18,143</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utilities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2,208</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accrual</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3,336</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2,605</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3,250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Accrued liabilities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61,774</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122,471 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8.Long-Term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w:t>
      </w:r>
    </w:p>
    <w:tbl>
      <w:tblPr>
        <w:tblW w:w="10205" w:type="dxa"/>
        <w:jc w:val="left"/>
        <w:tblInd w:w="0" w:type="dxa"/>
        <w:tblLayout w:type="fixed"/>
        <w:tblCellMar>
          <w:top w:w="28" w:type="dxa"/>
          <w:left w:w="28" w:type="dxa"/>
          <w:bottom w:w="28" w:type="dxa"/>
          <w:right w:w="28" w:type="dxa"/>
        </w:tblCellMar>
      </w:tblPr>
      <w:tblGrid>
        <w:gridCol w:w="717"/>
        <w:gridCol w:w="627"/>
        <w:gridCol w:w="629"/>
        <w:gridCol w:w="211"/>
        <w:gridCol w:w="991"/>
        <w:gridCol w:w="109"/>
        <w:gridCol w:w="109"/>
        <w:gridCol w:w="109"/>
        <w:gridCol w:w="109"/>
        <w:gridCol w:w="551"/>
        <w:gridCol w:w="1650"/>
        <w:gridCol w:w="286"/>
        <w:gridCol w:w="109"/>
        <w:gridCol w:w="109"/>
        <w:gridCol w:w="109"/>
        <w:gridCol w:w="396"/>
        <w:gridCol w:w="1493"/>
        <w:gridCol w:w="203"/>
        <w:gridCol w:w="109"/>
        <w:gridCol w:w="109"/>
        <w:gridCol w:w="109"/>
        <w:gridCol w:w="211"/>
        <w:gridCol w:w="991"/>
        <w:gridCol w:w="159"/>
      </w:tblGrid>
      <w:tr>
        <w:trPr/>
        <w:tc>
          <w:tcPr>
            <w:tcW w:w="71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2024</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1,763,100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(1,472)</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(9,439)</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1,752,189</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2026</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496,250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(7,197)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(11,823)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477,230</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2,259,350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(8,669)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(21,262)</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2,229,419</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4,808</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2,254,350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(8,596)</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(21,143)</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2,224,611</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9"/>
        <w:gridCol w:w="630"/>
        <w:gridCol w:w="632"/>
        <w:gridCol w:w="211"/>
        <w:gridCol w:w="976"/>
        <w:gridCol w:w="109"/>
        <w:gridCol w:w="109"/>
        <w:gridCol w:w="109"/>
        <w:gridCol w:w="109"/>
        <w:gridCol w:w="554"/>
        <w:gridCol w:w="1659"/>
        <w:gridCol w:w="287"/>
        <w:gridCol w:w="109"/>
        <w:gridCol w:w="109"/>
        <w:gridCol w:w="109"/>
        <w:gridCol w:w="397"/>
        <w:gridCol w:w="1499"/>
        <w:gridCol w:w="204"/>
        <w:gridCol w:w="109"/>
        <w:gridCol w:w="109"/>
        <w:gridCol w:w="109"/>
        <w:gridCol w:w="211"/>
        <w:gridCol w:w="976"/>
        <w:gridCol w:w="160"/>
      </w:tblGrid>
      <w:tr>
        <w:trPr/>
        <w:tc>
          <w:tcPr>
            <w:tcW w:w="71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(10,298)</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1,751,196 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(22,907)</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2,228,471 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(9,146)</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(22,780)</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2,223,674 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Debt Facilities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Secured Credit Facilities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December 13, 2019, Sotera Health Holdings, LLC (“SHH”), our wholly-owned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Term Loan matures on June 13, 2026. The total borrowing capacity under the Revolving Credit Facility is $423.8 million. The Senior Secured Credit Facilities also provide SHH the right at any time and under certain conditions to request incremental term loans or incremental revolving credit commitments based on a formula defined in the Senior Secured Credit Facilities. As of March 31, 2024 and December 31, 2023, total borrowings under the Term Loan were $1,763.1 million. The weighted average interest rate on borrowings under the Term Loan for the three months ended March 31, 2024 and March 31, 2023 was 8.26% and 7.44%, respectively.</w:t>
      </w:r>
    </w:p>
    <w:p>
      <w:pPr>
        <w:pStyle w:val="TextBody"/>
        <w:bidi w:val="0"/>
        <w:spacing w:lineRule="auto" w:line="288" w:before="240" w:after="283"/>
        <w:jc w:val="left"/>
        <w:rPr/>
      </w:pPr>
      <w:r>
        <w:rPr>
          <w:rFonts w:ascii="Times New Roman;sans-serif" w:hAnsi="Times New Roman;sans-serif"/>
          <w:b w:val="false"/>
          <w:color w:val="000000"/>
          <w:sz w:val="20"/>
        </w:rPr>
        <w:t xml:space="preserve">On March 1, 2024, the Company and SHH entered into Amendment No. 3 (“Amendment No. 3”) to the Revolving Credit Facility. Among other changes, the Amendment provides (i) for new commitments under the existing Revolving Credit Facility to replace existing revolving commitments in an aggregate principal amount of </w:t>
      </w:r>
      <w:r>
        <w:rPr>
          <w:rFonts w:ascii="Times New Roman;sans-serif" w:hAnsi="Times New Roman;sans-serif"/>
          <w:b w:val="false"/>
          <w:color w:val="000000"/>
          <w:sz w:val="20"/>
          <w:shd w:fill="FFFFFF" w:val="clear"/>
        </w:rPr>
        <w:t>$83.0 million</w:t>
      </w:r>
      <w:r>
        <w:rPr>
          <w:rFonts w:ascii="Times New Roman;sans-serif" w:hAnsi="Times New Roman;sans-serif"/>
          <w:b w:val="false"/>
          <w:color w:val="000000"/>
          <w:sz w:val="20"/>
        </w:rPr>
        <w:t xml:space="preserve">, (ii) that certain of the lenders providing revolving credit commitments shall also provide additional commitments for the issuance of letters of credit under the Revolving Credit Facility in an aggregate principal amount of </w:t>
      </w:r>
      <w:r>
        <w:rPr>
          <w:rFonts w:ascii="Times New Roman;sans-serif" w:hAnsi="Times New Roman;sans-serif"/>
          <w:b w:val="false"/>
          <w:color w:val="000000"/>
          <w:sz w:val="20"/>
          <w:shd w:fill="FFFFFF" w:val="clear"/>
        </w:rPr>
        <w:t>$37.5 million</w:t>
      </w:r>
      <w:r>
        <w:rPr>
          <w:color w:val="000000"/>
        </w:rPr>
        <w:t xml:space="preserve"> </w:t>
      </w:r>
      <w:r>
        <w:rPr>
          <w:rFonts w:ascii="Times New Roman;sans-serif" w:hAnsi="Times New Roman;sans-serif"/>
          <w:b w:val="false"/>
          <w:color w:val="000000"/>
          <w:sz w:val="20"/>
        </w:rPr>
        <w:t>and (iii) for the extension of the maturity date of the Revolving Credit Facility to the earlier of (a) March 1, 2029, and (b) the date that is 91 days prior to the maturity date of the Company’s existing term loans.</w:t>
      </w:r>
    </w:p>
    <w:p>
      <w:pPr>
        <w:pStyle w:val="TextBody"/>
        <w:bidi w:val="0"/>
        <w:spacing w:lineRule="auto" w:line="288" w:before="240" w:after="283"/>
        <w:jc w:val="left"/>
        <w:rPr/>
      </w:pPr>
      <w:r>
        <w:rPr>
          <w:rFonts w:ascii="Times New Roman;sans-serif" w:hAnsi="Times New Roman;sans-serif"/>
          <w:b w:val="false"/>
          <w:color w:val="000000"/>
          <w:sz w:val="20"/>
        </w:rPr>
        <w:t xml:space="preserve">Amendment No. 3 does not give effect to any other material changes to the terms and conditions of the Credit Agreement, including with respect to the amount of commitments under the Revolving Credit Facility, which remains </w:t>
      </w:r>
      <w:r>
        <w:rPr>
          <w:rFonts w:ascii="Times New Roman;sans-serif" w:hAnsi="Times New Roman;sans-serif"/>
          <w:b w:val="false"/>
          <w:color w:val="000000"/>
          <w:sz w:val="20"/>
          <w:shd w:fill="FFFFFF" w:val="clear"/>
        </w:rPr>
        <w:t>$423.8 million</w:t>
      </w:r>
      <w:r>
        <w:rPr>
          <w:rFonts w:ascii="Times New Roman;sans-serif" w:hAnsi="Times New Roman;sans-serif"/>
          <w:b w:val="false"/>
          <w:color w:val="000000"/>
          <w:sz w:val="20"/>
        </w:rPr>
        <w:t>, the representations and warranties, events of default, affirmative or negative covenants.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February 23, 2023, we entered into the First Lien Credit Agreement (the “2023 Credit Agreement”), which provides for, among other things, a new Term Loan B facility (the “2023 Term Loan”) in an aggregate principal amount of $500.0 million and bears interest, at the Company’s option, at a variable rate per annum equal to either (x) the Term Secured Overnight Financing Rate (“Term SOFR”) (as defined in the 2023 Credit Agreement) plus an applicable margin of 3.75% or (y) an alternative base rate (“ABR”) plus an applicable margin of 2.75%. The 2023 Credit Agreement is secured on a first priority basis by substantially all of our assets and is guaranteed by certain of our subsidiaries. It is prepayable without premium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penalty at any time six months after the closing date. The principal balance shall be paid at 1% of the aggregate principal amount ($5.0 million) per year, with the balance due at the end of 2026. The Company used the proceeds of the 2023 Term Loan to fund a previously announced $408.0 million EO litigation settlement in Cook County, Illinois and pay down the $200.0 million of existing borrowings under the Revolving Credit Facility concurrent with the funding of the 2023 Term Loan on February 23, 2023. The Company utilized the remaining proceeds to further enhance liquidity and for general corporate purposes. The weighted average interest rate on borrowings under the 2023 Term Loan for the three months ended March 31, 2024 and the three months ended </w:t>
      </w:r>
      <w:r>
        <w:rPr>
          <w:rFonts w:ascii="Times New Roman;sans-serif" w:hAnsi="Times New Roman;sans-serif"/>
          <w:b w:val="false"/>
          <w:color w:val="000000"/>
          <w:sz w:val="20"/>
        </w:rPr>
        <w:t>March 31, 2023</w:t>
      </w:r>
      <w:r>
        <w:rPr>
          <w:color w:val="000000"/>
          <w:shd w:fill="FFFFFF" w:val="clear"/>
        </w:rPr>
        <w:t xml:space="preserve"> </w:t>
      </w:r>
      <w:r>
        <w:rPr>
          <w:rFonts w:ascii="Times New Roman;sans-serif" w:hAnsi="Times New Roman;sans-serif"/>
          <w:b w:val="false"/>
          <w:color w:val="000000"/>
          <w:sz w:val="20"/>
          <w:shd w:fill="FFFFFF" w:val="clear"/>
        </w:rPr>
        <w:t xml:space="preserve">was 9.09% and </w:t>
      </w:r>
      <w:r>
        <w:rPr>
          <w:rFonts w:ascii="Times New Roman;sans-serif" w:hAnsi="Times New Roman;sans-serif"/>
          <w:b w:val="false"/>
          <w:color w:val="000000"/>
          <w:sz w:val="20"/>
        </w:rPr>
        <w:t>8.82%, respectively.</w:t>
      </w:r>
      <w:r>
        <w:rPr>
          <w:color w:val="000000"/>
          <w:shd w:fill="FFFFFF" w:val="clear"/>
        </w:rPr>
        <w:t xml:space="preserv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21, 2023, the Company entered into an Incremental Facility Amendment to the First Lien Credit Agreement (“Revolving Credit Facility Amendment”), which provides for an increase in the commitments under the existing Revolving Credit Facility in an aggregate principal amount of $76.3 million. In addition, certain of the lenders providing revolving credit commitments provided additional commitments for the issuance of the letters of credit under the Revolving Credit Facility in an aggregate principal amount of $165.1 million. The Revolving Credit Facility Amendment also provides for the replacement of the reference interest rate option for Revolving Loans from London Interbank Offered Rate (“LIBOR”) to Secured Overnight Financing Rate (“SOFR”) plus an applicable credit spread adjustment of 0.10% (subject to a minimum floor of 0%). After giving effect to the Revolving Credit Facility Amendment, the aggregate amount of the lenders' revolving commitments is $423.8 million. As of March 31, 2024 there were no borrowings outstanding under the Revolving Credit Facility.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Senior Secured Credit Facilities and 2023 Credit Agreement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and 2023 Credit Agreement. The Senior Secured Credit Facilities and 2023 Credit Agreement also contain certain customary affirmative covenants and events of default, including upon a change of control. An event of default under the Senior Secured Credit Facilities and 2023 Credit Agreement would occur if the Company or certain of its subsidiaries received one or more enforceable judgments for payment in an aggregate amount in excess of $100.0 million and the judgments were not stayed or remained undischarged for a period of sixty consecutive days or if, to enforce such judgments, a judgment creditor were to attach liens upon assets that are material to the business and operations of the Company and certain of its subsidiaries as a whole. As of March 31, 2024, we were in compliance with all of the Senior Secured Credit Facilities and 2023 Credit Agreement covenants.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of SHH’s obligations under the Senior Secured Credit Facilities and 2023 Credit Agreement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2023 Credit Agreement, and the guarantees of such obligations, are secured by substantially all assets of the borrower and guarantors, subject to permitted liens and other exceptions and exclusions, as outlined in the Senior Secured Credit Facilities and 2023 Credit Agreement.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Outstanding letters of credit are collateralized by encumbrances against the Revolving Credit Facility and the collateral pledged thereunder, or by cash placed on deposit with the issuing bank. As of March 31, 2024, the Company had $23.7 million of letters of credit issued against the Revolving Credit Facility, resulting in total availability under the Revolving Credit Facility of $400.1 million.</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Term Loan Interest Rate Risk Management</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15, “Financial Instruments and Financial Risk”, </w:t>
      </w:r>
      <w:r>
        <w:rPr>
          <w:color w:val="000000"/>
          <w:shd w:fill="FFFFFF" w:val="clear"/>
        </w:rPr>
        <w:t>“</w:t>
      </w:r>
      <w:r>
        <w:rPr>
          <w:rFonts w:ascii="Times New Roman;sans-serif" w:hAnsi="Times New Roman;sans-serif"/>
          <w:b w:val="false"/>
          <w:i/>
          <w:color w:val="000000"/>
          <w:sz w:val="20"/>
          <w:shd w:fill="FFFFFF" w:val="clear"/>
        </w:rPr>
        <w:t>Derivative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Aggregate Maturities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maturities of the Company’s long-term debt, excluding debt discounts, as of March 31, 2024, are as follows:</w:t>
      </w:r>
    </w:p>
    <w:p>
      <w:pPr>
        <w:pStyle w:val="TextBody"/>
        <w:bidi w:val="0"/>
        <w:spacing w:before="0" w:after="0"/>
        <w:jc w:val="left"/>
        <w:rPr/>
      </w:pPr>
      <w:r>
        <w:rPr/>
      </w:r>
    </w:p>
    <w:tbl>
      <w:tblPr>
        <w:tblW w:w="3351" w:type="dxa"/>
        <w:jc w:val="left"/>
        <w:tblInd w:w="0" w:type="dxa"/>
        <w:tblLayout w:type="fixed"/>
        <w:tblCellMar>
          <w:top w:w="28" w:type="dxa"/>
          <w:left w:w="28" w:type="dxa"/>
          <w:bottom w:w="28" w:type="dxa"/>
          <w:right w:w="28" w:type="dxa"/>
        </w:tblCellMar>
      </w:tblPr>
      <w:tblGrid>
        <w:gridCol w:w="723"/>
        <w:gridCol w:w="635"/>
        <w:gridCol w:w="637"/>
        <w:gridCol w:w="211"/>
        <w:gridCol w:w="99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3,750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5,000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2,250,600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2,259,350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was 42.6% and 47.4% for the three months ended March 31, 2024 and 2023, respectively. Income tax expense for the three months ended March 31, 2024 differed from the statutory rate primarily due to a net increase in the valuation allowance attributable to the limitation on the deductibility of interest expense and the impact of the foreign rate differential, partially offset by a benefit for state income taxes. Income tax expense for the three months ended March 31, 2023 differed from the statutory rate primarily due to a net increase in the valuation allowance attributable to the limitation on the deductibility of interest expense, the impact of the foreign rate differential and non-deductible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10.Employee Benefits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Defined benefit pension plan </w:t>
      </w:r>
    </w:p>
    <w:p>
      <w:pPr>
        <w:pStyle w:val="TextBody"/>
        <w:bidi w:val="0"/>
        <w:spacing w:lineRule="auto" w:line="288" w:before="120" w:after="283"/>
        <w:jc w:val="left"/>
        <w:rPr/>
      </w:pPr>
      <w:r>
        <w:rPr>
          <w:rFonts w:ascii="Times New Roman;sans-serif" w:hAnsi="Times New Roman;sans-serif"/>
          <w:b w:val="false"/>
          <w:color w:val="000000"/>
          <w:sz w:val="20"/>
        </w:rPr>
        <w:t>The following defined benefit pension plan disclosure relates to Nordion. Certain immaterial foreign defined benefit pension plans have been excluded from the table below. The interest cost, expected return on plan assets and amortization of net actuarial gain are recorded in “Other expense (income), net” and the service cost component is included in the same financial statement line item as the applicable employee’s wages in the Consolidated Statements of Operations and Comprehensive Income (Loss). The components of net periodic pens</w:t>
      </w:r>
      <w:r>
        <w:rPr>
          <w:rFonts w:ascii="Times New Roman;sans-serif" w:hAnsi="Times New Roman;sans-serif"/>
          <w:b w:val="false"/>
          <w:color w:val="000000"/>
          <w:sz w:val="20"/>
          <w:shd w:fill="FFFFFF" w:val="clear"/>
        </w:rPr>
        <w:t>ion benefit f</w:t>
      </w:r>
      <w:r>
        <w:rPr>
          <w:rFonts w:ascii="Times New Roman;sans-serif" w:hAnsi="Times New Roman;sans-serif"/>
          <w:b w:val="false"/>
          <w:color w:val="000000"/>
          <w:sz w:val="20"/>
        </w:rPr>
        <w:t>or the defined benefit plans for the three months ended March 31, 2024 and 2023 were as follows:</w:t>
      </w:r>
    </w:p>
    <w:tbl>
      <w:tblPr>
        <w:tblW w:w="4974" w:type="dxa"/>
        <w:jc w:val="left"/>
        <w:tblInd w:w="0" w:type="dxa"/>
        <w:tblLayout w:type="fixed"/>
        <w:tblCellMar>
          <w:top w:w="28" w:type="dxa"/>
          <w:left w:w="28" w:type="dxa"/>
          <w:bottom w:w="28" w:type="dxa"/>
          <w:right w:w="28" w:type="dxa"/>
        </w:tblCellMar>
      </w:tblPr>
      <w:tblGrid>
        <w:gridCol w:w="935"/>
        <w:gridCol w:w="821"/>
        <w:gridCol w:w="824"/>
        <w:gridCol w:w="211"/>
        <w:gridCol w:w="691"/>
        <w:gridCol w:w="109"/>
        <w:gridCol w:w="109"/>
        <w:gridCol w:w="109"/>
        <w:gridCol w:w="109"/>
        <w:gridCol w:w="211"/>
        <w:gridCol w:w="691"/>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periodic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benefit plans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benefit plans disclosed below relate to Nordion and include a supplemental retirement arrangement, a retirement and termination allowance, and post-retirement benefit plans, which include contributory health and dental care benefits and contributory life insurance coverage. Certain immaterial other foreign benefit plans have been excluded from the table below. All non-pension post-employment benefit plans are unfunded. The components of net periodic pension cost for the other benefit plans for the three months ended March 31, 2024 and 2023 were as follows:</w:t>
      </w:r>
    </w:p>
    <w:tbl>
      <w:tblPr>
        <w:tblW w:w="4947" w:type="dxa"/>
        <w:jc w:val="left"/>
        <w:tblInd w:w="0" w:type="dxa"/>
        <w:tblLayout w:type="fixed"/>
        <w:tblCellMar>
          <w:top w:w="28" w:type="dxa"/>
          <w:left w:w="28" w:type="dxa"/>
          <w:bottom w:w="28" w:type="dxa"/>
          <w:right w:w="28" w:type="dxa"/>
        </w:tblCellMar>
      </w:tblPr>
      <w:tblGrid>
        <w:gridCol w:w="1038"/>
        <w:gridCol w:w="912"/>
        <w:gridCol w:w="915"/>
        <w:gridCol w:w="259"/>
        <w:gridCol w:w="462"/>
        <w:gridCol w:w="134"/>
        <w:gridCol w:w="109"/>
        <w:gridCol w:w="109"/>
        <w:gridCol w:w="109"/>
        <w:gridCol w:w="261"/>
        <w:gridCol w:w="448"/>
        <w:gridCol w:w="191"/>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86</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actuarial gain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periodic benefit cost</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currently has no funding requirements as the Nordion pension plan has a going concern surplus as defined by Canadian federal regulation, which requires solvency testing on defined benefit pension plans on an annual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obtain a qualifying letter of credit for solvency payments, up to 15% of the market value of solvency liabilities as determined on the valuation date, instead of paying cash into the pension fund. As of March 31, 2024 and December 31, 2023, we had letters of credit outstanding relating to the defined benefit plans totaling $16.0 million.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11.Other Comprehensive Income (Loss)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in accumulated other comprehensive income (loss) are presented net of the related tax. Foreign currency translation is not adjusted for income taxes.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our accumulated other comprehensive income (loss) balances, net of applicable tax, were as follows: </w:t>
      </w:r>
    </w:p>
    <w:tbl>
      <w:tblPr>
        <w:tblW w:w="10170" w:type="dxa"/>
        <w:jc w:val="left"/>
        <w:tblInd w:w="0" w:type="dxa"/>
        <w:tblLayout w:type="fixed"/>
        <w:tblCellMar>
          <w:top w:w="28" w:type="dxa"/>
          <w:left w:w="28" w:type="dxa"/>
          <w:bottom w:w="28" w:type="dxa"/>
          <w:right w:w="28" w:type="dxa"/>
        </w:tblCellMar>
      </w:tblPr>
      <w:tblGrid>
        <w:gridCol w:w="1685"/>
        <w:gridCol w:w="1480"/>
        <w:gridCol w:w="1485"/>
        <w:gridCol w:w="211"/>
        <w:gridCol w:w="691"/>
        <w:gridCol w:w="109"/>
        <w:gridCol w:w="109"/>
        <w:gridCol w:w="109"/>
        <w:gridCol w:w="109"/>
        <w:gridCol w:w="211"/>
        <w:gridCol w:w="901"/>
        <w:gridCol w:w="109"/>
        <w:gridCol w:w="109"/>
        <w:gridCol w:w="109"/>
        <w:gridCol w:w="109"/>
        <w:gridCol w:w="211"/>
        <w:gridCol w:w="721"/>
        <w:gridCol w:w="109"/>
        <w:gridCol w:w="109"/>
        <w:gridCol w:w="109"/>
        <w:gridCol w:w="109"/>
        <w:gridCol w:w="211"/>
        <w:gridCol w:w="901"/>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Defined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Benefit</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Foreign</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Currency</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Interest</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Rate</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January 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(91,031)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(92,682)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(27,706)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(23,509)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(b)</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(3,665)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current-period other comprehensive income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(27,706)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(27,174)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March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(118,737)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6,065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(119,856)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January 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(b)</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current-period other comprehensive income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(104,698)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(a)For defined benefit pension plans, amounts reclassified from accumulated other comprehensive income (loss) are recorded to “Other expense (income), net” within the Consolidated Statements of Operations and Comprehensive Income (Loss).</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(b)For interest rate derivatives, amounts reclassified from accumulated other comprehensive income (loss) are recorded to “Interest expense, net” within the Consolidated Statements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12.Share-Based Compensation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Pre-IPO Awards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distributed in respect of pre-IPO Class B-1 time vesting units vests on a daily basis pro rata over a five-year vesting period (20% per year) beginning on the original vesting commencement date of the corresponding Class B-1 time vesting units, subject to the grantee’s continued services through each vesting date. Upon the occurrence of a change in control of the Company, all then-outstanding unvested shares of our common stock distributed in respect of Class B-1 Units will vest as of the date of consummation of such change in control, subject to the grantee’s continued services through the consummation of the change in control.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distributed in respect of pre-IPO Class B-2 Units were considered performance vesting units. The required performance threshold for the vesting of B-2 restricted stock is the first date on which (i) our Sponsors have received actual cash proceeds in an amount equal to or in excess of at least two and one-half times their invested capital in Sotera Health Topco Parent, L.P. (of which the Company was a direct wholly owned subsidiary prior to the IPO) and (ii) the Sponsors’ internal rate of return exceeds 20%, subject to such grantee’s continued services through such date. Both performance thresholds were satisfied on March 4, 2024 and, as a result, all outstanding B-2 Units fully vested as of that date. Stock based compensation expense attributed to the pre-IPO Class B-2 awards was recorded in the fourth quarter of 2020 as the related performance conditions were considered probable of achievement and the implied service conditions were met.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$0.4 million and $0.5 million of share-based compensation expense related to the pre-IPO Class B-1 Units for the three months ended March 31, 2024 and 2023,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activity for the three months ended March 31, 2024 related to the restricted stock awards distributed in respect of the pre-IPO awards (Class B-1 and B-2 Units) is presented below: </w:t>
      </w:r>
    </w:p>
    <w:tbl>
      <w:tblPr>
        <w:tblW w:w="6840" w:type="dxa"/>
        <w:jc w:val="left"/>
        <w:tblInd w:w="0" w:type="dxa"/>
        <w:tblLayout w:type="fixed"/>
        <w:tblCellMar>
          <w:top w:w="28" w:type="dxa"/>
          <w:left w:w="28" w:type="dxa"/>
          <w:bottom w:w="28" w:type="dxa"/>
          <w:right w:w="28" w:type="dxa"/>
        </w:tblCellMar>
      </w:tblPr>
      <w:tblGrid>
        <w:gridCol w:w="977"/>
        <w:gridCol w:w="858"/>
        <w:gridCol w:w="864"/>
        <w:gridCol w:w="429"/>
        <w:gridCol w:w="429"/>
        <w:gridCol w:w="431"/>
        <w:gridCol w:w="151"/>
        <w:gridCol w:w="151"/>
        <w:gridCol w:w="151"/>
        <w:gridCol w:w="701"/>
        <w:gridCol w:w="701"/>
        <w:gridCol w:w="997"/>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Restricted Stock</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Pre-IPO B-1</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Restricted Stock - Pre-IPO B-2</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352,447 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987,111 </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(74,335)</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(987,111)</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March 31, 2024</w:t>
            </w:r>
          </w:p>
        </w:tc>
        <w:tc>
          <w:tcPr>
            <w:tcW w:w="8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278,112</w:t>
            </w:r>
            <w:r>
              <w:rPr>
                <w:color w:val="000000"/>
              </w:rPr>
              <w:t>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2020 Omnibus Incentive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 long-term incentive plan (the “2020 Omnibus Incentive Plan” or the “2020 Plan”) that allows for grants of incentive stock options to employees (including employees of any of our subsidiaries), nonstatutory stock options, restricted stock awards (“RSAs”), restricted stock units (“RSUs”) and other cash-based, equity-based or equity-related awards to employees, directors, and consultants, including employees or consultants of our subsidiaries.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We recog</w:t>
      </w:r>
      <w:r>
        <w:rPr>
          <w:rFonts w:ascii="Times New Roman;sans-serif" w:hAnsi="Times New Roman;sans-serif"/>
          <w:b w:val="false"/>
          <w:color w:val="000000"/>
          <w:sz w:val="20"/>
        </w:rPr>
        <w:t>nized $8.2 million ($3.9 million for stock options and $4.3 million for RSUs) and $6.8 million ($3.1 million for stock options and $3.7 million for RSUs) of share-based compensation expense for these awards in our Consolidated Statements of Operations and Comprehensive Income (Loss), in “Selling, general and administrative expenses,” for the three months ended March 31,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generally vest ratably over a period of two to four years. They have an exercise price equal to the fair market value of a share of common stock on the date of grant, and a contractual term of 10 years. The following table summarizes our stock option activity for the three months ended March 31, 2024:</w:t>
      </w:r>
    </w:p>
    <w:tbl>
      <w:tblPr>
        <w:tblW w:w="6878" w:type="dxa"/>
        <w:jc w:val="left"/>
        <w:tblInd w:w="0" w:type="dxa"/>
        <w:tblLayout w:type="fixed"/>
        <w:tblCellMar>
          <w:top w:w="28" w:type="dxa"/>
          <w:left w:w="28" w:type="dxa"/>
          <w:bottom w:w="28" w:type="dxa"/>
          <w:right w:w="28" w:type="dxa"/>
        </w:tblCellMar>
      </w:tblPr>
      <w:tblGrid>
        <w:gridCol w:w="1478"/>
        <w:gridCol w:w="1297"/>
        <w:gridCol w:w="1304"/>
        <w:gridCol w:w="495"/>
        <w:gridCol w:w="496"/>
        <w:gridCol w:w="311"/>
        <w:gridCol w:w="109"/>
        <w:gridCol w:w="109"/>
        <w:gridCol w:w="109"/>
        <w:gridCol w:w="248"/>
        <w:gridCol w:w="741"/>
        <w:gridCol w:w="181"/>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average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Exercise Price</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 at December 31, 2023</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6,972,661 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1,570,336 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Outstanding stock options at March 31, 2024</w:t>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8,499,345</w:t>
            </w:r>
            <w:r>
              <w:rPr>
                <w:color w:val="000000"/>
              </w:rPr>
              <w:t>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15.04</w:t>
            </w: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were 3.5 million vested and exercisable stock options.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RSUs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generally vest ratably over a period of one to four years and are valued based on our market price on the date of grant. The following table summarizes our unvested RSUs activity for the three months ended March 31, 2024:</w:t>
      </w:r>
    </w:p>
    <w:tbl>
      <w:tblPr>
        <w:tblW w:w="5557" w:type="dxa"/>
        <w:jc w:val="left"/>
        <w:tblInd w:w="0" w:type="dxa"/>
        <w:tblLayout w:type="fixed"/>
        <w:tblCellMar>
          <w:top w:w="28" w:type="dxa"/>
          <w:left w:w="28" w:type="dxa"/>
          <w:bottom w:w="28" w:type="dxa"/>
          <w:right w:w="28" w:type="dxa"/>
        </w:tblCellMar>
      </w:tblPr>
      <w:tblGrid>
        <w:gridCol w:w="977"/>
        <w:gridCol w:w="858"/>
        <w:gridCol w:w="864"/>
        <w:gridCol w:w="495"/>
        <w:gridCol w:w="496"/>
        <w:gridCol w:w="311"/>
        <w:gridCol w:w="109"/>
        <w:gridCol w:w="109"/>
        <w:gridCol w:w="109"/>
        <w:gridCol w:w="260"/>
        <w:gridCol w:w="779"/>
        <w:gridCol w:w="19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average Grant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Date Fair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2,298,836 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971,342 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(390,805)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March 31, 2024</w:t>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2,858,429</w:t>
            </w:r>
            <w:r>
              <w:rPr>
                <w:color w:val="000000"/>
              </w:rPr>
              <w:t>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13.38</w:t>
            </w: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13.Earnings Per Share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periods in which the Company has net income, earnings per share is calculated using the two-class method. This method is required as unvested restricted stock distributed in respect of pre-IPO Class B-1 and B-2 awards have the right to receive non-forfeitable dividends or dividend equivalents if the Company were to declare dividends on its common stock. Pursuant to the two-class method, earnings for each period are allocated on a pro-rata basis to common stockholders and unvested pre-IPO Class B-1 and B-2 restricted stock awards. As of March 4, 2024, the performance threshold applicable to all Class B-2 restricted stock awards were fully satisfied, thereby releasing the vesting and forfeiture restrictions on these common shares. Beginning on that date, B-2 restricted stock was not included in the earnings allocation. Diluted earnings per share is computed using the more dilutive of (a) the two-class method, or (b) treasury stock method, as applicable, to the potentially dilutive instruments.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basic and diluted earnings per common share are calculated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9039" w:type="dxa"/>
        <w:jc w:val="left"/>
        <w:tblInd w:w="0" w:type="dxa"/>
        <w:tblLayout w:type="fixed"/>
        <w:tblCellMar>
          <w:top w:w="28" w:type="dxa"/>
          <w:left w:w="28" w:type="dxa"/>
          <w:bottom w:w="28" w:type="dxa"/>
          <w:right w:w="28" w:type="dxa"/>
        </w:tblCellMar>
      </w:tblPr>
      <w:tblGrid>
        <w:gridCol w:w="2455"/>
        <w:gridCol w:w="2158"/>
        <w:gridCol w:w="2167"/>
        <w:gridCol w:w="211"/>
        <w:gridCol w:w="631"/>
        <w:gridCol w:w="109"/>
        <w:gridCol w:w="109"/>
        <w:gridCol w:w="109"/>
        <w:gridCol w:w="109"/>
        <w:gridCol w:w="211"/>
        <w:gridCol w:w="616"/>
        <w:gridCol w:w="154"/>
      </w:tblGrid>
      <w:tr>
        <w:trPr/>
        <w:tc>
          <w:tcPr>
            <w:tcW w:w="2455"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6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 of U.S. dollars and share amounts (except per share amounts)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Earnings: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6,323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Allocation to participating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Sotera Health Company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6,301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basic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281,913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potential common shares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diluted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284,062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Sotera Health Company common shareholders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Sotera Health Company common shareholders - diluted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does not consider the following potential common shares as the effect would be anti-dilutive:</w:t>
      </w:r>
    </w:p>
    <w:tbl>
      <w:tblPr>
        <w:tblW w:w="4782" w:type="dxa"/>
        <w:jc w:val="left"/>
        <w:tblInd w:w="0" w:type="dxa"/>
        <w:tblLayout w:type="fixed"/>
        <w:tblCellMar>
          <w:top w:w="28" w:type="dxa"/>
          <w:left w:w="28" w:type="dxa"/>
          <w:bottom w:w="28" w:type="dxa"/>
          <w:right w:w="28" w:type="dxa"/>
        </w:tblCellMar>
      </w:tblPr>
      <w:tblGrid>
        <w:gridCol w:w="907"/>
        <w:gridCol w:w="797"/>
        <w:gridCol w:w="800"/>
        <w:gridCol w:w="284"/>
        <w:gridCol w:w="284"/>
        <w:gridCol w:w="286"/>
        <w:gridCol w:w="175"/>
        <w:gridCol w:w="175"/>
        <w:gridCol w:w="175"/>
        <w:gridCol w:w="262"/>
        <w:gridCol w:w="262"/>
        <w:gridCol w:w="375"/>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 of share amounts</w:t>
            </w:r>
          </w:p>
        </w:tc>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w:t>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4,720</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150</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anti-dilutive securities</w:t>
            </w:r>
          </w:p>
        </w:tc>
        <w:tc>
          <w:tcPr>
            <w:tcW w:w="8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4,870</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14.Commitments and Contingencies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 We assess these regulatory and legal actions to determine if a contingent liability should be recorded. In making these determinations, we may, depending on the nature of the matter, consult with internal and external legal counsel and technical experts.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establish reserves for specific liabilities in connection with regulatory and legal actions that we determine to be both probable and reasonably estimable. The outcomes of regulatory and legal actions can be difficult to predict and are often resolved over long periods of time, making our probability and estimability determinations highly judgmental. Probability determinations require the analysis of various possible outcomes, assessments of potential damages and the impact of multiple factors beyond our control, including potential actions by others, interpretations of the law, and changes and developments in relevant facts, circumstances, regulations and other laws. If a potentially material loss contingency is not probable, but is reasonably possible, or is probable but cannot be estimated, then the nature of the contingent liability is disclosed, together with an estimate of the range of possible loss if the range is determinable and material. In certain of the matters described below, we are not able to estimate potential liability because of the uncertainties related to the outcome(s) and/or the amount(s) or range(s) of loss. The ultimate resolution of pending regulatory and legal matters in future periods, including the matters described below,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Ethylene Oxide Tort Litigation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U.S., LLC (“Sterigenics”) and other medical supply sterilization companies have been subjected to tort lawsuits alleging various injuries caused by low-level environmental exposure to EO used at or emitted from sterilization facilities. Those lawsuits, as detailed further below, are individual claims, as opposed to class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Illinois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Subsidiaries of the Company and other parties are defendants in approximately 25 lawsuits in Illinois in which plaintiffs allege personal injuries or wrongful death resulting from purported use, emissions and releases of EO from or at Sterigenics’ former Willowbrook facility (the “Willowbrook Cases”). The Willowbrook Cases are pending in the Circuit Court of Cook County and have been assigned to a single judge for coordinated discovery and pretrial proceedings. We intend to vigorously defend the Willowbrook Cases.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Georgia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Sotera Health, LLC and other parties are defendants in lawsuits in Georgia in which plaintiffs allege personal injuries, wrongful death and property devaluation resulting from use, emissions and releases of EO from or at Sterigenics’ Atlanta facility (the “Atlanta Cases”).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255 personal injury and wrongful death claims are pending in the State Court of Cobb County and have been consolidated for pretrial purposes (the “Consolidated Personal Injury Cases”). The Consolidated Personal Injury Cases are proceeding under a case management order pursuant to which a “pool” of eight cases will proceed to judicial determination of general causation issues in Phase 1 and specific causation issues in Phase 2; the first trial of any “pool” case that survives Phases 1 and 2 is not expected to begin before September 2025. The remaining Consolidated Personal Injury Cases (including nine cases that include both personal injury and property claims) are stayed. Two additional personal injury lawsuits pending in Cobb County have not been consolidated. The parties have jointly asked the court to stay one of these cases along with the stayed cases in the Consolidated Personal Injury Cases. In the other case, employees of a sterilization customer of Sterigenics allege they were injured by exposure while working at the customer’s distribution facility to residual EO allegedly emanating from products of the customer that had been sterilized at Sterigenics’ Atlanta facility; discovery is underway and, pursuant to the customer’s contract with Sterigenics, the customer is indemnifying Sterigenics against this lawsuit.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Sterigenics and Sotera Health LLC are also defendants in approximately 365 property devaluation lawsuits pending in the State Court of Cobb County that have been consolidated for pretrial purposes (the “Consolidated Property Cases”). Ten of the Consolidated Property Cases are proceeding under case management orders while the remaining cases are stayed. Discovery in five of the cases is underway; dispositive motions remain pending in the other five.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vigorously defend the Atlanta Cases.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California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and April 2024, two lawsuits were filed against the Company, Sterigenics, other subsidiaries of the Company and other parties in Los Angeles County Superior Court for personal injuries and wrongful death allegedly resulting from emissions and releases of EO from Sterigenics’ Vernon facilities (the “Vernon Cases”). Plaintiffs in these cases allege that 18 cases of cancer and other illnesses were caused by exposure to EO at locations in close proximity to the Vernon facilities, including residences located in Maywood, California, and a commercial facility located next door to Sterigenics’ Vernon facilities. The lawsuits remain in preliminary stages and case management orders have yet to be entered.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vigorously defend the Vernon Cases.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New Mexico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certain subsidiaries are defendants in a lawsuit in the Third Judicial District Court, Doña Ana County, New Mexico in which the New Mexico Attorney General ( “NMAG”) alleges that emissions and releases of EO from Sterigenics’ facility in Santa Teresa have deteriorated the air quality in surrounding communities and materially contributed to increased health risks for residents of those communities. In April 2024, the Court of Appeals of the State of New Mexico denied the NMAG’s petition for leave to file an interlocutory appeal of the August 2023 order granting Sterigenics’ motion for summary judgment on strict liability, the Unfair Practices Act claim, and the claims for decreased property values, increased healthcare costs and medical monitoring costs. The case has been remanded to the District Court of Doña Ana County for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proceedings on the remaining claims. A defense motion challenging the Court’s jurisdiction over Sotera Health Company and another defendant also remains pending.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Sterigenics and certain other subsidiaries are also defendants in a lawsuit pending in the United States District Court for the District of New Mexico alleging wrongful death resulting from purported exposure to EO used, emitted and released from Sterigenics’ facility in Santa Teresa, New Mexico while the decedent was working at a different company’s facility approximately one mile away. The case is set for trial in October 2025.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vigorously defend the lawsuits relating to the Santa Teresa facility.</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EO tort lawsuits may be filed in the future against the Company and/or its subsidiaries relating to Sterigenics’ Willowbrook, Atlanta, Santa Teresa, Vernon or other EO facilities. Based on our view of the strength of the science and related evidence that emissions of EO from Sterigenics’ operations have not caused and could not have caused the harms alleged in such lawsuits, we believe that losses in the remaining or future EO cases are not probable. Although the Company intends to defend itself vigorously on the merits, future settlements of EO tort lawsuits are reasonably possible. The Willowbrook and Atlanta Settlements (as previously defined in Note 20, Commitments and Contingencies of our 2023 10-K) were driven by dynamics unique to the cases that were settled and thus should not give rise to presumptions that the Company will settle additional EO tort lawsuits and/or that any such settlements will be for comparable amounts.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trial and settlement outcomes can vary widely based a host of factors. EO tort lawsuits will be presided over by different judges, tried by different counsel presenting different evidence and decided by different juries. The substantive and procedural laws of jurisdictions vary and can meaningfully impact the litigation process and outcome of a case. Each plaintiff’s claim involves unique facts and evidence including the circumstances of the plaintiff’s alleged exposure, the type and severity of the plaintiff’s disease, the plaintiff’s medical history and course of treatment, the location of and other factors related to the plaintiff’s real property, and other circumstances. The outcomes of trials before juries are rarely certain and a judgment rendered or settlement reached in one case is not necessarily representative of potential outcomes of other seemingly comparable cases. As a result, it is not possible to estimate a reasonably possible loss or range of loss with respect to any future EO tort lawsuit, trial or settlement.</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Insurance Coverage for Environmental Liabilities</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environmental liability insurance policy under which we have received coverage for the EO tort lawsuits in Illinois, Georgia and New Mexico described above had limits of $10.0 million per occurrence and $20.0 million in the aggregate. Those per occurrence and aggregate limits were fully utilized in the defense of the Illinois, Georgia and New Mexico litigation. Our insurance for future alleged environmental liabilities excludes coverage for EO claims.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pursuing additional insurance coverage for our legal expenses related to EO tort lawsuits like the Illinois, Georgia and New Mexico matters described above. In 2021, Sterigenics filed an insurance coverage lawsuit in the U.S. District Court for the Northern District of Illinois relating to two commercial general liability policies issued in the 1980s (the “Northern District of Illinois Coverage Lawsuit”). The court issued an order declaring that the defendant insurer owes Sterigenics and another insured party a duty to defend the Willowbrook Cases (the “Duty to Defend Order”) and entered judgment for Sterigenics in January 2024 in the amount of $110.2 million for certain defense costs incurred in the Willowbrook Cases as of August 2022 (the “Defense Costs Judgment”). The defendant insurer has appealed the Duty to Defend Order and Defense Costs Judgment. Sterigenics is also a party in insurance coverage lawsuits pending in the Circuit Court of Cook County, Illinois and the Delaware Superior Court relating to insurance coverage from various historical commercial general liability policies for certain EO litigation settlement amounts and defense costs that the insurer in the Northern District of Illinois Coverage Lawsuit may fail to fund. The Delaware Superior Court has granted Sterigenics’ motion to stay the case pending resolution of the same and similar issues in the coverage lawsuit pending in the Circuit Court of Cook County, Illinois. It is not possible to predict how much, if any, of the insurance proceeds sought will ultimately be recovered.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Sotera Health Company Securities Litigation &amp; Related Matters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January 2023, a stockholder class action was filed in the U.S. District Court for the Northern District of Ohio against the Company, certain past and present directors and senior executives, the Company’s private equity stockholders and the underwriters of the Company’s initial public offering (“IPO”) in November 2020 and the Company’s secondary public offering (“SPO”) in March 2021 (the “Michigan Funds Litigation”). In April 2023, the court appointed the Oakland County Employees’ Retirement System, Oakland County Voluntary Employees’ Beneficiary Association, and Wayne County Employees’ Retirement System (the “Michigan Funds”) to serve as lead plaintiff to prosecute claims on behalf of a proposed class of stockholders who acquired shares of the Company in connection with our IPO or SPO or between November 20, 2020 and September 19, 2022 (the “Proposed Class”). The Michigan Funds allege that statements made regarding the safety of the Company’s use of EO and/or its EO tort lawsuits and other risks of its EO operations violated Sections 11, 12(a)(2) and 15 of the Securities Act of 1933 (when made in the registration statements for the IPO and SPO) and Sections 10(b), Section 20(a) and Rule 10b-5 of the Securities Exchange Act of 1934 (when made in subsequent securities filings and other contexts). Defendants have moved to dismiss the Amended Complaint and that motion remains pending.</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May 2023, July 2023 and April 2024, the Company received demands pursuant to 8 Del. C. §220 for inspections of its books and records from shareholders purporting to be investigating the Company’s internal operations, disclosure practices and other matters alleged and at issue in the Michigan Funds Litigation and related to the Company’s March 2024 Secondary Public Offering. The Company is producing documents in response to the 220 Demands.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believes that the allegations and claims in the Michigan Funds Litigation and 220 Demands are without merit and plans to vigorously defend the Michigan Funds Litigation</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15.Financial Instruments and Financial Risk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Derivative Instruments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use derivatives for trading or speculative purposes and are not a party to leveraged derivatives.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Designated in Hedge Relationships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we entered into an interest rate swap agreement with a notional amount of $400.0 million. The interest rate swap was effective on August 23, 2023 and expires on August 23, 2025. We have designated the interest swap as a cash flow hedge designed to hedge the variability of cash flows attributable to changes in the SOFR benchmark interest rate of our 2023 Term Loan (or any successor thereto). We receive interest at the one-month Term SOFR rate and pay a fixed interest rate under the terms of the swap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we entered into two interest rate cap agreements with a combined notional amount of $1,000.0 million for a total option premium of $4.1 million. The interest rate caps became effective as of July 31, 2023 and expire on July 31, 2024. We have designated these interest rate caps as cash flow hedges designed to hedge the variability of cash flows attributable to changes in the benchmark interest rate of our Term Loan (or any successor thereto). Under the current terms of the loan agreement, the benchmark interest rate index transitioned from LIBOR to Term SOFR on June 30, 2023. Accordingly, the interest rate cap agreements hedge the variability of cash flows attributable to changes in SOFR by limiting our cash flow exposure related to Term SOFR under a portion of our variable rate borrowings to 3.5%.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we entered into two interest rate cap agreements with a combined notional amount of $1,000.0 million for a total option premium of $1.8 million. Both interest rate caps were effective on December 31, 2022 and expired on July 31, 2023. These interest rate caps were designated as cash flow hedges designed to hedge the variability of cash flows attributable to changes in LIBOR (or its successor), the benchmark interest rate being hedged, by limiting our cash flow exposure related to the LIBOR base rate under a portion of our variable rate borrowings to 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in Hedge Relationships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from time to time, the Company enters into interest rate derivatives to manage economic risks associated with our variable rate borrowings that are not designated in hedge relationships. These instruments are recorded at fair value on the Consolidated Balance Sheets, with any changes in value recorded in “Interest expense, net” in the Consolidated Statements of Operations and Comprehensive Income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Embedded Derivatives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embedded derivatives in certain of our customer and supply contracts as a result of the currency of the contract being different from the functional currency of the parties involved. Changes in the fair value of the embedded derivatives are recognized in “Other expense (income), net” in the Consolidated Statements of Operations and Comprehensive Income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summary of the notional and fair values of our derivative instruments: </w:t>
      </w:r>
    </w:p>
    <w:tbl>
      <w:tblPr>
        <w:tblW w:w="10205" w:type="dxa"/>
        <w:jc w:val="left"/>
        <w:tblInd w:w="0" w:type="dxa"/>
        <w:tblLayout w:type="fixed"/>
        <w:tblCellMar>
          <w:top w:w="28" w:type="dxa"/>
          <w:left w:w="28" w:type="dxa"/>
          <w:bottom w:w="28" w:type="dxa"/>
          <w:right w:w="28" w:type="dxa"/>
        </w:tblCellMar>
      </w:tblPr>
      <w:tblGrid>
        <w:gridCol w:w="962"/>
        <w:gridCol w:w="719"/>
        <w:gridCol w:w="722"/>
        <w:gridCol w:w="211"/>
        <w:gridCol w:w="781"/>
        <w:gridCol w:w="109"/>
        <w:gridCol w:w="109"/>
        <w:gridCol w:w="109"/>
        <w:gridCol w:w="109"/>
        <w:gridCol w:w="211"/>
        <w:gridCol w:w="736"/>
        <w:gridCol w:w="109"/>
        <w:gridCol w:w="109"/>
        <w:gridCol w:w="109"/>
        <w:gridCol w:w="109"/>
        <w:gridCol w:w="211"/>
        <w:gridCol w:w="631"/>
        <w:gridCol w:w="109"/>
        <w:gridCol w:w="109"/>
        <w:gridCol w:w="109"/>
        <w:gridCol w:w="109"/>
        <w:gridCol w:w="211"/>
        <w:gridCol w:w="766"/>
        <w:gridCol w:w="109"/>
        <w:gridCol w:w="109"/>
        <w:gridCol w:w="109"/>
        <w:gridCol w:w="109"/>
        <w:gridCol w:w="211"/>
        <w:gridCol w:w="721"/>
        <w:gridCol w:w="109"/>
        <w:gridCol w:w="109"/>
        <w:gridCol w:w="109"/>
        <w:gridCol w:w="109"/>
        <w:gridCol w:w="236"/>
        <w:gridCol w:w="522"/>
        <w:gridCol w:w="174"/>
      </w:tblGrid>
      <w:tr>
        <w:trPr/>
        <w:tc>
          <w:tcPr>
            <w:tcW w:w="96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4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U.S. Dollars; notional in millions, fair value in thousands)</w:t>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Liabilities</w:t>
            </w:r>
          </w:p>
        </w:tc>
      </w:tr>
      <w:tr>
        <w:trPr/>
        <w:tc>
          <w:tcPr>
            <w:tcW w:w="2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5,828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53" w:after="4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1,741.4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12,154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(a)Represents the total notional amounts for certain of the Company’s supply and sales contracts accounted for as embedded derivatives.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Embedded derivative assets/liabilities and foreign currency forward contracts are included in “Prepaid expenses and other current assets” and “Accrued Liabilities” on our Consolidated Balance Sheets depending upon their position at period end. Interest rate swaps and interest rate caps are included in “Other assets” and “Noncurrent liabilities”, respectively, on the Consolidated Balance Sheets depending upon their position at period end.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activities of our derivative instruments for the periods presented, and the line item in which they are recorded in the Consolidated Statements of Operations and Comprehensive Income (Loss): </w:t>
      </w:r>
    </w:p>
    <w:tbl>
      <w:tblPr>
        <w:tblW w:w="9861" w:type="dxa"/>
        <w:jc w:val="left"/>
        <w:tblInd w:w="0" w:type="dxa"/>
        <w:tblLayout w:type="fixed"/>
        <w:tblCellMar>
          <w:top w:w="28" w:type="dxa"/>
          <w:left w:w="28" w:type="dxa"/>
          <w:bottom w:w="28" w:type="dxa"/>
          <w:right w:w="28" w:type="dxa"/>
        </w:tblCellMar>
      </w:tblPr>
      <w:tblGrid>
        <w:gridCol w:w="2821"/>
        <w:gridCol w:w="2479"/>
        <w:gridCol w:w="2485"/>
        <w:gridCol w:w="344"/>
        <w:gridCol w:w="346"/>
        <w:gridCol w:w="156"/>
        <w:gridCol w:w="109"/>
        <w:gridCol w:w="109"/>
        <w:gridCol w:w="109"/>
        <w:gridCol w:w="344"/>
        <w:gridCol w:w="346"/>
        <w:gridCol w:w="213"/>
      </w:tblGrid>
      <w:tr>
        <w:trPr/>
        <w:tc>
          <w:tcPr>
            <w:tcW w:w="2821"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 March 31,</w:t>
            </w:r>
          </w:p>
        </w:tc>
        <w:tc>
          <w:tcPr>
            <w:tcW w:w="8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785"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Realized gain on interest rate derivatives recorded in interest expense, net</w:t>
            </w:r>
            <w:r>
              <w:rPr>
                <w:rFonts w:ascii="Times New Roman;sans-serif" w:hAnsi="Times New Roman;sans-serif"/>
                <w:b w:val="false"/>
                <w:color w:val="000000"/>
                <w:sz w:val="13"/>
              </w:rPr>
              <w:t>(a)</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(4,897)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(9,648)</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embedded derivatives recorded in other expense (income), net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1,833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foreign currency forward contracts recorded in foreign exchange (gain) loss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4,008</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foreign currency forward contracts recorded in foreign exchange (gain) loss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(a)For the three months ended March 31, 2024, amounts represent quarterly settlement of interest rate caps and swaps.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reclassify approximately $8.0 million of pre-tax net gains on derivative instruments from accumulated other comprehensive income (loss) to income during the next 12 months associated with our cash flow hedges. Refer to Note 11, “Other Comprehensive Income (Loss)” for unrealized gains on interest rate derivatives, net of applicable tax, recorded in other comprehensive income (loss) and amounts reclassified from accumulated other comprehensive income to interest expense, net of applicable tax, during the three months ended March 31,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Credit Risk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financial assets, including cash and cash equivalents, are exposed to credit risk.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exposed, in our normal course of business, to credit risk from our customers. As of March 31, 2024 and December 31, 2023, accounts receivable was net of an allowance for uncollectible accounts of $3.9 million and $4.7 million,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Hierarchy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discloses the fair value of our financial assets and liabilities: </w:t>
      </w:r>
    </w:p>
    <w:tbl>
      <w:tblPr>
        <w:tblW w:w="9058" w:type="dxa"/>
        <w:jc w:val="left"/>
        <w:tblInd w:w="0" w:type="dxa"/>
        <w:tblLayout w:type="fixed"/>
        <w:tblCellMar>
          <w:top w:w="28" w:type="dxa"/>
          <w:left w:w="28" w:type="dxa"/>
          <w:bottom w:w="28" w:type="dxa"/>
          <w:right w:w="28" w:type="dxa"/>
        </w:tblCellMar>
      </w:tblPr>
      <w:tblGrid>
        <w:gridCol w:w="1584"/>
        <w:gridCol w:w="1390"/>
        <w:gridCol w:w="1406"/>
        <w:gridCol w:w="248"/>
        <w:gridCol w:w="743"/>
        <w:gridCol w:w="109"/>
        <w:gridCol w:w="109"/>
        <w:gridCol w:w="109"/>
        <w:gridCol w:w="109"/>
        <w:gridCol w:w="211"/>
        <w:gridCol w:w="406"/>
        <w:gridCol w:w="109"/>
        <w:gridCol w:w="109"/>
        <w:gridCol w:w="109"/>
        <w:gridCol w:w="109"/>
        <w:gridCol w:w="248"/>
        <w:gridCol w:w="743"/>
        <w:gridCol w:w="109"/>
        <w:gridCol w:w="109"/>
        <w:gridCol w:w="109"/>
        <w:gridCol w:w="109"/>
        <w:gridCol w:w="211"/>
        <w:gridCol w:w="406"/>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March 31, 2024</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3 </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Derivatives designated as hedging instruments</w:t>
            </w:r>
            <w:r>
              <w:rPr>
                <w:rFonts w:ascii="Times New Roman;sans-serif" w:hAnsi="Times New Roman;sans-serif"/>
                <w:b w:val="false"/>
                <w:color w:val="000000"/>
                <w:sz w:val="13"/>
              </w:rPr>
              <w:t>(a)</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caps</w:t>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5,828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5,828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Derivatives not designated as hedging instruments</w:t>
            </w:r>
            <w:r>
              <w:rPr>
                <w:rFonts w:ascii="Times New Roman;sans-serif" w:hAnsi="Times New Roman;sans-serif"/>
                <w:b w:val="false"/>
                <w:color w:val="000000"/>
                <w:sz w:val="13"/>
              </w:rPr>
              <w:t>(b)</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assets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liabilities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Current portion of long-term debt</w:t>
            </w:r>
            <w:r>
              <w:rPr>
                <w:rFonts w:ascii="Times New Roman;sans-serif" w:hAnsi="Times New Roman;sans-serif"/>
                <w:b w:val="false"/>
                <w:color w:val="000000"/>
                <w:sz w:val="13"/>
              </w:rPr>
              <w:t>(c)</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2026</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4,808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4,975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Long-Term Debt</w:t>
            </w:r>
            <w:r>
              <w:rPr>
                <w:rFonts w:ascii="Times New Roman;sans-serif" w:hAnsi="Times New Roman;sans-serif"/>
                <w:b w:val="false"/>
                <w:color w:val="000000"/>
                <w:sz w:val="13"/>
              </w:rPr>
              <w:t>(c)</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2026</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1,752,189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1,747,761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2026</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472,422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488,794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Finance Lease Obligations (with current portion)</w:t>
            </w:r>
            <w:r>
              <w:rPr>
                <w:rFonts w:ascii="Times New Roman;sans-serif" w:hAnsi="Times New Roman;sans-serif"/>
                <w:b w:val="false"/>
                <w:color w:val="000000"/>
                <w:sz w:val="13"/>
              </w:rPr>
              <w:t>(d)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92,348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92,348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27" w:type="dxa"/>
        <w:jc w:val="left"/>
        <w:tblInd w:w="0" w:type="dxa"/>
        <w:tblLayout w:type="fixed"/>
        <w:tblCellMar>
          <w:top w:w="28" w:type="dxa"/>
          <w:left w:w="28" w:type="dxa"/>
          <w:bottom w:w="28" w:type="dxa"/>
          <w:right w:w="28" w:type="dxa"/>
        </w:tblCellMar>
      </w:tblPr>
      <w:tblGrid>
        <w:gridCol w:w="1583"/>
        <w:gridCol w:w="1395"/>
        <w:gridCol w:w="1401"/>
        <w:gridCol w:w="249"/>
        <w:gridCol w:w="727"/>
        <w:gridCol w:w="109"/>
        <w:gridCol w:w="109"/>
        <w:gridCol w:w="109"/>
        <w:gridCol w:w="109"/>
        <w:gridCol w:w="211"/>
        <w:gridCol w:w="406"/>
        <w:gridCol w:w="109"/>
        <w:gridCol w:w="109"/>
        <w:gridCol w:w="109"/>
        <w:gridCol w:w="109"/>
        <w:gridCol w:w="249"/>
        <w:gridCol w:w="727"/>
        <w:gridCol w:w="109"/>
        <w:gridCol w:w="109"/>
        <w:gridCol w:w="109"/>
        <w:gridCol w:w="109"/>
        <w:gridCol w:w="211"/>
        <w:gridCol w:w="406"/>
        <w:gridCol w:w="154"/>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2023</w:t>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3 </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Derivatives designated as hedging instruments</w:t>
            </w:r>
            <w:r>
              <w:rPr>
                <w:rFonts w:ascii="Times New Roman;sans-serif" w:hAnsi="Times New Roman;sans-serif"/>
                <w:b w:val="false"/>
                <w:color w:val="000000"/>
                <w:sz w:val="13"/>
              </w:rPr>
              <w:t>(a)</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caps</w:t>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Derivatives not designated as hedging instruments</w:t>
            </w:r>
            <w:r>
              <w:rPr>
                <w:rFonts w:ascii="Times New Roman;sans-serif" w:hAnsi="Times New Roman;sans-serif"/>
                <w:b w:val="false"/>
                <w:color w:val="000000"/>
                <w:sz w:val="13"/>
              </w:rPr>
              <w:t>(b)</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assets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liabilities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assets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liabilities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Current portion of long-term debt</w:t>
            </w:r>
            <w:r>
              <w:rPr>
                <w:rFonts w:ascii="Times New Roman;sans-serif" w:hAnsi="Times New Roman;sans-serif"/>
                <w:b w:val="false"/>
                <w:color w:val="000000"/>
                <w:sz w:val="13"/>
              </w:rPr>
              <w:t>(c)</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2026</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Long-Term Debt</w:t>
            </w:r>
            <w:r>
              <w:rPr>
                <w:rFonts w:ascii="Times New Roman;sans-serif" w:hAnsi="Times New Roman;sans-serif"/>
                <w:b w:val="false"/>
                <w:color w:val="000000"/>
                <w:sz w:val="13"/>
              </w:rPr>
              <w:t>(c)</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2026</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2026</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20"/>
              </w:rPr>
              <w:t>Finance Lease Obligations (with current portion)</w:t>
            </w:r>
            <w:r>
              <w:rPr>
                <w:rFonts w:ascii="Times New Roman;sans-serif" w:hAnsi="Times New Roman;sans-serif"/>
                <w:b w:val="false"/>
                <w:color w:val="000000"/>
                <w:sz w:val="13"/>
              </w:rPr>
              <w:t>(d)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(a)Derivatives designated as hedging instruments are measured at fair value with changes in fair value recorded as a component of accumulated other comprehensive income (loss). Interest rate caps and swaps are valued using pricing models that incorporate observable market inputs, including interest rate and yield curves.</w:t>
      </w:r>
    </w:p>
    <w:p>
      <w:pPr>
        <w:pStyle w:val="TextBody"/>
        <w:bidi w:val="0"/>
        <w:spacing w:lineRule="auto" w:line="288" w:before="0" w:after="0"/>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(b)Derivatives that are not designated as hedging instruments are measured at fair value with gains or losses recognized immediately in the Consolidated Statements of Operations and Comprehensive Income (Loss). Embedded derivatives are valued using internally developed models that rely on observable market inputs, including foreign currency forward curves. Foreign currency forward contracts are valued by reference to changes in the foreign currency exchange rate over the life of the contract.</w:t>
      </w:r>
    </w:p>
    <w:p>
      <w:pPr>
        <w:pStyle w:val="TextBody"/>
        <w:bidi w:val="0"/>
        <w:spacing w:lineRule="auto" w:line="288" w:before="0" w:after="0"/>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(c)Carrying amounts of current portion of long-term debt and long-term debt instruments are reported net of discounts and debt issuance costs. The estimated fair values of these instruments are based upon quoted prices for the term loans due in 2026 in inactive markets as provided by an independent fixed income security pricing service.</w:t>
      </w:r>
    </w:p>
    <w:p>
      <w:pPr>
        <w:pStyle w:val="TextBody"/>
        <w:bidi w:val="0"/>
        <w:spacing w:lineRule="auto" w:line="288" w:before="0" w:after="0"/>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(d)Fair value approximates carrying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16.Segment Information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decision-maker evaluates performance and allocates resources based on net revenues and segment income after the elimination of intercompany activities. The accounting policies of our reportable segments are the same as those described in Note 1, “Significant Accounting Policies” of the Company's annual consolidated financial statements and accompanying notes in our 2023 10-K.</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Sterigenics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provides outsourced terminal sterilization and irradiation services for the medical device, pharmaceutical, food safety and advanced applications markets using three major technologies: gamma irradiation, EO processing and E-beam irradiation.</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Nordion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Nelson Labs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Nelson Labs provides outsourced microbiological and analytical chemistry testing and advisory services for the medical device and pharmaceutical industries.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four customers reported within the Nordion segment individually represented 10% or more of the segment’s total net revenues. These customers represented 18.9%, 18.8%, 16.7% and 10.7% of the total segment’s external net revenues for the three months ended March 31, 2024. For the three months ended March 31, 2023, two customers reported within the Nordion segment individually represented 10% or more of the segment's total net revenues. These customers represented 54.6% and 11.3% of the total segment's external net revenues for the three months ended March 31, 2023. The high concentration of revenues from these customers in the three months ended March 31, 2023 mainly stemmed from the low sales volume pattern during that period.</w:t>
      </w:r>
    </w:p>
    <w:tbl>
      <w:tblPr>
        <w:tblW w:w="4828" w:type="dxa"/>
        <w:jc w:val="left"/>
        <w:tblInd w:w="0" w:type="dxa"/>
        <w:tblLayout w:type="fixed"/>
        <w:tblCellMar>
          <w:top w:w="28" w:type="dxa"/>
          <w:left w:w="28" w:type="dxa"/>
          <w:bottom w:w="28" w:type="dxa"/>
          <w:right w:w="28" w:type="dxa"/>
        </w:tblCellMar>
      </w:tblPr>
      <w:tblGrid>
        <w:gridCol w:w="723"/>
        <w:gridCol w:w="635"/>
        <w:gridCol w:w="637"/>
        <w:gridCol w:w="223"/>
        <w:gridCol w:w="890"/>
        <w:gridCol w:w="115"/>
        <w:gridCol w:w="115"/>
        <w:gridCol w:w="115"/>
        <w:gridCol w:w="115"/>
        <w:gridCol w:w="223"/>
        <w:gridCol w:w="87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28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color w:val="000000"/>
                <w:sz w:val="20"/>
              </w:rPr>
              <w:t>Segment revenues</w:t>
            </w:r>
            <w:r>
              <w:rPr>
                <w:rFonts w:ascii="Times New Roman;sans-serif" w:hAnsi="Times New Roman;sans-serif"/>
                <w:b/>
                <w:color w:val="000000"/>
                <w:sz w:val="13"/>
              </w:rPr>
              <w:t>(a)</w:t>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166,497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24,007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57,672</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248,176</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220,590 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40"/>
              <w:jc w:val="left"/>
              <w:rPr/>
            </w:pPr>
            <w:r>
              <w:rPr>
                <w:rFonts w:ascii="Times New Roman;sans-serif" w:hAnsi="Times New Roman;sans-serif"/>
                <w:b/>
                <w:color w:val="000000"/>
                <w:sz w:val="20"/>
              </w:rPr>
              <w:t>Segment income</w:t>
            </w:r>
            <w:r>
              <w:rPr>
                <w:rFonts w:ascii="Times New Roman;sans-serif" w:hAnsi="Times New Roman;sans-serif"/>
                <w:b/>
                <w:color w:val="000000"/>
                <w:sz w:val="13"/>
              </w:rPr>
              <w:t>(b)</w:t>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85,818</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10,785</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15,341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segment income</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111,944</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98,468 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(a)Revenues are reported net of intersegment sales. Our Nordion segment recognized $10.0 million and $2.9 million in revenues from sales to our Sterigenics segment for the three months ended March 31, 2024 and 2023, respectively, that is not reflected in net revenues in the table above. Intersegment sales for Sterigenics and Nelson Labs are immaterial for both periods presented.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(b)Segment income is only provided on a net basis to the chief operating decision-maker and is reported net of intersegment profits.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operating expenses for executive management, accounting, information technology, legal, human resources, treasury, investor relations, corporate development, tax, purchasing, and marketing not directly incurred by a segment are allocated to the segments based on total net revenue. Corporate operating expenses that are directly incurred by a segment are reflected in each segment’s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by segment for the three months ended March 31, 2024 and 2023 were as follows:</w:t>
      </w:r>
    </w:p>
    <w:tbl>
      <w:tblPr>
        <w:tblW w:w="5173" w:type="dxa"/>
        <w:jc w:val="left"/>
        <w:tblInd w:w="0" w:type="dxa"/>
        <w:tblLayout w:type="fixed"/>
        <w:tblCellMar>
          <w:top w:w="28" w:type="dxa"/>
          <w:left w:w="28" w:type="dxa"/>
          <w:bottom w:w="28" w:type="dxa"/>
          <w:right w:w="28" w:type="dxa"/>
        </w:tblCellMar>
      </w:tblPr>
      <w:tblGrid>
        <w:gridCol w:w="848"/>
        <w:gridCol w:w="745"/>
        <w:gridCol w:w="747"/>
        <w:gridCol w:w="242"/>
        <w:gridCol w:w="845"/>
        <w:gridCol w:w="125"/>
        <w:gridCol w:w="125"/>
        <w:gridCol w:w="125"/>
        <w:gridCol w:w="125"/>
        <w:gridCol w:w="242"/>
        <w:gridCol w:w="828"/>
        <w:gridCol w:w="176"/>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28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22,274</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10,736</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1,880</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 expenditures</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34,890</w:t>
            </w:r>
            <w:r>
              <w:rPr>
                <w:color w:val="000000"/>
              </w:rPr>
              <w:t>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and depreciation and amortization expense by segment are not readily available and are not reported separately to the chief operating decision-maker.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segment income to consolidated income before taxes is as follows: </w:t>
      </w:r>
    </w:p>
    <w:tbl>
      <w:tblPr>
        <w:tblW w:w="9717" w:type="dxa"/>
        <w:jc w:val="left"/>
        <w:tblInd w:w="0" w:type="dxa"/>
        <w:tblLayout w:type="fixed"/>
        <w:tblCellMar>
          <w:top w:w="28" w:type="dxa"/>
          <w:left w:w="28" w:type="dxa"/>
          <w:bottom w:w="28" w:type="dxa"/>
          <w:right w:w="28" w:type="dxa"/>
        </w:tblCellMar>
      </w:tblPr>
      <w:tblGrid>
        <w:gridCol w:w="2571"/>
        <w:gridCol w:w="2258"/>
        <w:gridCol w:w="2265"/>
        <w:gridCol w:w="215"/>
        <w:gridCol w:w="857"/>
        <w:gridCol w:w="111"/>
        <w:gridCol w:w="111"/>
        <w:gridCol w:w="111"/>
        <w:gridCol w:w="111"/>
        <w:gridCol w:w="215"/>
        <w:gridCol w:w="735"/>
        <w:gridCol w:w="157"/>
      </w:tblGrid>
      <w:tr>
        <w:trPr/>
        <w:tc>
          <w:tcPr>
            <w:tcW w:w="2571"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111,944</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98,468 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Less adjustments:</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333" w:before="0" w:after="0"/>
              <w:ind w:left="0" w:right="0" w:hanging="270"/>
              <w:jc w:val="left"/>
              <w:rPr/>
            </w:pPr>
            <w:r>
              <w:rPr>
                <w:rFonts w:ascii="Times New Roman;sans-serif" w:hAnsi="Times New Roman;sans-serif"/>
                <w:b w:val="false"/>
                <w:color w:val="000000"/>
                <w:sz w:val="20"/>
              </w:rPr>
              <w:t>Interest expense, net</w:t>
            </w:r>
            <w:r>
              <w:rPr>
                <w:rFonts w:ascii="Times New Roman;sans-serif" w:hAnsi="Times New Roman;sans-serif"/>
                <w:b w:val="false"/>
                <w:color w:val="000000"/>
                <w:sz w:val="13"/>
              </w:rPr>
              <w:t>(a)</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41,771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Depreciation and amortization</w:t>
            </w:r>
            <w:r>
              <w:rPr>
                <w:rFonts w:ascii="Times New Roman;sans-serif" w:hAnsi="Times New Roman;sans-serif"/>
                <w:b w:val="false"/>
                <w:color w:val="000000"/>
                <w:sz w:val="13"/>
              </w:rPr>
              <w:t>(b)</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40,430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Share-based compensation</w:t>
            </w:r>
            <w:r>
              <w:rPr>
                <w:rFonts w:ascii="Times New Roman;sans-serif" w:hAnsi="Times New Roman;sans-serif"/>
                <w:b w:val="false"/>
                <w:color w:val="000000"/>
                <w:sz w:val="13"/>
              </w:rPr>
              <w:t>(c)</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8,657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Loss on foreign currency and derivatives not designated as hedging instruments, net</w:t>
            </w:r>
            <w:r>
              <w:rPr>
                <w:rFonts w:ascii="Times New Roman;sans-serif" w:hAnsi="Times New Roman;sans-serif"/>
                <w:b w:val="false"/>
                <w:color w:val="000000"/>
                <w:sz w:val="13"/>
              </w:rPr>
              <w:t>(d)</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1,230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Business optimization expenses</w:t>
            </w:r>
            <w:r>
              <w:rPr>
                <w:rFonts w:ascii="Times New Roman;sans-serif" w:hAnsi="Times New Roman;sans-serif"/>
                <w:b w:val="false"/>
                <w:color w:val="000000"/>
                <w:sz w:val="13"/>
              </w:rPr>
              <w:t>(e)</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333" w:before="0" w:after="0"/>
              <w:ind w:left="0" w:right="0" w:hanging="270"/>
              <w:jc w:val="left"/>
              <w:rPr/>
            </w:pPr>
            <w:r>
              <w:rPr>
                <w:rFonts w:ascii="Times New Roman;sans-serif" w:hAnsi="Times New Roman;sans-serif"/>
                <w:b w:val="false"/>
                <w:color w:val="000000"/>
                <w:sz w:val="20"/>
              </w:rPr>
              <w:t>Refinancing and secondary offering costs</w:t>
            </w:r>
            <w:r>
              <w:rPr>
                <w:rFonts w:ascii="Times New Roman;sans-serif" w:hAnsi="Times New Roman;sans-serif"/>
                <w:b w:val="false"/>
                <w:color w:val="000000"/>
                <w:sz w:val="13"/>
              </w:rPr>
              <w:t>(f)</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1,807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Professional services relating to EO sterilization facilities</w:t>
            </w:r>
            <w:r>
              <w:rPr>
                <w:rFonts w:ascii="Times New Roman;sans-serif" w:hAnsi="Times New Roman;sans-serif"/>
                <w:b w:val="false"/>
                <w:color w:val="000000"/>
                <w:sz w:val="13"/>
              </w:rPr>
              <w:t>(g)</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6,339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70"/>
              <w:jc w:val="left"/>
              <w:rPr/>
            </w:pPr>
            <w:r>
              <w:rPr>
                <w:rFonts w:ascii="Times New Roman;sans-serif" w:hAnsi="Times New Roman;sans-serif"/>
                <w:b w:val="false"/>
                <w:color w:val="000000"/>
                <w:sz w:val="20"/>
              </w:rPr>
              <w:t>Accretion of asset retirement obligation</w:t>
            </w:r>
            <w:r>
              <w:rPr>
                <w:rFonts w:ascii="Times New Roman;sans-serif" w:hAnsi="Times New Roman;sans-serif"/>
                <w:b w:val="false"/>
                <w:color w:val="000000"/>
                <w:sz w:val="13"/>
              </w:rPr>
              <w:t>(h)</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642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income before taxes</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11,014</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pPr>
      <w:r>
        <w:rPr>
          <w:rFonts w:ascii="Times New Roman;sans-serif" w:hAnsi="Times New Roman;sans-serif"/>
          <w:b w:val="false"/>
          <w:color w:val="000000"/>
          <w:sz w:val="20"/>
          <w:shd w:fill="FFFFFF" w:val="clear"/>
        </w:rPr>
        <w:t xml:space="preserve">(a)Interest expense, net presented in this reconciliation for the three months ended March 31, 2023 has been adjusted to conform to the current year presentation to include interest expense, net on Term Loan B attributable to the loan proceeds that were used to fund the </w:t>
      </w:r>
      <w:r>
        <w:rPr>
          <w:rFonts w:ascii="Times New Roman;sans-serif" w:hAnsi="Times New Roman;sans-serif"/>
          <w:b w:val="false"/>
          <w:color w:val="000000"/>
          <w:sz w:val="20"/>
        </w:rPr>
        <w:t>$408.0 million</w:t>
      </w:r>
      <w:r>
        <w:rPr>
          <w:color w:val="000000"/>
          <w:shd w:fill="FFFFFF" w:val="clear"/>
        </w:rPr>
        <w:t xml:space="preserve"> </w:t>
      </w:r>
      <w:r>
        <w:rPr>
          <w:rFonts w:ascii="Times New Roman;sans-serif" w:hAnsi="Times New Roman;sans-serif"/>
          <w:b w:val="false"/>
          <w:color w:val="000000"/>
          <w:sz w:val="20"/>
          <w:shd w:fill="FFFFFF" w:val="clear"/>
        </w:rPr>
        <w:t>Illinois EO litigation settlement.</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(b)Includes depreciation of Co-60 held at gamma irradiation sites.</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(c)Represents share-based compensation expense to employees and Non-Employee Directors.</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(d)Represents the effects of (i) fluctuations in foreign currency exchange rates and (ii) non-cash mark-to-fair value of embedded derivatives relating to certain customer and supply contracts at Nordion. </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three months ended March 31, 2023 includes a $1.0 million cancellation fee received from a tenant in connection with the termination of an office space lease at the Nordion facility. </w:t>
      </w:r>
    </w:p>
    <w:p>
      <w:pPr>
        <w:pStyle w:val="TextBody"/>
        <w:bidi w:val="0"/>
        <w:spacing w:lineRule="auto" w:line="288" w:before="40" w:after="283"/>
        <w:ind w:left="0" w:right="0" w:hanging="540"/>
        <w:jc w:val="left"/>
        <w:rPr/>
      </w:pPr>
      <w:r>
        <w:rPr>
          <w:rFonts w:ascii="Times New Roman;sans-serif" w:hAnsi="Times New Roman;sans-serif"/>
          <w:b w:val="false"/>
          <w:color w:val="000000"/>
          <w:sz w:val="20"/>
          <w:shd w:fill="FFFFFF" w:val="clear"/>
        </w:rPr>
        <w:t xml:space="preserve">(f)The three months ended March 31, 2024 includes </w:t>
      </w:r>
      <w:r>
        <w:rPr>
          <w:rFonts w:ascii="Times New Roman;sans-serif" w:hAnsi="Times New Roman;sans-serif"/>
          <w:b w:val="false"/>
          <w:color w:val="000000"/>
          <w:sz w:val="20"/>
        </w:rPr>
        <w:t>$1.1 million of expenses incurred in connection with the secondary offering of our common stock that closed on March 4, 2024 and write-off of unamortized debt issuance costs in connection with Amendment No. 3 to the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33" w:before="0" w:after="0"/>
        <w:jc w:val="left"/>
        <w:rPr/>
      </w:pPr>
      <w:hyperlink w:anchor="i7be4eb4d91274a9e8d4d07e286588d8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40" w:after="283"/>
        <w:ind w:left="0" w:right="0" w:hanging="540"/>
        <w:jc w:val="left"/>
        <w:rPr/>
      </w:pPr>
      <w:r>
        <w:rPr>
          <w:rFonts w:ascii="Times New Roman;sans-serif" w:hAnsi="Times New Roman;sans-serif"/>
          <w:b w:val="false"/>
          <w:color w:val="231F20"/>
          <w:sz w:val="20"/>
          <w:shd w:fill="FFFFFF" w:val="clear"/>
        </w:rPr>
        <w:t>(g)</w:t>
      </w:r>
      <w:r>
        <w:rPr>
          <w:rFonts w:ascii="Times New Roman;sans-serif" w:hAnsi="Times New Roman;sans-serif"/>
          <w:b w:val="false"/>
          <w:color w:val="000000"/>
          <w:sz w:val="20"/>
          <w:shd w:fill="FFFFFF" w:val="clear"/>
        </w:rPr>
        <w:t xml:space="preserve">Represents litigation and other professional fees associated with our EO sterilization facilities. Amounts presented for the three months ended March 31, 2023 have been adjusted to exclude interest expense, net associated with Term Loan B attributable to the loan proceeds that were used to fund the </w:t>
      </w:r>
      <w:r>
        <w:rPr>
          <w:rFonts w:ascii="Times New Roman;sans-serif" w:hAnsi="Times New Roman;sans-serif"/>
          <w:b w:val="false"/>
          <w:color w:val="000000"/>
          <w:sz w:val="20"/>
        </w:rPr>
        <w:t>$408.0 million</w:t>
      </w:r>
      <w:r>
        <w:rPr>
          <w:color w:val="000000"/>
          <w:shd w:fill="FFFFFF" w:val="clear"/>
        </w:rPr>
        <w:t xml:space="preserve"> </w:t>
      </w:r>
      <w:r>
        <w:rPr>
          <w:rFonts w:ascii="Times New Roman;sans-serif" w:hAnsi="Times New Roman;sans-serif"/>
          <w:b w:val="false"/>
          <w:color w:val="000000"/>
          <w:sz w:val="20"/>
          <w:shd w:fill="FFFFFF" w:val="clear"/>
        </w:rPr>
        <w:t>Illinois EO litigation settlement.</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(h)Represents non-cash accretion of asset retirement obligations related to Co-60 and gamma processing facilities, which are based on estimated site remediation costs for any future decommissioning of these facilities and are accreted over the life of the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2023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jc w:val="left"/>
        <w:rPr/>
      </w:pPr>
      <w:r>
        <w:rPr>
          <w:rFonts w:ascii="Times New Roman;sans-serif" w:hAnsi="Times New Roman;sans-serif"/>
          <w:b w:val="false"/>
          <w:color w:val="000000"/>
          <w:sz w:val="20"/>
        </w:rPr>
        <w:t>We are a leading global provider of mission-critical end-to-end sterilization solutions, lab testing and advisory services for the healthcare industry. We are driven by our mission: Safeguarding Global Health</w:t>
      </w:r>
      <w:r>
        <w:rPr>
          <w:rFonts w:ascii="Times New Roman;sans-serif" w:hAnsi="Times New Roman;sans-serif"/>
          <w:b w:val="false"/>
          <w:color w:val="000000"/>
          <w:sz w:val="10"/>
        </w:rPr>
        <w:t>®</w:t>
      </w:r>
      <w:r>
        <w:rPr>
          <w:rFonts w:ascii="Times New Roman;sans-serif" w:hAnsi="Times New Roman;sans-serif"/>
          <w:b w:val="false"/>
          <w:color w:val="000000"/>
          <w:sz w:val="20"/>
        </w:rPr>
        <w:t xml:space="preserve">.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serve our customers throughout their product lifecycles, from product design to manufacturing and delivery, helping to ensure the sterility, effectiveness and safety of their products for the end user. We operate across two core businesses: sterilization services and lab services. The combination of Sterigenics, our terminal sterilization business, and Nordion, our Co-60 supply business, makes us the only vertically integrated global gamma sterilization provider in the sterilization industry. For financial reporting purposes, our sterilization services business consists of two reportable segments, Sterigenics and Nordion, and our lab services business consists of one reportable segment, Nelson Labs.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we recorded net revenues of $248.2 million, net income of $6.3 million, Adjusted Net Income of $35.6 million and Adjusted EBITDA of $111.9 million. For the definition of Adjusted Net Income and Adjusted EBITDA and the reconciliation of these non-GAAP measures from net income, please see “Non-GAAP Financial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STRATEGIC DEVELOPMENTS AND KEY FACTORS AFFECTING OUR RESULTS OF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strategic developments and key factors that have impacted our operating results for the three months ended March 31, 2024 and may continue to affect our performance and financial condition in future periods.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Business and market conditions</w:t>
      </w:r>
      <w:r>
        <w:rPr>
          <w:rFonts w:ascii="Times New Roman;sans-serif" w:hAnsi="Times New Roman;sans-serif"/>
          <w:b w:val="false"/>
          <w:color w:val="000000"/>
          <w:sz w:val="20"/>
        </w:rPr>
        <w:t xml:space="preserve">. Net revenues and segment income for each of our three segments increased in the three months ended March 31, 2024 compared to the three months ended March 31, 2023, which was primarily a result of an overall improvement in volume at Nordion and Nelson Labs and sustained favorability in pricing at Sterigenics and Nelson Labs. Nordion’s volume increased in the three months ended March 31, 2024 as compared to unusually light volume in the three months ended March 31, 2023 due to the timing of Co-60 harvest schedules.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more detail in our 2023 Form 10-K, a portion of our supply of Co-60 is generated by Russian nuclear reactors. We continue to monitor the potential for disruption in the supply of Co-60 from Russian nuclear reactors. There was no impact to our supply or revenue during the three months ended March 31,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 xml:space="preserve">Investment initiatives. </w:t>
      </w:r>
      <w:r>
        <w:rPr>
          <w:rFonts w:ascii="Times New Roman;sans-serif" w:hAnsi="Times New Roman;sans-serif"/>
          <w:b w:val="false"/>
          <w:color w:val="000000"/>
          <w:sz w:val="20"/>
        </w:rPr>
        <w:t>We continue to advance our growth-related investments, including our three active capacity expansion projects within the Sterigenics segment and Co-60 development projects in the Nordion segment. In addition, Nelson Labs has progressed with expansion efforts to support pharma testing services alongside enhancements to its lab information management system.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Disciplined and strategic M&amp;A activity.</w:t>
      </w:r>
      <w:r>
        <w:rPr>
          <w:color w:val="000000"/>
        </w:rPr>
        <w:t xml:space="preserve"> </w:t>
      </w:r>
      <w:r>
        <w:rPr>
          <w:rFonts w:ascii="Times New Roman;sans-serif" w:hAnsi="Times New Roman;sans-serif"/>
          <w:b w:val="false"/>
          <w:color w:val="000000"/>
          <w:sz w:val="20"/>
        </w:rPr>
        <w:t>We remain committed to our highly disciplined acquisition strategy and continue to seek suitable acquisition targets.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Litigation costs</w:t>
      </w:r>
      <w:r>
        <w:rPr>
          <w:rFonts w:ascii="Times New Roman;sans-serif" w:hAnsi="Times New Roman;sans-serif"/>
          <w:b w:val="false"/>
          <w:color w:val="000000"/>
          <w:sz w:val="20"/>
        </w:rPr>
        <w:t xml:space="preserve">. We are currently the subject of tort lawsuits alleging injury by purported exposure to EO used, emitted or released by current facilities in Atlanta, Georgia, Santa Teresa, New Mexico, and Los Angeles, California and our former facility in Willowbrook, Illinois. In addition, we are defendants in a lawsuit brought by the State of New Mexico Attorney General alleging that emissions of EO from our Santa Teresa facility negatively impacted Santa Teresa and surrounding communities. We maintain that these facilities did not pose and do not pose any safety risk to their surrounding communities. We deny the allegations in these lawsuits and are vigorously defending against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claims. See Part II. Item 1., “Legal Proceedings” and Note 14, “Commitments and Contingencies” to our consolidated financial statements.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we recorded costs of $6.3 million and $14.0 million, respectively, representing professional fees and other expenses related to litigation associated with our EO sterilization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the litigation related to our Atlanta, Georgia facility, in October 2023, Sterigenics, agreed to pay $35.0 million to settle 79 of the Atlanta Cases, including a personal injury case that was scheduled to begin trial in the State Court of Gwinnett County that month, and 78 other cases being pursued by the same Plaintiff’s counsel (previously referred to as the “Atlanta Settlement”). The Atlanta Settlement was completed in January 2024, with the settling plaintiffs agreeing to file the necessary dismissals and, where required, motions for court approval. The Company denies any liability and the Atlanta Settlement explicitly provides that the settlement is not to be construed as an admission of any liability or that emissions from Sterigenics’ Atlanta facility have ever posed any safety hazard to the surrounding communities.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Borrowings, financing costs and financial leverage</w:t>
      </w:r>
      <w:r>
        <w:rPr>
          <w:rFonts w:ascii="Times New Roman;sans-serif" w:hAnsi="Times New Roman;sans-serif"/>
          <w:b w:val="false"/>
          <w:color w:val="000000"/>
          <w:sz w:val="20"/>
        </w:rPr>
        <w:t>. On March 1, 2024, the Company entered into Amendment No. 3 to the First Lien Credit Agreement. Among other changes, the Amendment provides (i) for new commitments under the existing Revolving Credit Facility to replace existing revolving commitments in an aggregate principal amount of $83 million, (ii) that certain of the lenders providing revolving credit commitments shall also provide additional commitments for the issuance of letters of credit under the Revolving Credit Facility in an aggregate principal amount of $37.5 million, and (iii) for the extension of the maturity date of the Revolving Credit Facility to the earlier of (a) March 1, 2029, and (b) the date that is 91 days prior to the maturity date of the Company’s existing term loans. The Amendment does not give effect to any other material changes to the terms and conditions of the Credit Agreement, including with respect to the amount of commitments under the Revolving Credit Facility which remains $423.8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CONSOLIDATED RESULTS OF OPERATIONS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2024, as compared to Three Months Ended March 31, 2023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components of our results of operations for the three months ended March 31, 2024 and 2023: </w:t>
      </w:r>
    </w:p>
    <w:tbl>
      <w:tblPr>
        <w:tblW w:w="7687" w:type="dxa"/>
        <w:jc w:val="left"/>
        <w:tblInd w:w="0" w:type="dxa"/>
        <w:tblLayout w:type="fixed"/>
        <w:tblCellMar>
          <w:top w:w="28" w:type="dxa"/>
          <w:left w:w="28" w:type="dxa"/>
          <w:bottom w:w="28" w:type="dxa"/>
          <w:right w:w="28" w:type="dxa"/>
        </w:tblCellMar>
      </w:tblPr>
      <w:tblGrid>
        <w:gridCol w:w="810"/>
        <w:gridCol w:w="711"/>
        <w:gridCol w:w="713"/>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307"/>
        <w:gridCol w:w="309"/>
        <w:gridCol w:w="508"/>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248,176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 of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121,061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73,941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53,174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6,323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color w:val="000000"/>
                <w:sz w:val="20"/>
              </w:rPr>
              <w:t>Adjusted Net Income</w:t>
            </w:r>
            <w:r>
              <w:rPr>
                <w:rFonts w:ascii="Times New Roman;sans-serif" w:hAnsi="Times New Roman;sans-serif"/>
                <w:b/>
                <w:color w:val="000000"/>
                <w:sz w:val="10"/>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35,630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color w:val="000000"/>
                <w:sz w:val="20"/>
              </w:rPr>
              <w:t>Adjusted EBITDA</w:t>
            </w:r>
            <w:r>
              <w:rPr>
                <w:rFonts w:ascii="Times New Roman;sans-serif" w:hAnsi="Times New Roman;sans-serif"/>
                <w:b/>
                <w:color w:val="000000"/>
                <w:sz w:val="10"/>
              </w:rPr>
              <w:t>(a)</w:t>
            </w:r>
          </w:p>
        </w:tc>
        <w:tc>
          <w:tcPr>
            <w:tcW w:w="105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111,944</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98,468 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13,476 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5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540"/>
        <w:jc w:val="left"/>
        <w:rPr/>
      </w:pPr>
      <w:r>
        <w:rPr>
          <w:rFonts w:ascii="Times New Roman;sans-serif" w:hAnsi="Times New Roman;sans-serif"/>
          <w:b w:val="false"/>
          <w:color w:val="000000"/>
          <w:sz w:val="13"/>
        </w:rPr>
        <w:t>(a)</w:t>
      </w:r>
      <w:r>
        <w:rPr>
          <w:rFonts w:ascii="Times New Roman;sans-serif" w:hAnsi="Times New Roman;sans-serif"/>
          <w:b w:val="false"/>
          <w:color w:val="000000"/>
          <w:sz w:val="20"/>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Total Net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compares our revenues by type for the three months ended March 31, 2024 to the three months ended March 31, 2023: </w:t>
      </w:r>
    </w:p>
    <w:tbl>
      <w:tblPr>
        <w:tblW w:w="9293" w:type="dxa"/>
        <w:jc w:val="left"/>
        <w:tblInd w:w="0" w:type="dxa"/>
        <w:tblLayout w:type="fixed"/>
        <w:tblCellMar>
          <w:top w:w="28" w:type="dxa"/>
          <w:left w:w="28" w:type="dxa"/>
          <w:bottom w:w="28" w:type="dxa"/>
          <w:right w:w="28" w:type="dxa"/>
        </w:tblCellMar>
      </w:tblPr>
      <w:tblGrid>
        <w:gridCol w:w="1392"/>
        <w:gridCol w:w="1222"/>
        <w:gridCol w:w="1226"/>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308"/>
        <w:gridCol w:w="308"/>
        <w:gridCol w:w="508"/>
      </w:tblGrid>
      <w:tr>
        <w:trPr/>
        <w:tc>
          <w:tcPr>
            <w:tcW w:w="139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Net revenues for the three months ended March 31,</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226,481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21,695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248,176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revenues were $248.2 million in the three months ended March 31, 2024, an increase of $27.6 million, or 12.5%, as compared with the three months ended March 31, 2023. Excluding the impact of foreign currency exchange rates, net revenues in the three months ended March 31, 2024 increased approximately 11.8% compared with the three months ended March 31, 2023.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 increased $12.0 million, or 5.6%, to $226.5 million for the three months ended March 31, 2024, as compared to $214.5 million for the three months ended March 31, 2023. The growth in net service revenues was driven by favorable pricing of $7.9 million and $1.6 million in the Sterigenics and Nelson Labs segments, respectively, favorable improvements in volume and mix of $3.9 million in the Nelson Labs segment and a $1.4 million favorable impact from changes in foreign currency exchange rates across all segments. Partially offsetting these growth factors was an unfavorable impact from volume and mix of $2.7 million in the Sterigenics segment.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Product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 increased $15.6 million, or 256.8%, to $21.7 million for the three months ended March 31, 2024, as compared to $6.1 million for the three months ended March 31, 2023. The increase in product revenues was driven almost entirely by improvements in volume and mix at Nordion, which was largely attributable to a more favorable Co-60 harvest schedule timing in the three months ended March 31, 2024 compared to the three months ended March 31,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Total Cost of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compares our cost of revenues by type for the three months ended March 31, 2024 to the three months ended March 31, 2023: </w:t>
      </w:r>
    </w:p>
    <w:tbl>
      <w:tblPr>
        <w:tblW w:w="9562" w:type="dxa"/>
        <w:jc w:val="left"/>
        <w:tblInd w:w="0" w:type="dxa"/>
        <w:tblLayout w:type="fixed"/>
        <w:tblCellMar>
          <w:top w:w="28" w:type="dxa"/>
          <w:left w:w="28" w:type="dxa"/>
          <w:bottom w:w="28" w:type="dxa"/>
          <w:right w:w="28" w:type="dxa"/>
        </w:tblCellMar>
      </w:tblPr>
      <w:tblGrid>
        <w:gridCol w:w="1489"/>
        <w:gridCol w:w="1308"/>
        <w:gridCol w:w="1312"/>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308"/>
        <w:gridCol w:w="308"/>
        <w:gridCol w:w="508"/>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Cost of revenues for the three months ended March 31,</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110,852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10,209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121,061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revenues accounted for approximately 48.8% and 49.5% of our consolidated net revenues for the three months ended March 31, 2024 and 2023, respectively.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service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 revenues increased $6.6 million, or 6.4%, for the three months ended March 31, 2024, as compared to the three months ended March 31, 2023. The growth in cost of service revenues was primarily driven by higher employee compensation costs of $3.7 million coupled with an increase of $1.3 million in repairs and maintenance costs, $1.0 million of depreciation related to capital assets recently placed in service, and a $0.7 million unfavorable impact from changes in foreign currency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product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revenues increased $5.3 million, or 109.3%, for the three months ended March 31, 2024, as compared to the three months ended March 31, 2023. The increase was primarily a result of higher volumes of Co-60 shipments, which resulted in increases in direct material and material transportation costs of $4.9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compares our operating expenses for the three months ended March 31, 2024 to the three months ended March 31, 2023: </w:t>
      </w:r>
    </w:p>
    <w:tbl>
      <w:tblPr>
        <w:tblW w:w="9396" w:type="dxa"/>
        <w:jc w:val="left"/>
        <w:tblInd w:w="0" w:type="dxa"/>
        <w:tblLayout w:type="fixed"/>
        <w:tblCellMar>
          <w:top w:w="28" w:type="dxa"/>
          <w:left w:w="28" w:type="dxa"/>
          <w:bottom w:w="28" w:type="dxa"/>
          <w:right w:w="28" w:type="dxa"/>
        </w:tblCellMar>
      </w:tblPr>
      <w:tblGrid>
        <w:gridCol w:w="1565"/>
        <w:gridCol w:w="1375"/>
        <w:gridCol w:w="1379"/>
        <w:gridCol w:w="211"/>
        <w:gridCol w:w="736"/>
        <w:gridCol w:w="109"/>
        <w:gridCol w:w="109"/>
        <w:gridCol w:w="109"/>
        <w:gridCol w:w="109"/>
        <w:gridCol w:w="211"/>
        <w:gridCol w:w="721"/>
        <w:gridCol w:w="109"/>
        <w:gridCol w:w="109"/>
        <w:gridCol w:w="109"/>
        <w:gridCol w:w="109"/>
        <w:gridCol w:w="211"/>
        <w:gridCol w:w="691"/>
        <w:gridCol w:w="109"/>
        <w:gridCol w:w="109"/>
        <w:gridCol w:w="109"/>
        <w:gridCol w:w="109"/>
        <w:gridCol w:w="239"/>
        <w:gridCol w:w="241"/>
        <w:gridCol w:w="508"/>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Operating expenses for the three months ended March 31,</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58,209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73,941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accounted for approximately 29.8% and 35.4% of our consolidated net revenues for the three months ended March 31, 2024 and 2023, respectively.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SG&amp;A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decreased $3.7 million, or 6.0%, for the three months ended March 31, 2024, as compared to the three months ended March 31, 2023. The decrease was driven primarily by a $7.6 million decline in litigation and other professional services expense associated with EO sterilization facilities, partially offset by a $2.8 million increase in selling, general and administrative compensation-related costs and a $1.3 million increase in share-based compensation expense.</w:t>
      </w:r>
    </w:p>
    <w:p>
      <w:pPr>
        <w:pStyle w:val="TextBody"/>
        <w:bidi w:val="0"/>
        <w:spacing w:lineRule="auto" w:line="288" w:before="240" w:after="283"/>
        <w:jc w:val="left"/>
        <w:rPr/>
      </w:pPr>
      <w:r>
        <w:rPr>
          <w:color w:val="000000"/>
        </w:rPr>
        <w:t xml:space="preserve">  </w:t>
      </w:r>
      <w:r>
        <w:rPr>
          <w:rFonts w:ascii="Times New Roman;sans-serif" w:hAnsi="Times New Roman;sans-serif"/>
          <w:b w:val="false"/>
          <w:i/>
          <w:color w:val="000000"/>
          <w:sz w:val="20"/>
        </w:rPr>
        <w:t>Amortization of 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decreased $0.5 million, or 3.1% for the three months ended March 31, 2024, as compared to the three months ended March 31, 2023 due to changes in foreign currency exchange rates.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Expense,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$12.9 million, or 44.7%, for the three months ended March 31, 2024, as compared to the three months ended March 31, 2023. Approximately $8.4 million of this change was attributable to a combination of higher variable benchmark interest rates and changes in principal balances outstanding. A decline in the benefit from interest rate derivatives of $4.3 million also contributed to the increase. The weighted average interest rate on our outstanding debt was 8.39% and 7.85% at March 31, 2024 and 2023,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Exchange (Gain) Loss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was $0.6 million for the three months ended March 31, 2024 compared to a loss of $0.3 million for the three months ended March 31, 2023. The change in foreign exchange loss mainly relates to short-term gains and losses on transactions denominated in currencies other than the functional currency of our operating entities. As described in Note 15, “Financial Instruments and Financial Risk”, we enter into monthly U.S. dollar-denominated foreign currency forward contracts to manage foreign currency exchange rate risk related to our international subsidiaries.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Expense (Income),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was $1.0 million for the three months ended March 31, 2024 compared to other income of $1.3 million for the three months ended March 31, 2023. The variance was primarily a result of $1.6 million of changes in the fair value of embedded derivatives in Nordion’s purchase contracts as well as $0.7 million of refinancing costs incurred in connection with Amendment No. 3 to the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increased $2.1 million to a net provision of $4.7 million for the three months ended March 31, 2024, as compared to $2.6 million for the three months ended March 31, 2023. The change was primarily attributable to higher pre-tax income for the three months ended March 31, 2024 compared to the three months ended March 31, 2023 combined with an increase in the valuation allowance against our excess interest expense carryforward balance and the foreign rate differential. The increase in the valuation allowance was a direct result of the EO litigation settlements in Illinois and Georgia. Both payments eliminated the deductibility of U.S. interest in the current year and the year ended December 31, 2023, which resulted in an increase to the valuation allowance against our excess interest expense carryforward balance.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for the three months ended March 31, 2024 differed from the statutory rate primarily due to an increase in the valuation allowance against our excess interest expense carryforward balance and the impact of the foreign rate differential, partially offset by a benefit for state income taxes. Provision for income taxes for the three months ended March 31, 2023 differed from the statutory rate primarily due to an increase in the valuation allowance against our excess interest expense carryforward balance, the impact of the foreign rate differential and non-deductible compensation.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Income, Adjusted Net Income and Adjusted EBITDA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for the three months ended March 31, 2024 was $6.3 million, as compared to $2.8 million for the three months ended March 31, 2023. Adjusted Net Income was $35.6 million for the three months ended March 31, 2024, as compared to $35.9 million for the three months ended March 31, 2023, due to the factors described above. Adjusted EBITDA was $111.9 million for the three months ended March 31, 2024, as compared to $98.5 million for the three months ended March 31, 2023, due to the factors described above. Please see “Non-GAAP Financial Measures” below for a reconciliation of Adjusted Net Income and Adjusted EBITDA to their most directly comparable financial measure calculated and presented in accordance with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 supplement our consolidated financial statements presented in accordance with GAAP, we consider Adjusted Net Income and Adjusted EBITDA, financial measures that are not based on any standardized methodology prescribed by GAAP.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its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the nearest GAAP equivalent. For example, Adjusted Net Income and Adjusted EBITDA primarily exclude: </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certain recurring non-cash charges such as depreciation of fixed assets, although these assets may have to be replaced in the future, as well as amortization of acquired intangible assets and asset retirement obligations;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costs of acquiring and integrating businesses, which will continue to be a part of our growth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non-cash gains or losses from fluctuations in foreign currency exchange rates and the mark-to-fair value of derivatives not designated as hedging instruments, which includes embedded derivatives relating to certain customer and supply contracts at Nordion;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impairment charges on long-lived assets, intangible assets and investments accounted for under the equity method;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refinancing costs and loss on extinguishment of debt incurred in connection with refinancing or early extinguishment of long-term debt;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expenses and charges related to the litigation, settlement agreements, and other activities associated with our EO sterilization facilities, including those related to Willowbrook, Illinois, Atlanta, Georgia, Santa Teresa, New Mexico and Los Angeles, California, even though that litigation remains ongoing;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 the case of Adjusted EBITDA, interest expense or the cash requirements necessary to service interest or principal payments on our indebtedness;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share-based compensation expense, which has been, and will continue to be for the foreseeable future, a significant recurring expense and an important part of our compensation strategy.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evaluating Adjusted Net Income and Adjusted EBITDA, you should be aware that in the future, we will incur expenses similar to the adjustments in the table below.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a reconciliation of net income, the most directly comparable financial measure calculated and presented in accordance with GAAP to Adjusted Net Income and Adjusted EBITDA, for each of the periods indicated:</w:t>
      </w:r>
    </w:p>
    <w:tbl>
      <w:tblPr>
        <w:tblW w:w="8831" w:type="dxa"/>
        <w:jc w:val="left"/>
        <w:tblInd w:w="0" w:type="dxa"/>
        <w:tblLayout w:type="fixed"/>
        <w:tblCellMar>
          <w:top w:w="28" w:type="dxa"/>
          <w:left w:w="28" w:type="dxa"/>
          <w:bottom w:w="28" w:type="dxa"/>
          <w:right w:w="28" w:type="dxa"/>
        </w:tblCellMar>
      </w:tblPr>
      <w:tblGrid>
        <w:gridCol w:w="2250"/>
        <w:gridCol w:w="1976"/>
        <w:gridCol w:w="1983"/>
        <w:gridCol w:w="216"/>
        <w:gridCol w:w="828"/>
        <w:gridCol w:w="120"/>
        <w:gridCol w:w="120"/>
        <w:gridCol w:w="120"/>
        <w:gridCol w:w="120"/>
        <w:gridCol w:w="216"/>
        <w:gridCol w:w="713"/>
        <w:gridCol w:w="169"/>
      </w:tblGrid>
      <w:tr>
        <w:trPr/>
        <w:tc>
          <w:tcPr>
            <w:tcW w:w="2250"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6,323</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20,124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18"/>
              </w:rPr>
              <w:t>Share-based compensation</w:t>
            </w:r>
            <w:r>
              <w:rPr>
                <w:rFonts w:ascii="Times New Roman;sans-serif" w:hAnsi="Times New Roman;sans-serif"/>
                <w:b w:val="false"/>
                <w:color w:val="000000"/>
                <w:sz w:val="12"/>
              </w:rPr>
              <w:t>(a)</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8,657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18"/>
              </w:rPr>
              <w:t>Loss on foreign currency and derivatives not designated as hedging instruments, net</w:t>
            </w:r>
            <w:r>
              <w:rPr>
                <w:rFonts w:ascii="Times New Roman;sans-serif" w:hAnsi="Times New Roman;sans-serif"/>
                <w:b w:val="false"/>
                <w:color w:val="000000"/>
                <w:sz w:val="12"/>
              </w:rPr>
              <w:t>(b)</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1,230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18"/>
              </w:rPr>
              <w:t>Business optimization expenses</w:t>
            </w:r>
            <w:r>
              <w:rPr>
                <w:rFonts w:ascii="Times New Roman;sans-serif" w:hAnsi="Times New Roman;sans-serif"/>
                <w:b w:val="false"/>
                <w:color w:val="000000"/>
                <w:sz w:val="12"/>
              </w:rPr>
              <w:t>(c)</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Refinancing and secondary offering costs</w:t>
            </w:r>
            <w:r>
              <w:rPr>
                <w:rFonts w:ascii="Times New Roman;sans-serif" w:hAnsi="Times New Roman;sans-serif"/>
                <w:b w:val="false"/>
                <w:color w:val="000000"/>
                <w:sz w:val="12"/>
              </w:rPr>
              <w:t>(d)</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1,807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18"/>
              </w:rPr>
              <w:t>Professional services relating to EO sterilization facilities</w:t>
            </w:r>
            <w:r>
              <w:rPr>
                <w:rFonts w:ascii="Times New Roman;sans-serif" w:hAnsi="Times New Roman;sans-serif"/>
                <w:b w:val="false"/>
                <w:color w:val="000000"/>
                <w:sz w:val="12"/>
              </w:rPr>
              <w:t>(e)</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6,339</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18"/>
              </w:rPr>
              <w:t>Accretion of asset retirement obligations</w:t>
            </w:r>
            <w:r>
              <w:rPr>
                <w:rFonts w:ascii="Times New Roman;sans-serif" w:hAnsi="Times New Roman;sans-serif"/>
                <w:b w:val="false"/>
                <w:color w:val="000000"/>
                <w:sz w:val="12"/>
              </w:rPr>
              <w:t>(f)</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642</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18"/>
              </w:rPr>
              <w:t>Income tax benefit associated with pre-tax adjustments</w:t>
            </w:r>
            <w:r>
              <w:rPr>
                <w:rFonts w:ascii="Times New Roman;sans-serif" w:hAnsi="Times New Roman;sans-serif"/>
                <w:b w:val="false"/>
                <w:color w:val="000000"/>
                <w:sz w:val="12"/>
              </w:rPr>
              <w:t>(g)</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(9,546)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35,630</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35,857 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Interest expense, net</w:t>
            </w:r>
            <w:r>
              <w:rPr>
                <w:rFonts w:ascii="Times New Roman;sans-serif" w:hAnsi="Times New Roman;sans-serif"/>
                <w:b w:val="false"/>
                <w:color w:val="000000"/>
                <w:sz w:val="12"/>
              </w:rPr>
              <w:t>(h)</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41,771</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28,870 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18"/>
              </w:rPr>
              <w:t>Depreciation</w:t>
            </w:r>
            <w:r>
              <w:rPr>
                <w:rFonts w:ascii="Times New Roman;sans-serif" w:hAnsi="Times New Roman;sans-serif"/>
                <w:b w:val="false"/>
                <w:color w:val="000000"/>
                <w:sz w:val="12"/>
              </w:rPr>
              <w:t>(i)</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20,306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ans-serif" w:hAnsi="Times New Roman;sans-serif"/>
                <w:b w:val="false"/>
                <w:color w:val="000000"/>
                <w:sz w:val="18"/>
              </w:rPr>
              <w:t>Income tax provision applicable to Adjusted Net Income</w:t>
            </w:r>
            <w:r>
              <w:rPr>
                <w:rFonts w:ascii="Times New Roman;sans-serif" w:hAnsi="Times New Roman;sans-serif"/>
                <w:b w:val="false"/>
                <w:color w:val="000000"/>
                <w:sz w:val="12"/>
              </w:rPr>
              <w:t>(j)</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14,237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8"/>
              </w:rPr>
              <w:t>Adjusted EBITDA</w:t>
            </w:r>
            <w:r>
              <w:rPr>
                <w:rFonts w:ascii="Times New Roman;sans-serif" w:hAnsi="Times New Roman;sans-serif"/>
                <w:b/>
                <w:color w:val="000000"/>
                <w:sz w:val="12"/>
              </w:rPr>
              <w:t>(k)</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111,944</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98,468 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(a)    </w:t>
      </w:r>
      <w:r>
        <w:rPr>
          <w:rFonts w:ascii="Times New Roman;sans-serif" w:hAnsi="Times New Roman;sans-serif"/>
          <w:b w:val="false"/>
          <w:color w:val="000000"/>
          <w:sz w:val="20"/>
          <w:shd w:fill="FFFFFF" w:val="clear"/>
        </w:rPr>
        <w:t>Represents share-based compensation expense to employees and Non-Employee Directors.</w:t>
      </w:r>
    </w:p>
    <w:p>
      <w:pPr>
        <w:pStyle w:val="TextBody"/>
        <w:bidi w:val="0"/>
        <w:spacing w:lineRule="auto" w:line="288" w:before="40" w:after="283"/>
        <w:ind w:left="0" w:right="0" w:hanging="720"/>
        <w:jc w:val="left"/>
        <w:rPr/>
      </w:pPr>
      <w:r>
        <w:rPr>
          <w:rFonts w:ascii="Times New Roman;sans-serif" w:hAnsi="Times New Roman;sans-serif"/>
          <w:b w:val="false"/>
          <w:color w:val="000000"/>
          <w:sz w:val="20"/>
        </w:rPr>
        <w:t>(b)    </w:t>
      </w:r>
      <w:r>
        <w:rPr>
          <w:rFonts w:ascii="Times New Roman;sans-serif" w:hAnsi="Times New Roman;sans-serif"/>
          <w:b w:val="false"/>
          <w:color w:val="000000"/>
          <w:sz w:val="20"/>
          <w:shd w:fill="FFFFFF" w:val="clear"/>
        </w:rPr>
        <w:t>Represents the effects of (i) fluctuations in foreign currency exchange rates and (ii) non-cash mark-to-fair value of embedded derivatives relating to certain customer and supply contracts at Nordion.</w:t>
      </w:r>
    </w:p>
    <w:p>
      <w:pPr>
        <w:pStyle w:val="TextBody"/>
        <w:bidi w:val="0"/>
        <w:spacing w:lineRule="auto" w:line="288" w:before="40" w:after="283"/>
        <w:ind w:left="0" w:right="0" w:hanging="720"/>
        <w:jc w:val="left"/>
        <w:rPr/>
      </w:pPr>
      <w:r>
        <w:rPr>
          <w:rFonts w:ascii="Times New Roman;sans-serif" w:hAnsi="Times New Roman;sans-serif"/>
          <w:b w:val="false"/>
          <w:color w:val="000000"/>
          <w:sz w:val="20"/>
        </w:rPr>
        <w:t>(c)</w:t>
      </w:r>
      <w:r>
        <w:rPr>
          <w:color w:val="000000"/>
          <w:shd w:fill="FFFFFF" w:val="clear"/>
        </w:rPr>
        <w:t xml:space="preserve">     </w:t>
      </w:r>
      <w:r>
        <w:rPr>
          <w:rFonts w:ascii="Times New Roman;sans-serif" w:hAnsi="Times New Roman;sans-serif"/>
          <w:b w:val="false"/>
          <w:color w:val="000000"/>
          <w:sz w:val="20"/>
          <w:shd w:fill="FFFFFF" w:val="clear"/>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three months ended March 31, 2023 includes a</w:t>
      </w:r>
      <w:r>
        <w:rPr>
          <w:color w:val="000000"/>
        </w:rPr>
        <w:t xml:space="preserve"> </w:t>
      </w:r>
      <w:r>
        <w:rPr>
          <w:rFonts w:ascii="Times New Roman;sans-serif" w:hAnsi="Times New Roman;sans-serif"/>
          <w:b w:val="false"/>
          <w:color w:val="000000"/>
          <w:sz w:val="20"/>
        </w:rPr>
        <w:t xml:space="preserve">$1.0 million </w:t>
      </w:r>
      <w:r>
        <w:rPr>
          <w:rFonts w:ascii="Times New Roman;sans-serif" w:hAnsi="Times New Roman;sans-serif"/>
          <w:b w:val="false"/>
          <w:color w:val="000000"/>
          <w:sz w:val="20"/>
          <w:shd w:fill="FFFFFF" w:val="clear"/>
        </w:rPr>
        <w:t>cancellation fee received from a tenant in connection with the termination of an office space lease at the Nordion facility.</w:t>
      </w:r>
    </w:p>
    <w:p>
      <w:pPr>
        <w:pStyle w:val="TextBody"/>
        <w:bidi w:val="0"/>
        <w:spacing w:lineRule="auto" w:line="288" w:before="40" w:after="283"/>
        <w:ind w:left="0" w:right="0" w:hanging="720"/>
        <w:jc w:val="left"/>
        <w:rPr/>
      </w:pPr>
      <w:r>
        <w:rPr>
          <w:rFonts w:ascii="Times New Roman;sans-serif" w:hAnsi="Times New Roman;sans-serif"/>
          <w:b w:val="false"/>
          <w:color w:val="000000"/>
          <w:sz w:val="20"/>
        </w:rPr>
        <w:t>(d)    </w:t>
      </w:r>
      <w:r>
        <w:rPr>
          <w:rFonts w:ascii="Times New Roman;sans-serif" w:hAnsi="Times New Roman;sans-serif"/>
          <w:b w:val="false"/>
          <w:color w:val="000000"/>
          <w:sz w:val="20"/>
          <w:shd w:fill="FFFFFF" w:val="clear"/>
        </w:rPr>
        <w:t xml:space="preserve">The three months ended March 31, 2024 includes </w:t>
      </w:r>
      <w:r>
        <w:rPr>
          <w:rFonts w:ascii="Times New Roman;sans-serif" w:hAnsi="Times New Roman;sans-serif"/>
          <w:b w:val="false"/>
          <w:color w:val="000000"/>
          <w:sz w:val="20"/>
        </w:rPr>
        <w:t xml:space="preserve">$1.1 million of expenses incurred in connection with the secondary offering of our common stock that closed on March 4, 2024 and write-off of unamortized debt issuance costs in connection with Amendment No. 3 to the Revolving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ind w:left="0" w:right="0" w:hanging="720"/>
        <w:jc w:val="left"/>
        <w:rPr/>
      </w:pPr>
      <w:r>
        <w:rPr>
          <w:rFonts w:ascii="Times New Roman;sans-serif" w:hAnsi="Times New Roman;sans-serif"/>
          <w:b w:val="false"/>
          <w:color w:val="000000"/>
          <w:sz w:val="20"/>
        </w:rPr>
        <w:t>(e)    </w:t>
      </w:r>
      <w:r>
        <w:rPr>
          <w:rFonts w:ascii="Times New Roman;sans-serif" w:hAnsi="Times New Roman;sans-serif"/>
          <w:b w:val="false"/>
          <w:color w:val="000000"/>
          <w:sz w:val="20"/>
          <w:shd w:fill="FFFFFF" w:val="clear"/>
        </w:rPr>
        <w:t xml:space="preserve">Represents litigation and other professional fees associated with our EO sterilization facilities. Amounts presented for the three months ended March 31, 2023 have been adjusted to exclude interest expense, net associated with Term Loan B attributable to the loan proceeds that were used to fund the </w:t>
      </w:r>
      <w:r>
        <w:rPr>
          <w:rFonts w:ascii="Times New Roman;sans-serif" w:hAnsi="Times New Roman;sans-serif"/>
          <w:b w:val="false"/>
          <w:color w:val="000000"/>
          <w:sz w:val="20"/>
        </w:rPr>
        <w:t>$408.0 million</w:t>
      </w:r>
      <w:r>
        <w:rPr>
          <w:color w:val="000000"/>
          <w:shd w:fill="FFFFFF" w:val="clear"/>
        </w:rPr>
        <w:t xml:space="preserve"> </w:t>
      </w:r>
      <w:r>
        <w:rPr>
          <w:rFonts w:ascii="Times New Roman;sans-serif" w:hAnsi="Times New Roman;sans-serif"/>
          <w:b w:val="false"/>
          <w:color w:val="000000"/>
          <w:sz w:val="20"/>
          <w:shd w:fill="FFFFFF" w:val="clear"/>
        </w:rPr>
        <w:t>Illinois EO litigation settlement.</w:t>
      </w:r>
    </w:p>
    <w:p>
      <w:pPr>
        <w:pStyle w:val="TextBody"/>
        <w:bidi w:val="0"/>
        <w:spacing w:lineRule="auto" w:line="288" w:before="40" w:after="283"/>
        <w:ind w:left="0" w:right="0" w:hanging="720"/>
        <w:jc w:val="left"/>
        <w:rPr/>
      </w:pPr>
      <w:r>
        <w:rPr>
          <w:rFonts w:ascii="Times New Roman;sans-serif" w:hAnsi="Times New Roman;sans-serif"/>
          <w:b w:val="false"/>
          <w:color w:val="000000"/>
          <w:sz w:val="20"/>
        </w:rPr>
        <w:t>(f)    </w:t>
      </w:r>
      <w:r>
        <w:rPr>
          <w:rFonts w:ascii="Times New Roman;sans-serif" w:hAnsi="Times New Roman;sans-serif"/>
          <w:b w:val="false"/>
          <w:color w:val="000000"/>
          <w:sz w:val="20"/>
          <w:shd w:fill="FFFFFF" w:val="clear"/>
        </w:rPr>
        <w:t>Represents non-cash accretion of asset retirement obligations related to Co-60 and gamma processing facilities, which are based on estimated site remediation costs for any future decommissioning of these facilities and are accreted over the life of the asset.</w:t>
      </w:r>
    </w:p>
    <w:p>
      <w:pPr>
        <w:pStyle w:val="TextBody"/>
        <w:bidi w:val="0"/>
        <w:spacing w:lineRule="auto" w:line="288" w:before="40" w:after="283"/>
        <w:ind w:left="0" w:right="0" w:hanging="720"/>
        <w:jc w:val="left"/>
        <w:rPr>
          <w:rFonts w:ascii="Times New Roman;sans-serif" w:hAnsi="Times New Roman;sans-serif"/>
          <w:b w:val="false"/>
          <w:color w:val="231F20"/>
          <w:sz w:val="20"/>
        </w:rPr>
      </w:pPr>
      <w:r>
        <w:rPr>
          <w:rFonts w:ascii="Times New Roman;sans-serif" w:hAnsi="Times New Roman;sans-serif"/>
          <w:b w:val="false"/>
          <w:color w:val="231F20"/>
          <w:sz w:val="20"/>
        </w:rPr>
        <w:t>(g)    Represents the income tax impact of adjustments calculated based on the tax rate applicable to each item. We eliminate the effect of tax rate changes as applied to tax assets and liabilities and unusual items from our presentation of adjusted net income.</w:t>
      </w:r>
    </w:p>
    <w:p>
      <w:pPr>
        <w:pStyle w:val="TextBody"/>
        <w:bidi w:val="0"/>
        <w:spacing w:lineRule="auto" w:line="288" w:before="40" w:after="283"/>
        <w:ind w:left="0" w:right="0" w:hanging="720"/>
        <w:jc w:val="left"/>
        <w:rPr/>
      </w:pPr>
      <w:r>
        <w:rPr>
          <w:rFonts w:ascii="Times New Roman;sans-serif" w:hAnsi="Times New Roman;sans-serif"/>
          <w:b w:val="false"/>
          <w:color w:val="000000"/>
          <w:sz w:val="20"/>
        </w:rPr>
        <w:t>(h)    </w:t>
      </w:r>
      <w:r>
        <w:rPr>
          <w:rFonts w:ascii="Times New Roman;sans-serif" w:hAnsi="Times New Roman;sans-serif"/>
          <w:b w:val="false"/>
          <w:color w:val="000000"/>
          <w:sz w:val="20"/>
          <w:shd w:fill="FFFFFF" w:val="clear"/>
        </w:rPr>
        <w:t xml:space="preserve">Interest expense, net presented in this reconciliation for the three months ended March 31, 2023 has been adjusted to conform to the current year presentation to include interest expense, net on Term Loan B attributable to the loan proceeds that were used to fund the </w:t>
      </w:r>
      <w:r>
        <w:rPr>
          <w:rFonts w:ascii="Times New Roman;sans-serif" w:hAnsi="Times New Roman;sans-serif"/>
          <w:b w:val="false"/>
          <w:color w:val="000000"/>
          <w:sz w:val="20"/>
        </w:rPr>
        <w:t>$408.0 million</w:t>
      </w:r>
      <w:r>
        <w:rPr>
          <w:color w:val="000000"/>
          <w:shd w:fill="FFFFFF" w:val="clear"/>
        </w:rPr>
        <w:t xml:space="preserve"> </w:t>
      </w:r>
      <w:r>
        <w:rPr>
          <w:rFonts w:ascii="Times New Roman;sans-serif" w:hAnsi="Times New Roman;sans-serif"/>
          <w:b w:val="false"/>
          <w:color w:val="000000"/>
          <w:sz w:val="20"/>
          <w:shd w:fill="FFFFFF" w:val="clear"/>
        </w:rPr>
        <w:t>Illinois EO litigation settlement.</w:t>
      </w:r>
    </w:p>
    <w:p>
      <w:pPr>
        <w:pStyle w:val="TextBody"/>
        <w:bidi w:val="0"/>
        <w:spacing w:lineRule="auto" w:line="288" w:before="40" w:after="283"/>
        <w:jc w:val="left"/>
        <w:rPr/>
      </w:pPr>
      <w:r>
        <w:rPr>
          <w:rFonts w:ascii="Times New Roman;sans-serif" w:hAnsi="Times New Roman;sans-serif"/>
          <w:b w:val="false"/>
          <w:color w:val="231F20"/>
          <w:sz w:val="20"/>
        </w:rPr>
        <w:t>(i)    </w:t>
      </w:r>
      <w:r>
        <w:rPr>
          <w:rFonts w:ascii="Times New Roman;sans-serif" w:hAnsi="Times New Roman;sans-serif"/>
          <w:b w:val="false"/>
          <w:color w:val="000000"/>
          <w:sz w:val="20"/>
          <w:shd w:fill="FFFFFF" w:val="clear"/>
        </w:rPr>
        <w:t>Includes depreciation of Co-60 held at gamma irradiation sites.</w:t>
      </w:r>
    </w:p>
    <w:p>
      <w:pPr>
        <w:pStyle w:val="TextBody"/>
        <w:bidi w:val="0"/>
        <w:spacing w:lineRule="auto" w:line="288" w:before="40" w:after="283"/>
        <w:ind w:left="0" w:right="0" w:hanging="720"/>
        <w:jc w:val="left"/>
        <w:rPr>
          <w:rFonts w:ascii="Times New Roman;sans-serif" w:hAnsi="Times New Roman;sans-serif"/>
          <w:b w:val="false"/>
          <w:color w:val="231F20"/>
          <w:sz w:val="20"/>
        </w:rPr>
      </w:pPr>
      <w:r>
        <w:rPr>
          <w:rFonts w:ascii="Times New Roman;sans-serif" w:hAnsi="Times New Roman;sans-serif"/>
          <w:b w:val="false"/>
          <w:color w:val="231F20"/>
          <w:sz w:val="20"/>
        </w:rPr>
        <w:t>(j)    Represents the difference between income tax provision or benefit as determined under U.S. GAAP and the income tax provision or benefit associated with pre-tax adjustments described in footnote (g).</w:t>
      </w:r>
    </w:p>
    <w:p>
      <w:pPr>
        <w:pStyle w:val="TextBody"/>
        <w:bidi w:val="0"/>
        <w:spacing w:lineRule="auto" w:line="288" w:before="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(k)    $23.8 million and $22.9 million of the adjustments for the three months ended March 31, 2024 and 2023, respectively, are included in cost of revenues, primarily consisting of amortization of intangible assets, depreciation, and accretion of asset retirement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SEGMENT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three reportable segments: Sterigenics, Nordion and Nelson Labs. Our chief operating decision-maker evaluates performance and allocates resources within our business based on segment income, which excludes certain items which are included in income before tax as determined in our Consolidated Statements of Operations and Comprehensive Income (Loss). The accounting policies for our reportable segments are the same as those for the consolidated Company.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Segments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Sterigenics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Sterigenics provides outsourced terminal sterilization and irradiation services for the medical device, pharmaceutical, food safety and advanced applications markets using three major technologies: gamma irradiation, EO processing and E-beam irradiation.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Nordion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gamma irradiation systems occur infrequently and tend to be for larger amounts.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Results for our Nordion segment are also impacted by Co-60 mix, harvest schedules, as well as customer, product and service mix.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Nelson Labs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Nelson Labs provides outsourced microbiological and analytical chemistry testing and advisory services for the medical device and pharmaceutical industries.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more information regarding our reportable segments, please refer to Note 16, “Segment Information” to our consolidated financial statements.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Segment Results for the Three Months Ended March 31, 2024 and 2023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compare segment net revenue and segment income for the three months ended March 31, 2024 to the three months ended March 31, 2023: </w:t>
      </w:r>
    </w:p>
    <w:tbl>
      <w:tblPr>
        <w:tblW w:w="7696" w:type="dxa"/>
        <w:jc w:val="left"/>
        <w:tblInd w:w="0" w:type="dxa"/>
        <w:tblLayout w:type="fixed"/>
        <w:tblCellMar>
          <w:top w:w="28" w:type="dxa"/>
          <w:left w:w="28" w:type="dxa"/>
          <w:bottom w:w="28" w:type="dxa"/>
          <w:right w:w="28" w:type="dxa"/>
        </w:tblCellMar>
      </w:tblPr>
      <w:tblGrid>
        <w:gridCol w:w="794"/>
        <w:gridCol w:w="697"/>
        <w:gridCol w:w="699"/>
        <w:gridCol w:w="329"/>
        <w:gridCol w:w="207"/>
        <w:gridCol w:w="574"/>
        <w:gridCol w:w="170"/>
        <w:gridCol w:w="170"/>
        <w:gridCol w:w="170"/>
        <w:gridCol w:w="329"/>
        <w:gridCol w:w="224"/>
        <w:gridCol w:w="557"/>
        <w:gridCol w:w="109"/>
        <w:gridCol w:w="109"/>
        <w:gridCol w:w="109"/>
        <w:gridCol w:w="211"/>
        <w:gridCol w:w="616"/>
        <w:gridCol w:w="109"/>
        <w:gridCol w:w="109"/>
        <w:gridCol w:w="109"/>
        <w:gridCol w:w="109"/>
        <w:gridCol w:w="308"/>
        <w:gridCol w:w="308"/>
        <w:gridCol w:w="570"/>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730" w:type="dxa"/>
            <w:gridSpan w:val="9"/>
            <w:tcBorders/>
            <w:tcMar>
              <w:top w:w="0" w:type="dxa"/>
              <w:left w:w="0" w:type="dxa"/>
              <w:bottom w:w="0" w:type="dxa"/>
              <w:right w:w="0" w:type="dxa"/>
            </w:tcMar>
            <w:vAlign w:val="center"/>
          </w:tcPr>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166,497</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24,007</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57,672</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85,818</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10,785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606.7 </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15,341</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 margin</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51.5</w:t>
            </w: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44.9</w:t>
            </w:r>
            <w:r>
              <w:rPr>
                <w:color w:val="000000"/>
              </w:rPr>
              <w:t> </w:t>
            </w:r>
          </w:p>
        </w:tc>
        <w:tc>
          <w:tcPr>
            <w:tcW w:w="5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5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26.6</w:t>
            </w:r>
            <w:r>
              <w:rPr>
                <w:color w:val="000000"/>
              </w:rPr>
              <w:t> </w:t>
            </w:r>
          </w:p>
        </w:tc>
        <w:tc>
          <w:tcPr>
            <w:tcW w:w="5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5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Revenues by Segment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net revenues were $166.5 million for the three months ended March 31, 2024, an increase of $6.5 million, or 4.1%, as compared to the three months ended March 31, 2023. The increase reflects a benefit from pricing and changes in foreign currency exchange rates of 4.9% and 0.8%, respectively, partially offset by an unfavorable impact from volume and mix of 1.6%.</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Nordion net revenues were $24.0 million for the three months ended March 31, 2024, an increase of $15.5 million, or 180.8%, as compared to the three months ended March 31, 2023. Revenue growth was driven almost entirely by volume and mix, which was largely attributable to a more favorable Co-60 harvest schedule timing for the three months ended March 31, 2024 compared to the three months ended March 31,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 net revenues were $57.7 million for the three months ended March 31, 2024, an increase of $5.6 million, or 10.8%, as compared to the three months ended March 31, 2023. The increase was primarily driven by volume and mix of 7.4% and a favorable pricing impact of 3.1%.</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Segment Income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segment income was $85.8 million for the three months ended March 31, 2024, an increase of $3.0 million, or 3.6%, as compared to the three months ended March 31, 2023. Segment income increased primarily due to the benefit of pricing, partially offset by the impacts of volume/mix and inflation.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 segment income was $10.8 million for the three months ended March 31, 2024, an increase of $9.3 million, or 606.7%, as compared to the three months ended March 31, 2023. The increase in segment income and segment income margin was driven almost entirely by improvements in volume and mix, mainly stemming from favorable Co-60 harvest schedule timing, as referenced above.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Nelson Labs segment income was $15.3 million for the three months ended March 31, 2024, an increase of $1.2 million, or 8.8%, as compared to the three months ended March 31, 2023. The increase in segment income was primarily a result of volume and mix improvements as well as favorable pricing.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Sources of Cash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sources of liquidity for our business are cash flows from operations and borrowings under our credit facilities. As of March 31, 2024, we had $261.1 million of unrestricted cash and cash equivalents. This is a decrease of $35.3 million from the balance at December 31, 2023. The decrease in cash and cash equivalents was mainly attributable to the $35.0 million payment of the Atlanta settlement in January 2024. Our foreign subsidiaries held cash of approximately $249.6 million at March 31, 2024 and $224.1 million at December 31, 2023. No material restrictions exist to accessing cash held by our foreign subsidiaries notwithstanding any potential tax consequences.</w:t>
      </w:r>
    </w:p>
    <w:p>
      <w:pPr>
        <w:pStyle w:val="TextBody"/>
        <w:bidi w:val="0"/>
        <w:spacing w:lineRule="auto" w:line="288" w:before="240" w:after="283"/>
        <w:jc w:val="left"/>
        <w:rPr/>
      </w:pPr>
      <w:r>
        <w:rPr>
          <w:rFonts w:ascii="Times New Roman;sans-serif" w:hAnsi="Times New Roman;sans-serif"/>
          <w:b w:val="false"/>
          <w:color w:val="000000"/>
          <w:sz w:val="20"/>
        </w:rPr>
        <w:t xml:space="preserve">As described in more detail below, on March 1, 2024, the Company and SHH entered into Amendment No. 3 to the Revolving Credit Facility. The Amendment did not materially change to the terms and conditions of the Credit Agreement, including with respect to the amount of commitments under the Revolving Credit Facility, which remains </w:t>
      </w:r>
      <w:r>
        <w:rPr>
          <w:rFonts w:ascii="Times New Roman;sans-serif" w:hAnsi="Times New Roman;sans-serif"/>
          <w:b w:val="false"/>
          <w:color w:val="000000"/>
          <w:sz w:val="20"/>
          <w:shd w:fill="FFFFFF" w:val="clear"/>
        </w:rPr>
        <w:t>$423.8 million</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also described in more detail below, on February 23, 2023, we entered into the 2023 Credit Agreement, which provides for, among other things, a new Term Loan B facility in an aggregate principal amount of $500.0 million. The Company used the proceeds of this debt to fund a previously announced $408.0 million EO litigation settlement in Cook County, Illinois on May 1, 2023 and pay down existing borrowings under the Company’s Revolving Credit Facility. In addition, the Company used the remaining proceeds for other general corporate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Uses of Cash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cash on hand, operating cash flows and amounts available under our credit facilities will provide sufficient working capital to operate our business, meet foreseeable liquidity requirements (inclusive of debt service on our long-term debt), make expected capital expenditures including investments in fixed assets to build and/or expand existing facilities, and meet litigation costs that we expect to continue to incur for at least the next twelve months. Our primary long-term liquidity requirements beyond the next 12 months will be to service our debt, make capital expenditures, and fund suitable business acquisitions. As of March 31, 2024,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As of March 31, 2024, our interest rate derivatives limit our cash flow exposure of our variable rate borrowings under the Term Loans. Refer to Note 15, “Financial Instruments and Financial Risk” under the heading “Derivative Instruments” for additional information about changes in interest rate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three months ended March 31, 2024, our capital expenditures amounted to $34.9 million, compared to $45.0 million for the three months ended March 31, 2023.</w:t>
      </w:r>
    </w:p>
    <w:p>
      <w:pPr>
        <w:pStyle w:val="TextBody"/>
        <w:bidi w:val="0"/>
        <w:spacing w:lineRule="auto" w:line="288" w:before="240" w:after="283"/>
        <w:jc w:val="left"/>
        <w:rPr/>
      </w:pPr>
      <w:r>
        <w:rPr>
          <w:color w:val="000000"/>
        </w:rPr>
        <w:t> </w:t>
      </w:r>
      <w:r>
        <w:rPr>
          <w:rFonts w:ascii="Times New Roman;sans-serif" w:hAnsi="Times New Roman;sans-serif"/>
          <w:b/>
          <w:color w:val="000000"/>
          <w:sz w:val="20"/>
        </w:rPr>
        <w:t>Cash Flow Information</w:t>
      </w:r>
    </w:p>
    <w:p>
      <w:pPr>
        <w:pStyle w:val="TextBody"/>
        <w:bidi w:val="0"/>
        <w:spacing w:lineRule="auto" w:line="288" w:before="120" w:after="283"/>
        <w:jc w:val="left"/>
        <w:rPr/>
      </w:pPr>
      <w:r>
        <w:rPr>
          <w:rFonts w:ascii="Times New Roman;sans-serif" w:hAnsi="Times New Roman;sans-serif"/>
          <w:b/>
          <w:i/>
          <w:color w:val="000000"/>
          <w:sz w:val="20"/>
        </w:rPr>
        <w:t xml:space="preserve">Three Months Ended March 31, 2024 compared to the Three Months Ended March 31, 2023 </w:t>
      </w:r>
      <w:r>
        <w:rPr>
          <w:color w:val="000000"/>
        </w:rPr>
        <w:t> </w:t>
      </w:r>
    </w:p>
    <w:tbl>
      <w:tblPr>
        <w:tblW w:w="10205" w:type="dxa"/>
        <w:jc w:val="left"/>
        <w:tblInd w:w="0" w:type="dxa"/>
        <w:tblLayout w:type="fixed"/>
        <w:tblCellMar>
          <w:top w:w="28" w:type="dxa"/>
          <w:left w:w="28" w:type="dxa"/>
          <w:bottom w:w="28" w:type="dxa"/>
          <w:right w:w="28" w:type="dxa"/>
        </w:tblCellMar>
      </w:tblPr>
      <w:tblGrid>
        <w:gridCol w:w="2757"/>
        <w:gridCol w:w="2404"/>
        <w:gridCol w:w="2413"/>
        <w:gridCol w:w="211"/>
        <w:gridCol w:w="790"/>
        <w:gridCol w:w="109"/>
        <w:gridCol w:w="109"/>
        <w:gridCol w:w="109"/>
        <w:gridCol w:w="109"/>
        <w:gridCol w:w="211"/>
        <w:gridCol w:w="826"/>
        <w:gridCol w:w="157"/>
      </w:tblGrid>
      <w:tr>
        <w:trPr/>
        <w:tc>
          <w:tcPr>
            <w:tcW w:w="2757"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9,699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(34,853)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 on cash and cash equivalents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increase in cash and cash equivalents, including restricted cash, during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(38,834)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263,886 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provided by operating activities decreased $24.2 million to net cash provided of $9.7 million for the three months ended March 31, 2024 compared to $33.9 million for the three months ended March 31, 2023. The decrease in cash flows from operating activities in the three months ended March 31, 2024 compared to the three months ended March 31, 2023 was driven primarily by the $35.0 million payment of the Atlanta settlement, partially offset by changes in working capital of approximately $12.1 million.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decreased $10.1 million to net cash used of $34.9 million for the three months ended March 31, 2024 compared to $45.0 million for the three months ended March 31, 2023. The variance was driven by a decrease in capital expenditures of $10.1 million in the three months ended March 31, 2024 compared to the three months ended March 31, 2023.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Financing activities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was $11.9 million for the three months ended March 31, 2024 compared to cash provided by financing activities of $273.9 million for the three months ended March 31, 2023. The difference was mainly attributable to $500.0 million in proceeds from the issuance of Term Loan B on February 23, 2023 and the $200.0 million paydown of the outstanding balance on the Revolving Credit Facility in February 2023. Additionally, the Company paid $24.5 million of debt issuance costs during the three months ended March 31, 2023 in connection with the issuance of Term Loan B compared to $1.3 million of issuance costs paid for Amendment No. 3 to the Revolving Credit Facility in the three months ended March 31, 2024, as described in “Debt Facilities” below. In addition, the Company paid $6.7 million in the three months ended March 31, 2024 to acquire certain facilities through the settlement of a finance lease.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Debt Facilities </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December 13, 2019, SHH, our wholly-owned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Term Loan matures on June 13, 2026. The total borrowing capacity under the Revolving Credit Facility is $423.8 million. The Senior Secured Credit Facilities also provide SHH the right at any time and under certain conditions to request incremental term loans or incremental revolving credit commitments based on a formula defined in the Senior Secured Credit Facilities. As of March 31, 2024 and December 31, 2023, total borrowings under the Term Loan were $1,763.1 million. The weighted average interest rate on borrowings under the Term Loan for the three months ended March 31, 2024 and March 31, 2023 was 8.26% and 7.44%, respectively.</w:t>
      </w:r>
    </w:p>
    <w:p>
      <w:pPr>
        <w:pStyle w:val="TextBody"/>
        <w:bidi w:val="0"/>
        <w:spacing w:lineRule="auto" w:line="288" w:before="240" w:after="283"/>
        <w:jc w:val="left"/>
        <w:rPr/>
      </w:pPr>
      <w:r>
        <w:rPr>
          <w:rFonts w:ascii="Times New Roman;sans-serif" w:hAnsi="Times New Roman;sans-serif"/>
          <w:b w:val="false"/>
          <w:color w:val="000000"/>
          <w:sz w:val="20"/>
        </w:rPr>
        <w:t xml:space="preserve">On March 1, 2024, the Company and SHH entered into Amendment No. 3 (“Amendment No. 3”) to the Revolving Credit Facility. Among other changes, the Amendment provides (i) for new commitments under the existing Revolving Credit Facility to replace existing revolving commitments in an aggregate principal amount of </w:t>
      </w:r>
      <w:r>
        <w:rPr>
          <w:rFonts w:ascii="Times New Roman;sans-serif" w:hAnsi="Times New Roman;sans-serif"/>
          <w:b w:val="false"/>
          <w:color w:val="000000"/>
          <w:sz w:val="20"/>
          <w:shd w:fill="FFFFFF" w:val="clear"/>
        </w:rPr>
        <w:t>$83.0 million</w:t>
      </w:r>
      <w:r>
        <w:rPr>
          <w:rFonts w:ascii="Times New Roman;sans-serif" w:hAnsi="Times New Roman;sans-serif"/>
          <w:b w:val="false"/>
          <w:color w:val="000000"/>
          <w:sz w:val="20"/>
        </w:rPr>
        <w:t xml:space="preserve">, (ii) that certain of the lenders providing revolving credit commitments shall also provide additional commitments for the issuance of letters of credit under the Revolving Credit Facility in an aggregate principal amount of </w:t>
      </w:r>
      <w:r>
        <w:rPr>
          <w:rFonts w:ascii="Times New Roman;sans-serif" w:hAnsi="Times New Roman;sans-serif"/>
          <w:b w:val="false"/>
          <w:color w:val="000000"/>
          <w:sz w:val="20"/>
          <w:shd w:fill="FFFFFF" w:val="clear"/>
        </w:rPr>
        <w:t>$37.5 million</w:t>
      </w:r>
      <w:r>
        <w:rPr>
          <w:color w:val="000000"/>
        </w:rPr>
        <w:t xml:space="preserve"> </w:t>
      </w:r>
      <w:r>
        <w:rPr>
          <w:rFonts w:ascii="Times New Roman;sans-serif" w:hAnsi="Times New Roman;sans-serif"/>
          <w:b w:val="false"/>
          <w:color w:val="000000"/>
          <w:sz w:val="20"/>
        </w:rPr>
        <w:t>and (iii) for the extension of the maturity date of the Revolving Credit Facility to the earlier of (a) March 1, 2029, and (b) the date that is 91 days prior to the maturity date of the Company’s existing term loans.</w:t>
      </w:r>
    </w:p>
    <w:p>
      <w:pPr>
        <w:pStyle w:val="TextBody"/>
        <w:bidi w:val="0"/>
        <w:spacing w:lineRule="auto" w:line="288" w:before="240" w:after="283"/>
        <w:jc w:val="left"/>
        <w:rPr/>
      </w:pPr>
      <w:r>
        <w:rPr>
          <w:rFonts w:ascii="Times New Roman;sans-serif" w:hAnsi="Times New Roman;sans-serif"/>
          <w:b w:val="false"/>
          <w:color w:val="000000"/>
          <w:sz w:val="20"/>
        </w:rPr>
        <w:t xml:space="preserve">Amendment No. 3 does not give effect to any other material changes to the terms and conditions of the Credit Agreement, including with respect to the amount of commitments under the Revolving Credit Facility, which remains </w:t>
      </w:r>
      <w:r>
        <w:rPr>
          <w:rFonts w:ascii="Times New Roman;sans-serif" w:hAnsi="Times New Roman;sans-serif"/>
          <w:b w:val="false"/>
          <w:color w:val="000000"/>
          <w:sz w:val="20"/>
          <w:shd w:fill="FFFFFF" w:val="clear"/>
        </w:rPr>
        <w:t>$423.8 million</w:t>
      </w:r>
      <w:r>
        <w:rPr>
          <w:rFonts w:ascii="Times New Roman;sans-serif" w:hAnsi="Times New Roman;sans-serif"/>
          <w:b w:val="false"/>
          <w:color w:val="000000"/>
          <w:sz w:val="20"/>
        </w:rPr>
        <w:t>, the representations and warranties, events of default, affirmative or negative covenants.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February 23, 2023, we entered into the First Lien Credit Agreement (the “2023 Credit Agreement”), which provides for, among other things, a new Term Loan B facility (the “2023 Term Loan”) in an aggregate principal amount of $500.0 million and bears interest, at the Company’s option, at a variable rate per annum equal to either (x) the Term Secured Overnight Financing Rate (“Term SOFR”) (as defined in the 2023 Credit Agreement) plus an applicable margin of 3.75% or (y) an alternative base rate (“ABR”) plus an applicable margin of 2.75%. The 2023 Credit Agreement is secured on a first priority basis by substantially all of our assets and is guaranteed by certain of our subsidiaries. It is prepayable without premium or penalty at any time six months after the closing date. The principal balance shall be paid at 1% of the aggregate principal amount ($5.0 million) per year, with the balance due at the end of 2026. The Company used the proceeds of the 2023 Term Loan to fund a previously announced $408.0 million EO litigation settlement in Cook County, Illinois and pay down the $200.0 million of existing borrowings under the Revolving Credit Facility concurrent with the funding of the 2023 Term Loan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February 23, 2023. The Company utilized the remaining proceeds to further enhance liquidity and for general corporate purposes. The weighted average interest rate on borrowings under the 2023 Term Loan for the three months ended March 31, 2024 and the three months ended </w:t>
      </w:r>
      <w:r>
        <w:rPr>
          <w:rFonts w:ascii="Times New Roman;sans-serif" w:hAnsi="Times New Roman;sans-serif"/>
          <w:b w:val="false"/>
          <w:color w:val="000000"/>
          <w:sz w:val="20"/>
        </w:rPr>
        <w:t>March 31, 2023</w:t>
      </w:r>
      <w:r>
        <w:rPr>
          <w:color w:val="000000"/>
          <w:shd w:fill="FFFFFF" w:val="clear"/>
        </w:rPr>
        <w:t xml:space="preserve"> </w:t>
      </w:r>
      <w:r>
        <w:rPr>
          <w:rFonts w:ascii="Times New Roman;sans-serif" w:hAnsi="Times New Roman;sans-serif"/>
          <w:b w:val="false"/>
          <w:color w:val="000000"/>
          <w:sz w:val="20"/>
          <w:shd w:fill="FFFFFF" w:val="clear"/>
        </w:rPr>
        <w:t xml:space="preserve">was 9.09% and </w:t>
      </w:r>
      <w:r>
        <w:rPr>
          <w:rFonts w:ascii="Times New Roman;sans-serif" w:hAnsi="Times New Roman;sans-serif"/>
          <w:b w:val="false"/>
          <w:color w:val="000000"/>
          <w:sz w:val="20"/>
        </w:rPr>
        <w:t>8.82%, respectively.</w:t>
      </w:r>
      <w:r>
        <w:rPr>
          <w:color w:val="000000"/>
          <w:shd w:fill="FFFFFF" w:val="clear"/>
        </w:rPr>
        <w:t xml:space="preserv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21, 2023, the Company entered into an Incremental Facility Amendment to the First Lien Credit Agreement (“Revolving Credit Facility Amendment”), which provides for an increase in the commitments under the existing Revolving Credit Facility in an aggregate principal amount of $76.3 million. In addition, certain of the lenders providing revolving credit commitments provided additional commitments for the issuance of the letters of credit under the Revolving Credit Facility in an aggregate principal amount of $165.1 million. The Revolving Credit Facility Amendment also provides for the replacement of the reference interest rate option for Revolving Loans from London Interbank Offered Rate (“LIBOR”) to Secured Overnight Financing Rate (“SOFR”) plus an applicable credit spread adjustment of 0.10% (subject to a minimum floor of 0%). After giving effect to the Revolving Credit Facility Amendment, the aggregate amount of the lenders' revolving commitments is $423.8 million. As of March 31, 2024 there were no borrowings outstanding under the Revolving Credit Facility.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Senior Secured Credit Facilities and 2023 Credit Agreement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and 2023 Credit Agreement. The Senior Secured Credit Facilities and 2023 Credit Agreement also contain certain customary affirmative covenants and events of default, including upon a change of control. An event of default under the Senior Secured Credit Facilities and 2023 Credit Agreement would occur if the Company or certain of its subsidiaries received one or more enforceable judgments for payment in an aggregate amount in excess of $100.0 million and the judgments were not stayed or remained undischarged for a period of sixty consecutive days or if, to enforce such judgments, a judgment creditor were to attach liens upon assets that are material to the business and operations of the Company and certain of its subsidiaries as a whole. As of March 31, 2024, we were in compliance with all of the Senior Secured Credit Facilities and 2023 Credit Agreement covenants.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of SHH’s obligations under the Senior Secured Credit Facilities and 2023 Credit Agreement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2023 Credit Agreement, and the guarantees of such obligations, are secured by substantially all assets of the borrower and guarantors, subject to permitted liens and other exceptions and exclusions, as outlined in the Senior Secured Credit Facilities and 2023 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Outstanding letters of credit are collateralized by encumbrances against the Revolving Credit Facility and the collateral pledged thereunder, or by cash placed on deposit with the issuing bank. As of March 31, 2024, the Company had $23.7 million of letters of credit issued against the Revolving Credit Facility, resulting in total availability under the Revolving Credit Facility of $400.1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consolidated financial statements and related disclosures in conformity with GAAP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comprehensive discussion of the Company’s critical accounting policies and management estimates made in connection with the preparation of the financial statements is included in Item 7 of our 2023 Form 10-K. There have been no significant changes in critical accounting policies, management estimates or accounting policies since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NEW ACCOUNTING PRONOUNCEMENTS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recent accounting pronouncements applicable to our business, see Note 2, “Recent Accounting Standards”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risks are described within “Quantitative and Qualitative Disclosures About Market Risk” in Part II, Item 7A of our 2023 Form 10-K. These market risks have not materially changed for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("CEO") and Chief Financial Officer ("CFO"), has evaluated the effectiveness of the Company’s “disclosure controls and procedures,” (as defined in Rules 13a-15(e) and 15d-15(e) under the Securities Exchange Act of 1934, as amended (“Exchange Act”)). Based upon their evaluation, the CEO and CFO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there were no changes in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subject to various legal proceedings arising in the ordinary course of our business, including claims relating to personal injury, property damage, workers’ compensation, employee safety, corporate governance and our disclosures as a Nasdaq-listed, publicly-traded company. In addition, from time to time, we receive communications from government or regulatory agencies concerning investigations or allegations of noncompliance with laws or regulations in jurisdictions in which we operate. At this time, and except as is noted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material legal proceedings is included below. </w:t>
      </w:r>
    </w:p>
    <w:p>
      <w:pPr>
        <w:pStyle w:val="TextBody"/>
        <w:bidi w:val="0"/>
        <w:spacing w:lineRule="auto" w:line="288" w:before="240" w:after="283"/>
        <w:jc w:val="left"/>
        <w:rPr/>
      </w:pPr>
      <w:r>
        <w:rPr>
          <w:rFonts w:ascii="Times New Roman;sans-serif" w:hAnsi="Times New Roman;sans-serif"/>
          <w:b/>
          <w:color w:val="000000"/>
          <w:sz w:val="20"/>
        </w:rPr>
        <w:t>Legal Proceedings Described in Note 14 “Commitments and Contingencies”</w:t>
      </w:r>
      <w:r>
        <w:rPr>
          <w:color w:val="000000"/>
        </w:rPr>
        <w:t xml:space="preserve"> </w:t>
      </w:r>
      <w:r>
        <w:rPr>
          <w:rFonts w:ascii="Times New Roman;sans-serif" w:hAnsi="Times New Roman;sans-serif"/>
          <w:b/>
          <w:color w:val="000000"/>
          <w:sz w:val="20"/>
        </w:rPr>
        <w:t xml:space="preserve">of Our Consolidated Financial Statements </w:t>
      </w:r>
    </w:p>
    <w:p>
      <w:pPr>
        <w:pStyle w:val="TextBody"/>
        <w:bidi w:val="0"/>
        <w:spacing w:lineRule="auto" w:line="288" w:before="120" w:after="283"/>
        <w:jc w:val="left"/>
        <w:rPr/>
      </w:pPr>
      <w:r>
        <w:rPr>
          <w:rFonts w:ascii="Times New Roman;sans-serif" w:hAnsi="Times New Roman;sans-serif"/>
          <w:b w:val="false"/>
          <w:color w:val="000000"/>
          <w:sz w:val="20"/>
        </w:rPr>
        <w:t>Note 14, “Commitments and Contingencies” to our consolidated financial statements for the three months ended March 31, 2024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14 “Commitments and Contingencies”</w:t>
      </w:r>
      <w:r>
        <w:rPr>
          <w:color w:val="000000"/>
        </w:rPr>
        <w:t xml:space="preserve"> </w:t>
      </w:r>
      <w:r>
        <w:rPr>
          <w:rFonts w:ascii="Times New Roman;sans-serif" w:hAnsi="Times New Roman;sans-serif"/>
          <w:b w:val="false"/>
          <w:color w:val="000000"/>
          <w:sz w:val="20"/>
        </w:rPr>
        <w:t>for information regarding the following legal proceedings, which information is incorporated into this item by reference:</w:t>
      </w:r>
    </w:p>
    <w:p>
      <w:pPr>
        <w:pStyle w:val="TextBody"/>
        <w:bidi w:val="0"/>
        <w:spacing w:before="120" w:after="283"/>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Ethylene Oxide Tort Litigation – Illinois, Georgia, California and New Mexico;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Insurance Coverage for Environmental Liabilities;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Sotera Health Company Securities Litigation and Related Matters.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Legal Proceedings That Are Not Described in Note 14 “Commitments and Contingencies” to Our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matters that are identified in Note 14 “Commitments and Contingencies” to our consolidated financial statements for the three months ended March 31, 2024 contained in this Quarterly Report on Form 10-Q, and incorporated into this item by reference, the following matters also constitute material pending legal proceedings, other than ordinary course litigation incidental to our business, to which we are or any of our subsidiaries is a party. SEC regulations require disclosure of environmental proceedings that involve a government authority and potential monetary sanctions that the Company reasonably believes will exceed a specified threshold. Effective January 1, 2024, except for the previously disclosed Notices of Violation issued to Sterigenics’ facilities in Queensbury, New York, Los Angeles, California and Ontario, California, the Company uses a threshold of $1 million to determine whether the disclosure of any such proceedings is required because we believe matters under this threshold are not material to the Company.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Notice of Violation at Queensbury, New York Ethylene Oxide Sterilization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late May 2023, Sterigenics’ Queensbury, New York facility experienced a power outage that resulted in a failure to restart the facility’s scrubber system (part of the facility’s emission control systems). The disruption of the facility’s scrubber lasted for approximately 48 hours. Upon discovering the disruption, the facility restarted the scrubber to control emissions within the system and then ceased operations. Operating without the scrubber resulted in nine intermittent releases of EO over a period of 48 hours from the 78-foot stack at the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promptly notified the New York State Department of Environmental Conservation (“DEC”) and US EPA about the failure of the scrubber system and resulting releases of EO. Sterigenics implemented remedial measures to prevent a recurrence in the event of future power outages and, with the DEC’s approval, resumed operations at the Queensbury facility 12 days after ceasing operations. In May 2023, Sterigenics received a Notice of Violation (“NOV”) from the DEC. In September 2023, the DEC offered to settle the NOV for an immaterial amount plus proposed requirements to implement additional emissions monitoring and back-up power capabilities at the facility. Settlement negotiations are ongoing.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Notices of Violation at Vernon and Ontario, California Ethylene Oxide Sterilization Facilities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South Coast Air Quality Management District (“SCAQMD”) in Southern California initiated an investigation into EO sterilization facilities located in the SCAQMD region, including Sterigenics’ facilities in Vernon and Ontario, California. In connection with this investigation, SCAQMD issued NOVs to the Vernon and Ontario facilities alleging violations of SCAQMD operational, maintenance, permitting and reporting requirements and that levels of ambient EO detected by SCAQMD during 2022 caused a public nuisance for off-site workers around the facilities in violation of general prohibitions on emissions. Sterigenics disputes the allegations. Sterigenics has offered to settle the NOVs for an immaterial amount. Settlement negotiations are ongoing.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1A. Risk Factors.</w:t>
      </w:r>
      <w:r>
        <w:rPr>
          <w:color w:val="000000"/>
        </w:rPr>
        <w:t xml:space="preserve"> </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risk factor titled “We are subject to extensive regulatory requirements and routine regulatory audits in our operations …” included in Part I, Item 1A, “Risk Factors” of our Annual Report on Form 10-K for the year ended December 31, 2023 is hereby updated by adding at the end of that risk factor the paragraphs immediately below. Other than this addition, the text of the risk factors is unchanged.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14, 2024, the US EPA announced final NESHAP rules to govern EO sterilization facilities in the United States. The final regulation, which was published in the Federal Register on April 5, 2024, requires EO sterilization facilities to implement additional air pollution technologies, practices and procedures designed to further reduce EO emissions. For facilities like ours, the final NESHAP regulation imposes new requirements such as higher efficiencies for EO emission controls, implementation of permanent total enclosure capture technology, and use of continuous emissions monitoring systems (or, CEMS). Our operations are required to comply with the final NESHAP EO sterilizer regulation by April 6, 2026 and to demonstrate compliance within 180 days after that date. The US EPA has not yet issued an ID in the FIFRA re-registration process. The issuance of an ID remains expected by the third quarter of 2024, although US EPA could issue the ID sooner.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investments in emission control enhancements at our EO facilities have positioned us to be able to comply with the updated NESHAP requirements within the timeframes specified by the final rule, but the requirements of the final rule represent significant changes from historical requirements and are challenging for existing EO sterilization facilities like ours, and therefore we cannot provide certainty that we will be able to comply with the requirements of the final rule at our EO facilities within the time required. The FIFRA ID for EO also will apply to our EO sterilization facilities in the United States, and certain requirements proposed for the ID in 2023 would require practices that remain untested or not widely adopted at existing EO sterilization facilities and could be inconsistent with meeting the requirements of the final NESHAP rule. Compliance with the final NESHAP and ID may ultimately require additional facility modifications, capital expenditures and operational costs beyond what the Company is presently anticipating.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5. Other Information.</w:t>
      </w:r>
      <w:r>
        <w:rPr>
          <w:color w:val="000000"/>
        </w:rPr>
        <w:t xml:space="preserve"> </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10b5-1 Trading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(as that term is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listed in the following Exhibit Index are filed, furnished, or incorporated by reference as part of this Quarterly Report on Form 10-Q. </w:t>
      </w:r>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616"/>
        <w:gridCol w:w="1363"/>
        <w:gridCol w:w="1367"/>
        <w:gridCol w:w="109"/>
        <w:gridCol w:w="109"/>
        <w:gridCol w:w="109"/>
        <w:gridCol w:w="197"/>
        <w:gridCol w:w="197"/>
        <w:gridCol w:w="192"/>
        <w:gridCol w:w="267"/>
        <w:gridCol w:w="267"/>
        <w:gridCol w:w="154"/>
        <w:gridCol w:w="245"/>
        <w:gridCol w:w="245"/>
        <w:gridCol w:w="246"/>
        <w:gridCol w:w="228"/>
        <w:gridCol w:w="228"/>
        <w:gridCol w:w="229"/>
        <w:gridCol w:w="109"/>
        <w:gridCol w:w="109"/>
        <w:gridCol w:w="109"/>
        <w:gridCol w:w="333"/>
        <w:gridCol w:w="333"/>
        <w:gridCol w:w="481"/>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6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7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68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Furnished/Filed </w:t>
              <w:br/>
              <w:t>Herewith</w:t>
            </w:r>
          </w:p>
        </w:tc>
      </w:tr>
      <w:tr>
        <w:trPr/>
        <w:tc>
          <w:tcPr>
            <w:tcW w:w="10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8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shc_20240331xexhibitx31x1.htm">
              <w:r>
                <w:rPr>
                  <w:rStyle w:val="InternetLink"/>
                  <w:rFonts w:ascii="Times New Roman;sans-serif" w:hAnsi="Times New Roman;sans-serif"/>
                  <w:b w:val="false"/>
                  <w:color w:val="0000FF"/>
                  <w:sz w:val="20"/>
                  <w:u w:val="single"/>
                </w:rPr>
                <w:t xml:space="preserve">Certification of Principal Executive Officer pursuant to Exchange Act Rules 13a-14(a) and 15d-14(a), as adopted pursuant to Section 302 of the Sarbanes-Oxley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20240331_exhibitx31x2.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hc20240331_exhibitx32x1.htm">
              <w:r>
                <w:rPr>
                  <w:rStyle w:val="InternetLink"/>
                  <w:rFonts w:ascii="Times New Roman;sans-serif" w:hAnsi="Times New Roman;sans-serif"/>
                  <w:b w:val="false"/>
                  <w:color w:val="0000FF"/>
                  <w:sz w:val="20"/>
                  <w:u w:val="single"/>
                </w:rPr>
                <w:t>Certifications of Principal Executive Officer and Principal Financial Officer pursuant to 18 U.S.C. Section 1350, as adopted pursuant to Section 906 of the Sarbanes-Oxley Act of 2002</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Amendment No. 3 to the First Lien Credit Agreement, dated as of March 1, 2024 by and among Sotera Health Company, Sotera Health Holdings, the Refinancing Revolving Lenders, and JPMorgan Chase Bank, N.A., as First Lien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2024-03-01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Executed Amended and Restated Employment Offer by Sotera Health Company and Jonathan M. Lyons dated as of February 26,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2024-02-27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XBRL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Presentation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344" w:type="dxa"/>
        <w:jc w:val="left"/>
        <w:tblInd w:w="0" w:type="dxa"/>
        <w:tblLayout w:type="fixed"/>
        <w:tblCellMar>
          <w:top w:w="28" w:type="dxa"/>
          <w:left w:w="28" w:type="dxa"/>
          <w:bottom w:w="28" w:type="dxa"/>
          <w:right w:w="28" w:type="dxa"/>
        </w:tblCellMar>
      </w:tblPr>
      <w:tblGrid>
        <w:gridCol w:w="124"/>
        <w:gridCol w:w="109"/>
        <w:gridCol w:w="109"/>
        <w:gridCol w:w="288"/>
        <w:gridCol w:w="288"/>
        <w:gridCol w:w="288"/>
        <w:gridCol w:w="645"/>
        <w:gridCol w:w="645"/>
        <w:gridCol w:w="645"/>
        <w:gridCol w:w="645"/>
        <w:gridCol w:w="645"/>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2"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 Lyons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 Lyons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Michael B. Petras, Jr., certify that:</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Sotera Health Company;</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2024</w:t>
      </w:r>
    </w:p>
    <w:tbl>
      <w:tblPr>
        <w:tblW w:w="3269" w:type="dxa"/>
        <w:jc w:val="left"/>
        <w:tblInd w:w="0" w:type="dxa"/>
        <w:tblLayout w:type="fixed"/>
        <w:tblCellMar>
          <w:top w:w="28" w:type="dxa"/>
          <w:left w:w="28" w:type="dxa"/>
          <w:bottom w:w="28" w:type="dxa"/>
          <w:right w:w="28" w:type="dxa"/>
        </w:tblCellMar>
      </w:tblPr>
      <w:tblGrid>
        <w:gridCol w:w="1045"/>
        <w:gridCol w:w="917"/>
        <w:gridCol w:w="1307"/>
      </w:tblGrid>
      <w:tr>
        <w:trPr/>
        <w:tc>
          <w:tcPr>
            <w:tcW w:w="104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B. Petras, Jr.</w:t>
            </w:r>
          </w:p>
        </w:tc>
      </w:tr>
      <w:tr>
        <w:trPr/>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B. Petras, Jr.</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Jonathan M. Lyons, certify that:</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Sotera Health Company;</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2024</w:t>
      </w:r>
    </w:p>
    <w:tbl>
      <w:tblPr>
        <w:tblW w:w="4155" w:type="dxa"/>
        <w:jc w:val="left"/>
        <w:tblInd w:w="0" w:type="dxa"/>
        <w:tblLayout w:type="fixed"/>
        <w:tblCellMar>
          <w:top w:w="28" w:type="dxa"/>
          <w:left w:w="28" w:type="dxa"/>
          <w:bottom w:w="28" w:type="dxa"/>
          <w:right w:w="28" w:type="dxa"/>
        </w:tblCellMar>
      </w:tblPr>
      <w:tblGrid>
        <w:gridCol w:w="1328"/>
        <w:gridCol w:w="1167"/>
        <w:gridCol w:w="1660"/>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 Lyons</w:t>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 Lyons</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Officer) </w:t>
            </w:r>
          </w:p>
        </w:tc>
      </w:tr>
    </w:tbl>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CERTIFICATIONS OF PRINCIPAL EXECUTIVE OFFICER AND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480"/>
        <w:ind w:left="0" w:right="0" w:firstLine="720"/>
        <w:jc w:val="left"/>
        <w:rPr/>
      </w:pPr>
      <w:r>
        <w:rPr>
          <w:rFonts w:ascii="Times New Roman;sans-serif" w:hAnsi="Times New Roman;sans-serif"/>
          <w:b w:val="false"/>
          <w:color w:val="000000"/>
          <w:sz w:val="20"/>
        </w:rPr>
        <w:t>Pursuant to section 906 of the Sarbanes-Oxley Act of 2002 (subsections (a) and (b) of Section 1350, Chapter 63 of Title 18, United States Code), each of the undersigned officers of Sotera Health Company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do hereby certify, to each such officer’s knowledge, that the Company’s Quarterly Report on Form 10-Q for the quarter ended March 31, 2024 fully complies with the requirements of Section 13(a) or 15(d) of the Securities Exchange Act of 1934 and information contained in the Form 10-Q fairly presents, in all material respects, the financial condition and results of operations of the Company.</w:t>
      </w:r>
    </w:p>
    <w:tbl>
      <w:tblPr>
        <w:tblW w:w="6374" w:type="dxa"/>
        <w:jc w:val="left"/>
        <w:tblInd w:w="0" w:type="dxa"/>
        <w:tblLayout w:type="fixed"/>
        <w:tblCellMar>
          <w:top w:w="28" w:type="dxa"/>
          <w:left w:w="28" w:type="dxa"/>
          <w:bottom w:w="28" w:type="dxa"/>
          <w:right w:w="28" w:type="dxa"/>
        </w:tblCellMar>
      </w:tblPr>
      <w:tblGrid>
        <w:gridCol w:w="629"/>
        <w:gridCol w:w="553"/>
        <w:gridCol w:w="558"/>
        <w:gridCol w:w="1356"/>
        <w:gridCol w:w="1356"/>
        <w:gridCol w:w="1922"/>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2, 2024</w:t>
            </w:r>
          </w:p>
        </w:tc>
        <w:tc>
          <w:tcPr>
            <w:tcW w:w="4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Michael B. Petras, Jr.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B. Petras, Jr.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Chairman and Chief Executive Officer</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2, 2024</w:t>
            </w:r>
          </w:p>
        </w:tc>
        <w:tc>
          <w:tcPr>
            <w:tcW w:w="4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 Lyons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Jonathan M. Lyons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 and 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certifications are furnished and are not deemed filed with the Securities and Exchange Commission for purposes of Section 18 of the Securities Exchange Act of 1934, as amended (Exchange Act), and are not deemed to be incorporated by reference into any filing of Sotera Health Company under the Securities Act of 1933, as amended, or the Exchange Act, except to the extent that Sotera Health Company specifically incorporates them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2479/000119312524058025/d786395dex101.htm" TargetMode="External"/><Relationship Id="rId4" Type="http://schemas.openxmlformats.org/officeDocument/2006/relationships/hyperlink" Target="https://www.sec.gov/Archives/edgar/data/1822479/000182247924000011/shc20231231_exhibitx10x7.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22281</Words>
  <Characters>125918</Characters>
  <CharactersWithSpaces>146867</CharactersWithSpaces>
  <Paragraphs>2421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