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4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229" w:right="339" w:bottom="1440" w:gutter="0" w:footer="0" w:header="0"/>
        </w:sectPr>
      </w:pPr>
    </w:p>
    <w:p>
      <w:pPr>
        <w:spacing w:after="0" w:line="23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For the transition period from</w:t>
      </w:r>
    </w:p>
    <w:p>
      <w:pPr>
        <w:spacing w:after="0" w:line="113"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Commission file number  001-39729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95250</wp:posOffset>
            </wp:positionV>
            <wp:extent cx="171450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96" w:lineRule="exact"/>
        <w:rPr>
          <w:sz w:val="24"/>
          <w:szCs w:val="24"/>
          <w:color w:val="auto"/>
        </w:rPr>
      </w:pPr>
    </w:p>
    <w:p>
      <w:pPr>
        <w:sectPr>
          <w:pgSz w:w="11900" w:h="16838" w:orient="portrait"/>
          <w:cols w:equalWidth="0" w:num="2">
            <w:col w:w="6880" w:space="0"/>
            <w:col w:w="4360"/>
          </w:cols>
          <w:pgMar w:left="320" w:top="2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SOTERA HEALTH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3"/>
              </w:rPr>
              <w:t>Delaware</w:t>
            </w:r>
          </w:p>
        </w:tc>
        <w:tc>
          <w:tcPr>
            <w:tcW w:w="2000" w:type="dxa"/>
            <w:vAlign w:val="bottom"/>
          </w:tcPr>
          <w:p>
            <w:pPr>
              <w:spacing w:after="0"/>
              <w:rPr>
                <w:sz w:val="18"/>
                <w:szCs w:val="18"/>
                <w:color w:val="auto"/>
              </w:rPr>
            </w:pPr>
          </w:p>
        </w:tc>
        <w:tc>
          <w:tcPr>
            <w:tcW w:w="4440" w:type="dxa"/>
            <w:vAlign w:val="bottom"/>
          </w:tcPr>
          <w:p>
            <w:pPr>
              <w:jc w:val="right"/>
              <w:ind w:right="2239"/>
              <w:spacing w:after="0"/>
              <w:rPr>
                <w:sz w:val="20"/>
                <w:szCs w:val="20"/>
                <w:color w:val="auto"/>
              </w:rPr>
            </w:pPr>
            <w:r>
              <w:rPr>
                <w:rFonts w:ascii="Arial" w:cs="Arial" w:eastAsia="Arial" w:hAnsi="Arial"/>
                <w:sz w:val="16"/>
                <w:szCs w:val="16"/>
                <w:b w:val="1"/>
                <w:bCs w:val="1"/>
                <w:color w:val="auto"/>
              </w:rPr>
              <w:t>47-3531161</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000" w:type="dxa"/>
            <w:vAlign w:val="bottom"/>
          </w:tcPr>
          <w:p>
            <w:pPr>
              <w:spacing w:after="0"/>
              <w:rPr>
                <w:sz w:val="21"/>
                <w:szCs w:val="21"/>
                <w:color w:val="auto"/>
              </w:rPr>
            </w:pPr>
          </w:p>
        </w:tc>
        <w:tc>
          <w:tcPr>
            <w:tcW w:w="4440" w:type="dxa"/>
            <w:vAlign w:val="bottom"/>
          </w:tcPr>
          <w:p>
            <w:pPr>
              <w:jc w:val="center"/>
              <w:ind w:right="899"/>
              <w:spacing w:after="0"/>
              <w:rPr>
                <w:sz w:val="20"/>
                <w:szCs w:val="20"/>
                <w:color w:val="auto"/>
              </w:rPr>
            </w:pPr>
            <w:r>
              <w:rPr>
                <w:rFonts w:ascii="Arial" w:cs="Arial" w:eastAsia="Arial" w:hAnsi="Arial"/>
                <w:sz w:val="16"/>
                <w:szCs w:val="16"/>
                <w:color w:val="auto"/>
                <w:w w:val="94"/>
              </w:rPr>
              <w:t>(I.R.S. Employer Identification No.)</w:t>
            </w:r>
          </w:p>
        </w:tc>
      </w:tr>
      <w:tr>
        <w:trPr>
          <w:trHeight w:val="364"/>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9100 South Hills Blvd, Suite 300</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b w:val="1"/>
                <w:bCs w:val="1"/>
                <w:color w:val="auto"/>
                <w:w w:val="91"/>
              </w:rPr>
              <w:t>Broadview Heights, Ohio</w:t>
            </w:r>
          </w:p>
        </w:tc>
        <w:tc>
          <w:tcPr>
            <w:tcW w:w="2000" w:type="dxa"/>
            <w:vAlign w:val="bottom"/>
          </w:tcPr>
          <w:p>
            <w:pPr>
              <w:spacing w:after="0"/>
              <w:rPr>
                <w:sz w:val="21"/>
                <w:szCs w:val="21"/>
                <w:color w:val="auto"/>
              </w:rPr>
            </w:pPr>
          </w:p>
        </w:tc>
        <w:tc>
          <w:tcPr>
            <w:tcW w:w="4440" w:type="dxa"/>
            <w:vAlign w:val="bottom"/>
          </w:tcPr>
          <w:p>
            <w:pPr>
              <w:jc w:val="right"/>
              <w:ind w:right="2419"/>
              <w:spacing w:after="0"/>
              <w:rPr>
                <w:sz w:val="20"/>
                <w:szCs w:val="20"/>
                <w:color w:val="auto"/>
              </w:rPr>
            </w:pPr>
            <w:r>
              <w:rPr>
                <w:rFonts w:ascii="Arial" w:cs="Arial" w:eastAsia="Arial" w:hAnsi="Arial"/>
                <w:sz w:val="16"/>
                <w:szCs w:val="16"/>
                <w:b w:val="1"/>
                <w:bCs w:val="1"/>
                <w:color w:val="auto"/>
              </w:rPr>
              <w:t>44147</w:t>
            </w:r>
          </w:p>
        </w:tc>
      </w:tr>
      <w:tr>
        <w:trPr>
          <w:trHeight w:val="243"/>
        </w:trPr>
        <w:tc>
          <w:tcPr>
            <w:tcW w:w="4780" w:type="dxa"/>
            <w:vAlign w:val="bottom"/>
          </w:tcPr>
          <w:p>
            <w:pPr>
              <w:jc w:val="center"/>
              <w:ind w:left="479"/>
              <w:spacing w:after="0"/>
              <w:rPr>
                <w:sz w:val="20"/>
                <w:szCs w:val="20"/>
                <w:color w:val="auto"/>
              </w:rPr>
            </w:pPr>
            <w:r>
              <w:rPr>
                <w:rFonts w:ascii="Arial" w:cs="Arial" w:eastAsia="Arial" w:hAnsi="Arial"/>
                <w:sz w:val="16"/>
                <w:szCs w:val="16"/>
                <w:color w:val="auto"/>
                <w:w w:val="94"/>
              </w:rPr>
              <w:t>(Address of principal executive offices)</w:t>
            </w:r>
          </w:p>
        </w:tc>
        <w:tc>
          <w:tcPr>
            <w:tcW w:w="2000" w:type="dxa"/>
            <w:vAlign w:val="bottom"/>
          </w:tcPr>
          <w:p>
            <w:pPr>
              <w:spacing w:after="0"/>
              <w:rPr>
                <w:sz w:val="21"/>
                <w:szCs w:val="21"/>
                <w:color w:val="auto"/>
              </w:rPr>
            </w:pPr>
          </w:p>
        </w:tc>
        <w:tc>
          <w:tcPr>
            <w:tcW w:w="4440" w:type="dxa"/>
            <w:vAlign w:val="bottom"/>
          </w:tcPr>
          <w:p>
            <w:pPr>
              <w:jc w:val="center"/>
              <w:ind w:right="879"/>
              <w:spacing w:after="0"/>
              <w:rPr>
                <w:sz w:val="20"/>
                <w:szCs w:val="20"/>
                <w:color w:val="auto"/>
              </w:rPr>
            </w:pPr>
            <w:r>
              <w:rPr>
                <w:rFonts w:ascii="Arial" w:cs="Arial" w:eastAsia="Arial" w:hAnsi="Arial"/>
                <w:sz w:val="16"/>
                <w:szCs w:val="16"/>
                <w:color w:val="auto"/>
                <w:w w:val="95"/>
              </w:rPr>
              <w:t>(Zip Code)</w:t>
            </w:r>
          </w:p>
        </w:tc>
      </w:tr>
      <w:tr>
        <w:trPr>
          <w:trHeight w:val="364"/>
        </w:trPr>
        <w:tc>
          <w:tcPr>
            <w:tcW w:w="4780" w:type="dxa"/>
            <w:vAlign w:val="bottom"/>
          </w:tcPr>
          <w:p>
            <w:pPr>
              <w:jc w:val="center"/>
              <w:ind w:left="499"/>
              <w:spacing w:after="0"/>
              <w:rPr>
                <w:sz w:val="20"/>
                <w:szCs w:val="20"/>
                <w:color w:val="auto"/>
              </w:rPr>
            </w:pPr>
            <w:r>
              <w:rPr>
                <w:rFonts w:ascii="Arial" w:cs="Arial" w:eastAsia="Arial" w:hAnsi="Arial"/>
                <w:sz w:val="16"/>
                <w:szCs w:val="16"/>
                <w:color w:val="auto"/>
                <w:w w:val="90"/>
              </w:rPr>
              <w:t>Registrant’s telephone number, including area code</w:t>
            </w:r>
          </w:p>
        </w:tc>
        <w:tc>
          <w:tcPr>
            <w:tcW w:w="2000" w:type="dxa"/>
            <w:vAlign w:val="bottom"/>
          </w:tcPr>
          <w:p>
            <w:pPr>
              <w:spacing w:after="0"/>
              <w:rPr>
                <w:sz w:val="24"/>
                <w:szCs w:val="24"/>
                <w:color w:val="auto"/>
              </w:rPr>
            </w:pPr>
          </w:p>
        </w:tc>
        <w:tc>
          <w:tcPr>
            <w:tcW w:w="4440" w:type="dxa"/>
            <w:vAlign w:val="bottom"/>
          </w:tcPr>
          <w:p>
            <w:pPr>
              <w:jc w:val="right"/>
              <w:ind w:right="1939"/>
              <w:spacing w:after="0"/>
              <w:rPr>
                <w:sz w:val="20"/>
                <w:szCs w:val="20"/>
                <w:color w:val="auto"/>
              </w:rPr>
            </w:pPr>
            <w:r>
              <w:rPr>
                <w:rFonts w:ascii="Arial" w:cs="Arial" w:eastAsia="Arial" w:hAnsi="Arial"/>
                <w:sz w:val="16"/>
                <w:szCs w:val="16"/>
                <w:b w:val="1"/>
                <w:bCs w:val="1"/>
                <w:color w:val="auto"/>
              </w:rPr>
              <w:t>(440)  262-1410</w:t>
            </w:r>
          </w:p>
        </w:tc>
      </w:tr>
      <w:tr>
        <w:trPr>
          <w:trHeight w:val="419"/>
        </w:trPr>
        <w:tc>
          <w:tcPr>
            <w:tcW w:w="478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64"/>
        </w:trPr>
        <w:tc>
          <w:tcPr>
            <w:tcW w:w="47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Title of each class</w:t>
            </w:r>
          </w:p>
        </w:tc>
        <w:tc>
          <w:tcPr>
            <w:tcW w:w="20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1"/>
              </w:rPr>
              <w:t>Trading Symbol(s)</w:t>
            </w:r>
          </w:p>
        </w:tc>
        <w:tc>
          <w:tcPr>
            <w:tcW w:w="44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3"/>
        </w:trPr>
        <w:tc>
          <w:tcPr>
            <w:tcW w:w="478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00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SHC</w:t>
            </w:r>
          </w:p>
        </w:tc>
        <w:tc>
          <w:tcPr>
            <w:tcW w:w="444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The Nasdaq Stock Market LLC</w:t>
            </w:r>
          </w:p>
        </w:tc>
      </w:tr>
    </w:tbl>
    <w:p>
      <w:pPr>
        <w:spacing w:after="0" w:line="280"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p>
      <w:pPr>
        <w:spacing w:after="0" w:line="1"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w:t>
      </w:r>
    </w:p>
    <w:p>
      <w:pPr>
        <w:spacing w:after="0" w:line="173"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54" w:lineRule="exact"/>
        <w:rPr>
          <w:sz w:val="24"/>
          <w:szCs w:val="24"/>
          <w:color w:val="auto"/>
        </w:rPr>
      </w:pPr>
    </w:p>
    <w:p>
      <w:pPr>
        <w:ind w:right="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1860" w:type="dxa"/>
        <w:tblCellMar>
          <w:top w:w="0" w:type="dxa"/>
          <w:left w:w="0" w:type="dxa"/>
          <w:bottom w:w="0" w:type="dxa"/>
          <w:right w:w="0" w:type="dxa"/>
        </w:tblCellMar>
      </w:tblP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2"/>
              </w:rPr>
              <w:t>Large 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4"/>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460" w:type="dxa"/>
            <w:vAlign w:val="bottom"/>
          </w:tcPr>
          <w:p>
            <w:pPr>
              <w:jc w:val="center"/>
              <w:ind w:right="919"/>
              <w:spacing w:after="0"/>
              <w:rPr>
                <w:sz w:val="20"/>
                <w:szCs w:val="20"/>
                <w:color w:val="auto"/>
              </w:rPr>
            </w:pPr>
            <w:r>
              <w:rPr>
                <w:rFonts w:ascii="Arial" w:cs="Arial" w:eastAsia="Arial" w:hAnsi="Arial"/>
                <w:sz w:val="16"/>
                <w:szCs w:val="16"/>
                <w:color w:val="auto"/>
                <w:w w:val="93"/>
              </w:rPr>
              <w:t>Non-accelerated filer</w:t>
            </w:r>
          </w:p>
        </w:tc>
        <w:tc>
          <w:tcPr>
            <w:tcW w:w="206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6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3, 2021, there were 282,916,909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TABLE OF CONTENTS -</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3040" w:type="dxa"/>
            <w:vAlign w:val="bottom"/>
            <w:gridSpan w:val="10"/>
            <w:shd w:val="clear" w:color="auto" w:fill="CCEEFF"/>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I—FINANCIAL INFORMATION</w:t>
              </w:r>
            </w:hyperlink>
          </w:p>
        </w:tc>
        <w:tc>
          <w:tcPr>
            <w:tcW w:w="7980" w:type="dxa"/>
            <w:vAlign w:val="bottom"/>
            <w:gridSpan w:val="3"/>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gridSpan w:val="9"/>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7980" w:type="dxa"/>
            <w:vAlign w:val="bottom"/>
            <w:gridSpan w:val="3"/>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Item 2. Management’s Discussion and Analysis of Financial Condition and Results of Operations</w:t>
              </w:r>
            </w:hyperlink>
          </w:p>
        </w:tc>
        <w:tc>
          <w:tcPr>
            <w:tcW w:w="3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line="202"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Item 3.</w:t>
              </w:r>
            </w:hyperlink>
          </w:p>
        </w:tc>
        <w:tc>
          <w:tcPr>
            <w:tcW w:w="10260" w:type="dxa"/>
            <w:vAlign w:val="bottom"/>
            <w:gridSpan w:val="11"/>
          </w:tcPr>
          <w:p>
            <w:pPr>
              <w:ind w:lef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2" w:lineRule="exact"/>
              <w:rPr>
                <w:rFonts w:ascii="Arial" w:cs="Arial" w:eastAsia="Arial" w:hAnsi="Arial"/>
                <w:sz w:val="18"/>
                <w:szCs w:val="18"/>
                <w:color w:val="0000FF"/>
                <w:w w:val="94"/>
              </w:rPr>
            </w:pPr>
            <w:hyperlink w:anchor="page48">
              <w:r>
                <w:rPr>
                  <w:rFonts w:ascii="Arial" w:cs="Arial" w:eastAsia="Arial" w:hAnsi="Arial"/>
                  <w:sz w:val="18"/>
                  <w:szCs w:val="18"/>
                  <w:color w:val="0000FF"/>
                  <w:w w:val="94"/>
                </w:rPr>
                <w:t>Item 4.</w:t>
              </w:r>
            </w:hyperlink>
          </w:p>
        </w:tc>
        <w:tc>
          <w:tcPr>
            <w:tcW w:w="10260" w:type="dxa"/>
            <w:vAlign w:val="bottom"/>
            <w:gridSpan w:val="11"/>
            <w:shd w:val="clear" w:color="auto" w:fill="CCEEFF"/>
          </w:tcPr>
          <w:p>
            <w:pPr>
              <w:ind w:lef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Controls and Procedures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c>
          <w:tcPr>
            <w:tcW w:w="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1020" w:type="dxa"/>
            <w:vAlign w:val="bottom"/>
            <w:gridSpan w:val="13"/>
          </w:tcPr>
          <w:p>
            <w:pPr>
              <w:spacing w:after="0" w:line="202" w:lineRule="exact"/>
              <w:rPr>
                <w:rFonts w:ascii="Arial" w:cs="Arial" w:eastAsia="Arial" w:hAnsi="Arial"/>
                <w:sz w:val="18"/>
                <w:szCs w:val="18"/>
                <w:b w:val="1"/>
                <w:bCs w:val="1"/>
                <w:color w:val="0000FF"/>
              </w:rPr>
            </w:pPr>
            <w:hyperlink w:anchor="page48">
              <w:r>
                <w:rPr>
                  <w:rFonts w:ascii="Arial" w:cs="Arial" w:eastAsia="Arial" w:hAnsi="Arial"/>
                  <w:sz w:val="18"/>
                  <w:szCs w:val="18"/>
                  <w:b w:val="1"/>
                  <w:bCs w:val="1"/>
                  <w:color w:val="0000FF"/>
                </w:rPr>
                <w:t>Part II—OTHER INFORMATION</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0000FF"/>
            </w:tcBorders>
            <w:shd w:val="clear" w:color="auto" w:fill="CCEEFF"/>
          </w:tcPr>
          <w:p>
            <w:pPr>
              <w:spacing w:after="0" w:line="202" w:lineRule="exact"/>
              <w:rPr>
                <w:rFonts w:ascii="Arial" w:cs="Arial" w:eastAsia="Arial" w:hAnsi="Arial"/>
                <w:sz w:val="18"/>
                <w:szCs w:val="18"/>
                <w:color w:val="0000FF"/>
                <w:w w:val="94"/>
              </w:rPr>
            </w:pPr>
            <w:hyperlink w:anchor="page49">
              <w:r>
                <w:rPr>
                  <w:rFonts w:ascii="Arial" w:cs="Arial" w:eastAsia="Arial" w:hAnsi="Arial"/>
                  <w:sz w:val="18"/>
                  <w:szCs w:val="18"/>
                  <w:color w:val="0000FF"/>
                  <w:w w:val="94"/>
                </w:rPr>
                <w:t>Item 1.</w:t>
              </w:r>
            </w:hyperlink>
          </w:p>
        </w:tc>
        <w:tc>
          <w:tcPr>
            <w:tcW w:w="1400" w:type="dxa"/>
            <w:vAlign w:val="bottom"/>
            <w:tcBorders>
              <w:bottom w:val="single" w:sz="8" w:color="0000FF"/>
            </w:tcBorders>
            <w:gridSpan w:val="4"/>
            <w:shd w:val="clear" w:color="auto" w:fill="CCEEFF"/>
          </w:tcPr>
          <w:p>
            <w:pPr>
              <w:ind w:left="20"/>
              <w:spacing w:after="0" w:line="202" w:lineRule="exact"/>
              <w:rPr>
                <w:rFonts w:ascii="Arial" w:cs="Arial" w:eastAsia="Arial" w:hAnsi="Arial"/>
                <w:sz w:val="18"/>
                <w:szCs w:val="18"/>
                <w:color w:val="0000FF"/>
                <w:w w:val="88"/>
              </w:rPr>
            </w:pPr>
            <w:hyperlink w:anchor="page49">
              <w:r>
                <w:rPr>
                  <w:rFonts w:ascii="Arial" w:cs="Arial" w:eastAsia="Arial" w:hAnsi="Arial"/>
                  <w:sz w:val="18"/>
                  <w:szCs w:val="18"/>
                  <w:color w:val="0000FF"/>
                  <w:w w:val="88"/>
                </w:rPr>
                <w:t>Legal Proceedings.</w:t>
              </w:r>
            </w:hyperlink>
          </w:p>
        </w:tc>
        <w:tc>
          <w:tcPr>
            <w:tcW w:w="886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0" w:type="dxa"/>
            <w:vAlign w:val="bottom"/>
            <w:gridSpan w:val="12"/>
          </w:tcPr>
          <w:p>
            <w:pPr>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Item 1A. Risk Factors.</w:t>
              </w:r>
            </w:hyperlink>
          </w:p>
        </w:tc>
        <w:tc>
          <w:tcPr>
            <w:tcW w:w="180" w:type="dxa"/>
            <w:vAlign w:val="bottom"/>
            <w:gridSpan w:val="2"/>
          </w:tcPr>
          <w:p>
            <w:pPr>
              <w:jc w:val="right"/>
              <w:spacing w:after="0" w:line="202"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c>
          <w:tcPr>
            <w:tcW w:w="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line="202" w:lineRule="exact"/>
              <w:rPr>
                <w:rFonts w:ascii="Arial" w:cs="Arial" w:eastAsia="Arial" w:hAnsi="Arial"/>
                <w:sz w:val="18"/>
                <w:szCs w:val="18"/>
                <w:color w:val="0000FF"/>
                <w:w w:val="94"/>
              </w:rPr>
            </w:pPr>
            <w:hyperlink w:anchor="page50">
              <w:r>
                <w:rPr>
                  <w:rFonts w:ascii="Arial" w:cs="Arial" w:eastAsia="Arial" w:hAnsi="Arial"/>
                  <w:sz w:val="18"/>
                  <w:szCs w:val="18"/>
                  <w:color w:val="0000FF"/>
                  <w:w w:val="94"/>
                </w:rPr>
                <w:t>Item 6.</w:t>
              </w:r>
            </w:hyperlink>
          </w:p>
        </w:tc>
        <w:tc>
          <w:tcPr>
            <w:tcW w:w="10260" w:type="dxa"/>
            <w:vAlign w:val="bottom"/>
            <w:gridSpan w:val="11"/>
            <w:shd w:val="clear" w:color="auto" w:fill="CCEEFF"/>
          </w:tcPr>
          <w:p>
            <w:pPr>
              <w:ind w:lef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180" w:type="dxa"/>
            <w:vAlign w:val="bottom"/>
            <w:gridSpan w:val="2"/>
            <w:shd w:val="clear" w:color="auto" w:fill="CCEEFF"/>
          </w:tcPr>
          <w:p>
            <w:pPr>
              <w:jc w:val="right"/>
              <w:spacing w:after="0" w:line="202"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c>
          <w:tcPr>
            <w:tcW w:w="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0" w:type="dxa"/>
            <w:vAlign w:val="bottom"/>
            <w:tcBorders>
              <w:top w:val="single" w:sz="8" w:color="0000FF"/>
            </w:tcBorders>
            <w:gridSpan w:val="3"/>
          </w:tcPr>
          <w:p>
            <w:pPr>
              <w:spacing w:after="0" w:line="202" w:lineRule="exact"/>
              <w:rPr>
                <w:rFonts w:ascii="Arial" w:cs="Arial" w:eastAsia="Arial" w:hAnsi="Arial"/>
                <w:sz w:val="18"/>
                <w:szCs w:val="18"/>
                <w:b w:val="1"/>
                <w:bCs w:val="1"/>
                <w:color w:val="0000FF"/>
                <w:w w:val="99"/>
              </w:rPr>
            </w:pPr>
            <w:hyperlink w:anchor="page51">
              <w:r>
                <w:rPr>
                  <w:rFonts w:ascii="Arial" w:cs="Arial" w:eastAsia="Arial" w:hAnsi="Arial"/>
                  <w:sz w:val="18"/>
                  <w:szCs w:val="18"/>
                  <w:b w:val="1"/>
                  <w:bCs w:val="1"/>
                  <w:color w:val="0000FF"/>
                  <w:w w:val="99"/>
                </w:rPr>
                <w:t>SIGNATURES</w:t>
              </w:r>
            </w:hyperlink>
          </w:p>
        </w:tc>
        <w:tc>
          <w:tcPr>
            <w:tcW w:w="9600" w:type="dxa"/>
            <w:vAlign w:val="bottom"/>
            <w:tcBorders>
              <w:top w:val="single" w:sz="8" w:color="CCEEFF"/>
            </w:tcBorders>
            <w:gridSpan w:val="9"/>
          </w:tcPr>
          <w:p>
            <w:pPr>
              <w:spacing w:after="0"/>
              <w:rPr>
                <w:sz w:val="17"/>
                <w:szCs w:val="17"/>
                <w:color w:val="auto"/>
              </w:rPr>
            </w:pPr>
          </w:p>
        </w:tc>
        <w:tc>
          <w:tcPr>
            <w:tcW w:w="180" w:type="dxa"/>
            <w:vAlign w:val="bottom"/>
            <w:tcBorders>
              <w:top w:val="single" w:sz="8" w:color="0000FF"/>
            </w:tcBorders>
            <w:gridSpan w:val="2"/>
          </w:tcPr>
          <w:p>
            <w:pPr>
              <w:jc w:val="right"/>
              <w:spacing w:after="0" w:line="202" w:lineRule="exact"/>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c>
          <w:tcPr>
            <w:tcW w:w="20" w:type="dxa"/>
            <w:vAlign w:val="bottom"/>
            <w:tcBorders>
              <w:top w:val="single" w:sz="8" w:color="CCEEFF"/>
            </w:tcBorders>
          </w:tcPr>
          <w:p>
            <w:pPr>
              <w:spacing w:after="0"/>
              <w:rPr>
                <w:sz w:val="17"/>
                <w:szCs w:val="17"/>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 looking statements are often characterized by the use of the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1" w:lineRule="exact"/>
        <w:rPr>
          <w:sz w:val="20"/>
          <w:szCs w:val="20"/>
          <w:color w:val="auto"/>
        </w:rPr>
      </w:pPr>
    </w:p>
    <w:p>
      <w:pPr>
        <w:jc w:val="both"/>
        <w:ind w:left="980" w:right="300" w:hanging="324"/>
        <w:spacing w:after="0" w:line="281" w:lineRule="auto"/>
        <w:tabs>
          <w:tab w:leader="none" w:pos="975"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disruption in the availability of, or increases in the price of, ethylene oxide (“EO”), cobalt-60 (“Co-60”) or our other direct materials, services and supplies, including as a result of current geopolitical instability arising from U.S. relations with Russia and related sanctions;</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environmental, health and safety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accidents resulting from the safety risks associated with the use and disposal of potentially hazardous materials such as EO and Co-60;</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accidents resulting from the safety risks associated with the transportation of potentially hazardous materials such as EO and Co-60;</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 and Co-60;</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intensity of competition we face;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market changes that impact our long-term supply contracts with variable price clauses;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allegations of our failure to properly perform our services and any potential product liability claims, recalls, penalties and reputational harm;</w:t>
      </w:r>
    </w:p>
    <w:p>
      <w:pPr>
        <w:spacing w:after="0" w:line="32" w:lineRule="exact"/>
        <w:rPr>
          <w:rFonts w:ascii="Arial" w:cs="Arial" w:eastAsia="Arial" w:hAnsi="Arial"/>
          <w:sz w:val="16"/>
          <w:szCs w:val="16"/>
          <w:color w:val="auto"/>
        </w:rPr>
      </w:pPr>
    </w:p>
    <w:p>
      <w:pPr>
        <w:ind w:left="980" w:right="3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requirements to which we are subject, and any failures to receive or maintain, or delays in receiving, required clearance or approvals;</w:t>
      </w:r>
    </w:p>
    <w:p>
      <w:pPr>
        <w:ind w:left="980" w:right="6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 including our reliance on the use and sale of products and services from a single location;</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and build new facilities in a timely and cost-effective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renew the long-term leases for our facilities at the end of their terms;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global and regional economic and political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intense competition for qualified employees in the industries in which we operate;</w:t>
      </w:r>
    </w:p>
    <w:p>
      <w:pPr>
        <w:spacing w:after="0" w:line="9" w:lineRule="exact"/>
        <w:rPr>
          <w:rFonts w:ascii="Arial" w:cs="Arial" w:eastAsia="Arial" w:hAnsi="Arial"/>
          <w:sz w:val="18"/>
          <w:szCs w:val="18"/>
          <w:color w:val="auto"/>
        </w:rPr>
      </w:pPr>
    </w:p>
    <w:p>
      <w:pPr>
        <w:ind w:left="980" w:right="7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regulatory oversight to which our import and export operations are subject, and any failure to comply with applicable regulations;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cyber security breaches and data leaks as a result of our dependence on information technology systems;</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pursuing strategic transactions, including acquisitions, and our ability to find suitable acquisition targets or integrate strategic acquisitions successfully into our business;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w:t>
      </w:r>
    </w:p>
    <w:p>
      <w:pPr>
        <w:spacing w:after="0" w:line="9" w:lineRule="exact"/>
        <w:rPr>
          <w:rFonts w:ascii="Arial" w:cs="Arial" w:eastAsia="Arial" w:hAnsi="Arial"/>
          <w:sz w:val="18"/>
          <w:szCs w:val="18"/>
          <w:color w:val="auto"/>
        </w:rPr>
      </w:pPr>
    </w:p>
    <w:p>
      <w:pPr>
        <w:ind w:left="980" w:right="70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ind w:left="980" w:right="62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data privacy and security laws and regulations to which we are subject, and any ineffective compliance efforts with such laws and regulations;</w:t>
      </w: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unionization efforts and labor regulations in certain countries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variety of laws involving the cannabis industry to which we are subject, and any failure to comply with those laws;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government or private civil antitrust actions;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ind w:left="980" w:hanging="324"/>
        <w:spacing w:after="0" w:line="25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leverage could adversely affect our ability to raise additional capital, limit our ability to react to changes in the economy or our industry and prevent us from meeting our obligations under our existing and future indebtedness; and</w:t>
      </w:r>
    </w:p>
    <w:p>
      <w:pPr>
        <w:ind w:left="980" w:right="220" w:hanging="324"/>
        <w:spacing w:after="0" w:line="260"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sufficient cash flows or access sufficient additional capital to meet our debt obligations or to fund our other liquidity needs.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w:t>
      </w:r>
    </w:p>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You should carefully consider the above factors, as well as the factors discussed elsewhere in this Quarterly Report on Form 10-Q, including under Part II, Item 1A, “Risk Factors,” as well as Part I, Item 1A, “Risk Factors” of our Annual Report on Form 10-K for the year ended December 31, 2020 (the “2020 10-K”).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26"/>
        </w:trPr>
        <w:tc>
          <w:tcPr>
            <w:tcW w:w="8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i w:val="1"/>
                <w:iCs w:val="1"/>
                <w:color w:val="auto"/>
                <w:w w:val="92"/>
              </w:rPr>
              <w:t>(Unaudited)</w:t>
            </w: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114,912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102,447</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Restricted cash short-term</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 of allowance for uncollectible accounts of $957 and $708, respectively</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96,094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91,735</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Inventories,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37,496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34,093</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67,707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64,964</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Income taxes receivable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21,089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21,769</w:t>
            </w:r>
          </w:p>
        </w:tc>
        <w:tc>
          <w:tcPr>
            <w:tcW w:w="0" w:type="dxa"/>
            <w:vAlign w:val="bottom"/>
          </w:tcPr>
          <w:p>
            <w:pPr>
              <w:spacing w:after="0"/>
              <w:rPr>
                <w:sz w:val="1"/>
                <w:szCs w:val="1"/>
                <w:color w:val="auto"/>
              </w:rPr>
            </w:pPr>
          </w:p>
        </w:tc>
      </w:tr>
      <w:tr>
        <w:trPr>
          <w:trHeight w:val="26"/>
        </w:trPr>
        <w:tc>
          <w:tcPr>
            <w:tcW w:w="8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337,305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315,015</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624,341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609,814</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42,682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45,963</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8,015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8,424</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in unconsolidated affiliate</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9,396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13,457</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9,211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9,304</w:t>
            </w:r>
          </w:p>
        </w:tc>
        <w:tc>
          <w:tcPr>
            <w:tcW w:w="0" w:type="dxa"/>
            <w:vAlign w:val="bottom"/>
          </w:tcPr>
          <w:p>
            <w:pPr>
              <w:spacing w:after="0"/>
              <w:rPr>
                <w:sz w:val="1"/>
                <w:szCs w:val="1"/>
                <w:color w:val="auto"/>
              </w:rPr>
            </w:pPr>
          </w:p>
        </w:tc>
      </w:tr>
      <w:tr>
        <w:trPr>
          <w:trHeight w:val="26"/>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 assets, net</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608,641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643,366</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1,103,148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1,115,936</w:t>
            </w:r>
          </w:p>
        </w:tc>
        <w:tc>
          <w:tcPr>
            <w:tcW w:w="0" w:type="dxa"/>
            <w:vAlign w:val="bottom"/>
          </w:tcPr>
          <w:p>
            <w:pPr>
              <w:spacing w:after="0"/>
              <w:rPr>
                <w:sz w:val="1"/>
                <w:szCs w:val="1"/>
                <w:color w:val="auto"/>
              </w:rPr>
            </w:pPr>
          </w:p>
        </w:tc>
      </w:tr>
      <w:tr>
        <w:trPr>
          <w:trHeight w:val="26"/>
        </w:trPr>
        <w:tc>
          <w:tcPr>
            <w:tcW w:w="8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2,742,739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2,761,279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51,814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52,400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54,497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60,518</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4,866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6,056</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finance lease obligations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Current portion of operating lease obligations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9,546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9,383</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Current portion of asset retirement obligations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90"/>
        </w:trPr>
        <w:tc>
          <w:tcPr>
            <w:tcW w:w="8280" w:type="dxa"/>
            <w:vAlign w:val="bottom"/>
          </w:tcPr>
          <w:p>
            <w:pPr>
              <w:ind w:left="360"/>
              <w:spacing w:after="0"/>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10,914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10,448</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133,606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140,598</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1,742,578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1,824,789</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Finance lease obligations, less current portion</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38,014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34,939</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Operating lease obligations, less current portion</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35,378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38,941</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45,013</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lease income</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20,871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21,255</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Post-retirement obligations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42,544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48,223</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Mandatorily redeemable noncontrolling interest</w:t>
            </w:r>
          </w:p>
        </w:tc>
        <w:tc>
          <w:tcPr>
            <w:tcW w:w="1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17,506</w:t>
            </w:r>
          </w:p>
        </w:tc>
        <w:tc>
          <w:tcPr>
            <w:tcW w:w="0" w:type="dxa"/>
            <w:vAlign w:val="bottom"/>
          </w:tcPr>
          <w:p>
            <w:pPr>
              <w:spacing w:after="0"/>
              <w:rPr>
                <w:sz w:val="1"/>
                <w:szCs w:val="1"/>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138,562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121,816</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2,216,970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2,306,705</w:t>
            </w:r>
          </w:p>
        </w:tc>
        <w:tc>
          <w:tcPr>
            <w:tcW w:w="0" w:type="dxa"/>
            <w:vAlign w:val="bottom"/>
          </w:tcPr>
          <w:p>
            <w:pPr>
              <w:spacing w:after="0"/>
              <w:rPr>
                <w:sz w:val="1"/>
                <w:szCs w:val="1"/>
                <w:color w:val="auto"/>
              </w:rPr>
            </w:pPr>
          </w:p>
        </w:tc>
      </w:tr>
      <w:tr>
        <w:trPr>
          <w:trHeight w:val="191"/>
        </w:trPr>
        <w:tc>
          <w:tcPr>
            <w:tcW w:w="8280" w:type="dxa"/>
            <w:vAlign w:val="bottom"/>
          </w:tcPr>
          <w:p>
            <w:pPr>
              <w:ind w:left="20"/>
              <w:spacing w:after="0"/>
              <w:rPr>
                <w:sz w:val="20"/>
                <w:szCs w:val="20"/>
                <w:color w:val="auto"/>
              </w:rPr>
            </w:pPr>
            <w:r>
              <w:rPr>
                <w:rFonts w:ascii="Arial" w:cs="Arial" w:eastAsia="Arial" w:hAnsi="Arial"/>
                <w:sz w:val="14"/>
                <w:szCs w:val="14"/>
                <w:color w:val="auto"/>
              </w:rPr>
              <w:t>See Commitments and contingencies note</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280" w:type="dxa"/>
            <w:vAlign w:val="bottom"/>
          </w:tcPr>
          <w:p>
            <w:pPr>
              <w:ind w:left="360"/>
              <w:spacing w:after="0"/>
              <w:rPr>
                <w:sz w:val="20"/>
                <w:szCs w:val="20"/>
                <w:color w:val="auto"/>
              </w:rPr>
            </w:pPr>
            <w:r>
              <w:rPr>
                <w:rFonts w:ascii="Arial" w:cs="Arial" w:eastAsia="Arial" w:hAnsi="Arial"/>
                <w:sz w:val="14"/>
                <w:szCs w:val="14"/>
                <w:color w:val="auto"/>
                <w:w w:val="98"/>
              </w:rPr>
              <w:t>Common stock, with $0.01 par value, 1,200,000 shares authorized; 286,037 shares issued at September 30, 2021 and 285,990 at</w:t>
            </w: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80" w:type="dxa"/>
            <w:vAlign w:val="bottom"/>
          </w:tcPr>
          <w:p>
            <w:pPr>
              <w:ind w:left="520"/>
              <w:spacing w:after="0"/>
              <w:rPr>
                <w:sz w:val="20"/>
                <w:szCs w:val="20"/>
                <w:color w:val="auto"/>
              </w:rPr>
            </w:pPr>
            <w:r>
              <w:rPr>
                <w:rFonts w:ascii="Arial" w:cs="Arial" w:eastAsia="Arial" w:hAnsi="Arial"/>
                <w:sz w:val="14"/>
                <w:szCs w:val="14"/>
                <w:color w:val="auto"/>
              </w:rPr>
              <w:t>December 31, 2020</w:t>
            </w: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8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 with $0.01 par value, 120,000 authorized; no shares issued at September 30, 2021 and</w:t>
            </w:r>
          </w:p>
        </w:tc>
        <w:tc>
          <w:tcPr>
            <w:tcW w:w="10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December 31, 2020, respectively</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Treasury stock, at cost (3,120 and 2,742 shares at September 30, 2021 and December 31, 2020, respectively)</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(34,000)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(34,000)</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Additional paid-in capital</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1,171,104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1,166,412</w:t>
            </w:r>
          </w:p>
        </w:tc>
        <w:tc>
          <w:tcPr>
            <w:tcW w:w="0" w:type="dxa"/>
            <w:vAlign w:val="bottom"/>
          </w:tcPr>
          <w:p>
            <w:pPr>
              <w:spacing w:after="0"/>
              <w:rPr>
                <w:sz w:val="1"/>
                <w:szCs w:val="1"/>
                <w:color w:val="auto"/>
              </w:rPr>
            </w:pPr>
          </w:p>
        </w:tc>
      </w:tr>
      <w:tr>
        <w:trPr>
          <w:trHeight w:val="191"/>
        </w:trPr>
        <w:tc>
          <w:tcPr>
            <w:tcW w:w="8280" w:type="dxa"/>
            <w:vAlign w:val="bottom"/>
          </w:tcPr>
          <w:p>
            <w:pPr>
              <w:ind w:left="360"/>
              <w:spacing w:after="0"/>
              <w:rPr>
                <w:sz w:val="20"/>
                <w:szCs w:val="20"/>
                <w:color w:val="auto"/>
              </w:rPr>
            </w:pPr>
            <w:r>
              <w:rPr>
                <w:rFonts w:ascii="Arial" w:cs="Arial" w:eastAsia="Arial" w:hAnsi="Arial"/>
                <w:sz w:val="14"/>
                <w:szCs w:val="14"/>
                <w:color w:val="auto"/>
              </w:rPr>
              <w:t>Retained deficit</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(508,243)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(589,128)</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(105,952)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(93,842)</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 attributable to Sotera Health Company</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525,769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452,302</w:t>
            </w:r>
          </w:p>
        </w:tc>
        <w:tc>
          <w:tcPr>
            <w:tcW w:w="0" w:type="dxa"/>
            <w:vAlign w:val="bottom"/>
          </w:tcPr>
          <w:p>
            <w:pPr>
              <w:spacing w:after="0"/>
              <w:rPr>
                <w:sz w:val="1"/>
                <w:szCs w:val="1"/>
                <w:color w:val="auto"/>
              </w:rPr>
            </w:pPr>
          </w:p>
        </w:tc>
      </w:tr>
      <w:tr>
        <w:trPr>
          <w:trHeight w:val="25"/>
        </w:trPr>
        <w:tc>
          <w:tcPr>
            <w:tcW w:w="8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Total equity</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525,769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454,574</w:t>
            </w:r>
          </w:p>
        </w:tc>
        <w:tc>
          <w:tcPr>
            <w:tcW w:w="0" w:type="dxa"/>
            <w:vAlign w:val="bottom"/>
          </w:tcPr>
          <w:p>
            <w:pPr>
              <w:spacing w:after="0"/>
              <w:rPr>
                <w:sz w:val="1"/>
                <w:szCs w:val="1"/>
                <w:color w:val="auto"/>
              </w:rPr>
            </w:pPr>
          </w:p>
        </w:tc>
      </w:tr>
      <w:tr>
        <w:trPr>
          <w:trHeight w:val="25"/>
        </w:trPr>
        <w:tc>
          <w:tcPr>
            <w:tcW w:w="8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2,742,739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2,761,279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ectPr>
          <w:pgSz w:w="11900" w:h="16838" w:orient="portrait"/>
          <w:cols w:equalWidth="0" w:num="1">
            <w:col w:w="11240"/>
          </w:cols>
          <w:pgMar w:left="320" w:top="161" w:right="339" w:bottom="973"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973"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200,499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182,176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597,907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524,025</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25,665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17,852</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92,322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77,288</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net revenues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226,164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200,028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690,229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601,313</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Service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88,349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83,697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264,776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247,386</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Product</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12,229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8,820</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40,734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30,932</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cost of revenues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100,578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92,517</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305,510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278,318</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125,586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107,511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384,719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322,995</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44,038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146,331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125,369</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15,877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48,081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43,989</w:t>
            </w: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59,915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60,481</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194,412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169,358</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65,671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47,030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190,307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153,637</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18,140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58,585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167,142</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Loss on extinguishment of debt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6,365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20,677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loss (gain)</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(7,347)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(4,353)</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116,982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13,659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35,858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(9,677)</w:t>
            </w:r>
          </w:p>
        </w:tc>
        <w:tc>
          <w:tcPr>
            <w:tcW w:w="0" w:type="dxa"/>
            <w:vAlign w:val="bottom"/>
          </w:tcPr>
          <w:p>
            <w:pPr>
              <w:spacing w:after="0"/>
              <w:rPr>
                <w:sz w:val="1"/>
                <w:szCs w:val="1"/>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5,895</w:t>
            </w:r>
          </w:p>
        </w:tc>
        <w:tc>
          <w:tcPr>
            <w:tcW w:w="0" w:type="dxa"/>
            <w:vAlign w:val="bottom"/>
          </w:tcPr>
          <w:p>
            <w:pPr>
              <w:spacing w:after="0"/>
              <w:rPr>
                <w:sz w:val="1"/>
                <w:szCs w:val="1"/>
                <w:color w:val="auto"/>
              </w:rPr>
            </w:pPr>
          </w:p>
        </w:tc>
      </w:tr>
      <w:tr>
        <w:trPr>
          <w:trHeight w:val="236"/>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Less: Net income attributable to noncontrolling interests</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Sotera Health Company</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27,444</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80,885</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5,063</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 net of tax:</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8"/>
              </w:rPr>
              <w:t>Pension and post-retirement benefits (net of taxes of $466, $(182), $240, and $236,</w:t>
            </w: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respectively)</w:t>
            </w: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33"/>
        </w:trPr>
        <w:tc>
          <w:tcPr>
            <w:tcW w:w="6280" w:type="dxa"/>
            <w:vAlign w:val="bottom"/>
          </w:tcPr>
          <w:p>
            <w:pPr>
              <w:ind w:left="440"/>
              <w:spacing w:after="0"/>
              <w:rPr>
                <w:sz w:val="20"/>
                <w:szCs w:val="20"/>
                <w:color w:val="auto"/>
              </w:rPr>
            </w:pPr>
            <w:r>
              <w:rPr>
                <w:rFonts w:ascii="Arial" w:cs="Arial" w:eastAsia="Arial" w:hAnsi="Arial"/>
                <w:sz w:val="16"/>
                <w:szCs w:val="16"/>
                <w:color w:val="auto"/>
              </w:rPr>
              <w:t>Interest rate swaps (net of taxes of $0, $661, $0 and $(63), respectively)</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Foreign currency translation</w:t>
            </w: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(29,867)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17,223</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(12,528)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(31,304)</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19,147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69,309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(24,888)</w:t>
            </w:r>
          </w:p>
        </w:tc>
        <w:tc>
          <w:tcPr>
            <w:tcW w:w="0" w:type="dxa"/>
            <w:vAlign w:val="bottom"/>
          </w:tcPr>
          <w:p>
            <w:pPr>
              <w:spacing w:after="0"/>
              <w:rPr>
                <w:sz w:val="1"/>
                <w:szCs w:val="1"/>
                <w:color w:val="auto"/>
              </w:rPr>
            </w:pPr>
          </w:p>
        </w:tc>
      </w:tr>
      <w:tr>
        <w:trPr>
          <w:trHeight w:val="24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Sotera Health Company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18,527</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68,775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(25,720)</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280" w:type="dxa"/>
            <w:vAlign w:val="bottom"/>
          </w:tcPr>
          <w:p>
            <w:pPr>
              <w:ind w:left="46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0.10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0.29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 outstanding:</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279,381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279,097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232,400</w:t>
            </w:r>
          </w:p>
        </w:tc>
        <w:tc>
          <w:tcPr>
            <w:tcW w:w="0" w:type="dxa"/>
            <w:vAlign w:val="bottom"/>
          </w:tcPr>
          <w:p>
            <w:pPr>
              <w:spacing w:after="0"/>
              <w:rPr>
                <w:sz w:val="1"/>
                <w:szCs w:val="1"/>
                <w:color w:val="auto"/>
              </w:rPr>
            </w:pPr>
          </w:p>
        </w:tc>
      </w:tr>
      <w:tr>
        <w:trPr>
          <w:trHeight w:val="223"/>
        </w:trPr>
        <w:tc>
          <w:tcPr>
            <w:tcW w:w="6280" w:type="dxa"/>
            <w:vAlign w:val="bottom"/>
          </w:tcPr>
          <w:p>
            <w:pPr>
              <w:ind w:left="46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279,560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232,400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279,253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232,400</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81,124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47,457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47,334</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65,299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59,824</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20,677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8,131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10,489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4,019</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Accretion of asset retirement obligations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Unrealized foreign exchange losses / (gains)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(10,006)</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(gain) / loss on embedded derivative instruments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4,789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8,828</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(6,174)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(5,096)</w:t>
            </w:r>
          </w:p>
        </w:tc>
        <w:tc>
          <w:tcPr>
            <w:tcW w:w="0" w:type="dxa"/>
            <w:vAlign w:val="bottom"/>
          </w:tcPr>
          <w:p>
            <w:pPr>
              <w:spacing w:after="0"/>
              <w:rPr>
                <w:sz w:val="1"/>
                <w:szCs w:val="1"/>
                <w:color w:val="auto"/>
              </w:rPr>
            </w:pPr>
          </w:p>
        </w:tc>
      </w:tr>
      <w:tr>
        <w:trPr>
          <w:trHeight w:val="190"/>
        </w:trPr>
        <w:tc>
          <w:tcPr>
            <w:tcW w:w="8260" w:type="dxa"/>
            <w:vAlign w:val="bottom"/>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Accounts receivable</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(4,901)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4,533</w:t>
            </w:r>
          </w:p>
        </w:tc>
        <w:tc>
          <w:tcPr>
            <w:tcW w:w="0" w:type="dxa"/>
            <w:vAlign w:val="bottom"/>
          </w:tcPr>
          <w:p>
            <w:pPr>
              <w:spacing w:after="0"/>
              <w:rPr>
                <w:sz w:val="1"/>
                <w:szCs w:val="1"/>
                <w:color w:val="auto"/>
              </w:rPr>
            </w:pPr>
          </w:p>
        </w:tc>
      </w:tr>
      <w:tr>
        <w:trPr>
          <w:trHeight w:val="191"/>
        </w:trPr>
        <w:tc>
          <w:tcPr>
            <w:tcW w:w="8260" w:type="dxa"/>
            <w:vAlign w:val="bottom"/>
          </w:tcPr>
          <w:p>
            <w:pPr>
              <w:ind w:left="6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(3,429)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7,175</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191"/>
        </w:trPr>
        <w:tc>
          <w:tcPr>
            <w:tcW w:w="826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(7,848)</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(7,985)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3,030</w:t>
            </w:r>
          </w:p>
        </w:tc>
        <w:tc>
          <w:tcPr>
            <w:tcW w:w="0" w:type="dxa"/>
            <w:vAlign w:val="bottom"/>
          </w:tcPr>
          <w:p>
            <w:pPr>
              <w:spacing w:after="0"/>
              <w:rPr>
                <w:sz w:val="1"/>
                <w:szCs w:val="1"/>
                <w:color w:val="auto"/>
              </w:rPr>
            </w:pPr>
          </w:p>
        </w:tc>
      </w:tr>
      <w:tr>
        <w:trPr>
          <w:trHeight w:val="190"/>
        </w:trPr>
        <w:tc>
          <w:tcPr>
            <w:tcW w:w="8260" w:type="dxa"/>
            <w:vAlign w:val="bottom"/>
          </w:tcPr>
          <w:p>
            <w:pPr>
              <w:ind w:left="680"/>
              <w:spacing w:after="0"/>
              <w:rPr>
                <w:sz w:val="20"/>
                <w:szCs w:val="20"/>
                <w:color w:val="auto"/>
              </w:rPr>
            </w:pPr>
            <w:r>
              <w:rPr>
                <w:rFonts w:ascii="Arial" w:cs="Arial" w:eastAsia="Arial" w:hAnsi="Arial"/>
                <w:sz w:val="14"/>
                <w:szCs w:val="14"/>
                <w:color w:val="auto"/>
              </w:rPr>
              <w:t>Income taxes payable / receivable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(3,620)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(20,057)</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90"/>
        </w:trPr>
        <w:tc>
          <w:tcPr>
            <w:tcW w:w="8260" w:type="dxa"/>
            <w:vAlign w:val="bottom"/>
          </w:tcPr>
          <w:p>
            <w:pPr>
              <w:ind w:left="680"/>
              <w:spacing w:after="0"/>
              <w:rPr>
                <w:sz w:val="20"/>
                <w:szCs w:val="20"/>
                <w:color w:val="auto"/>
              </w:rPr>
            </w:pPr>
            <w:r>
              <w:rPr>
                <w:rFonts w:ascii="Arial" w:cs="Arial" w:eastAsia="Arial" w:hAnsi="Arial"/>
                <w:sz w:val="14"/>
                <w:szCs w:val="14"/>
                <w:color w:val="auto"/>
              </w:rPr>
              <w:t>Other long-term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215,194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98,740</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(60,898)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(33,640)</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Purchase of mandatorily redeemable noncontrolling interest in Nelson Laboratories Fairfield, Inc.</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(12,425)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BioScience Laboratories, LLC, net of cash acquired</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(13,530)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Purchase of Iotron Industries Canada, Inc., net of cash acquired</w:t>
            </w:r>
          </w:p>
        </w:tc>
        <w:tc>
          <w:tcPr>
            <w:tcW w:w="2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(106,280)</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(87,570)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(139,920)</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260" w:type="dxa"/>
            <w:vAlign w:val="bottom"/>
          </w:tcPr>
          <w:p>
            <w:pPr>
              <w:ind w:left="2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 in China subsidiaries</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(8,418)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Payments of debt issuance costs and prepayment premium</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(6,718)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(3,898)</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Payments on debt</w:t>
            </w: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(100,000)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(61,025)</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(115,504)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83,961</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 including restricted cash</w:t>
            </w:r>
          </w:p>
        </w:tc>
        <w:tc>
          <w:tcPr>
            <w:tcW w:w="2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12,465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45,420</w:t>
            </w:r>
          </w:p>
        </w:tc>
        <w:tc>
          <w:tcPr>
            <w:tcW w:w="0" w:type="dxa"/>
            <w:vAlign w:val="bottom"/>
          </w:tcPr>
          <w:p>
            <w:pPr>
              <w:spacing w:after="0"/>
              <w:rPr>
                <w:sz w:val="1"/>
                <w:szCs w:val="1"/>
                <w:color w:val="auto"/>
              </w:rPr>
            </w:pPr>
          </w:p>
        </w:tc>
      </w:tr>
      <w:tr>
        <w:trPr>
          <w:trHeight w:val="190"/>
        </w:trPr>
        <w:tc>
          <w:tcPr>
            <w:tcW w:w="8260" w:type="dxa"/>
            <w:vAlign w:val="bottom"/>
          </w:tcPr>
          <w:p>
            <w:pPr>
              <w:ind w:left="2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102,454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63,025</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including restricted cash, at end of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114,919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108,445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2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Cash paid during the period for interest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53,726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163,965</w:t>
            </w:r>
          </w:p>
        </w:tc>
        <w:tc>
          <w:tcPr>
            <w:tcW w:w="0" w:type="dxa"/>
            <w:vAlign w:val="bottom"/>
          </w:tcPr>
          <w:p>
            <w:pPr>
              <w:spacing w:after="0"/>
              <w:rPr>
                <w:sz w:val="1"/>
                <w:szCs w:val="1"/>
                <w:color w:val="auto"/>
              </w:rPr>
            </w:pPr>
          </w:p>
        </w:tc>
      </w:tr>
      <w:tr>
        <w:trPr>
          <w:trHeight w:val="191"/>
        </w:trPr>
        <w:tc>
          <w:tcPr>
            <w:tcW w:w="8260" w:type="dxa"/>
            <w:vAlign w:val="bottom"/>
          </w:tcPr>
          <w:p>
            <w:pPr>
              <w:ind w:left="360"/>
              <w:spacing w:after="0"/>
              <w:rPr>
                <w:sz w:val="20"/>
                <w:szCs w:val="20"/>
                <w:color w:val="auto"/>
              </w:rPr>
            </w:pPr>
            <w:r>
              <w:rPr>
                <w:rFonts w:ascii="Arial" w:cs="Arial" w:eastAsia="Arial" w:hAnsi="Arial"/>
                <w:sz w:val="14"/>
                <w:szCs w:val="14"/>
                <w:color w:val="auto"/>
              </w:rPr>
              <w:t>Cash paid during the period for income taxes, net of tax refunds received</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31,922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9,650</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8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Equipment purchases included in accounts payable</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8,494</w:t>
            </w:r>
          </w:p>
        </w:tc>
        <w:tc>
          <w:tcPr>
            <w:tcW w:w="0" w:type="dxa"/>
            <w:vAlign w:val="bottom"/>
          </w:tcPr>
          <w:p>
            <w:pPr>
              <w:spacing w:after="0"/>
              <w:rPr>
                <w:sz w:val="1"/>
                <w:szCs w:val="1"/>
                <w:color w:val="auto"/>
              </w:rPr>
            </w:pPr>
          </w:p>
        </w:tc>
      </w:tr>
      <w:tr>
        <w:trPr>
          <w:trHeight w:val="25"/>
        </w:trPr>
        <w:tc>
          <w:tcPr>
            <w:tcW w:w="8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60" w:type="dxa"/>
            <w:vAlign w:val="bottom"/>
            <w:gridSpan w:val="11"/>
          </w:tcPr>
          <w:p>
            <w:pPr>
              <w:ind w:left="680"/>
              <w:spacing w:after="0"/>
              <w:rPr>
                <w:sz w:val="20"/>
                <w:szCs w:val="20"/>
                <w:color w:val="auto"/>
              </w:rPr>
            </w:pPr>
            <w:r>
              <w:rPr>
                <w:rFonts w:ascii="Arial" w:cs="Arial" w:eastAsia="Arial" w:hAnsi="Arial"/>
                <w:sz w:val="14"/>
                <w:szCs w:val="14"/>
                <w:b w:val="1"/>
                <w:bCs w:val="1"/>
                <w:color w:val="auto"/>
              </w:rPr>
              <w:t>Three Months Ended September 30, 2021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212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Retained</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7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Earnings /</w:t>
            </w:r>
          </w:p>
        </w:tc>
        <w:tc>
          <w:tcPr>
            <w:tcW w:w="160" w:type="dxa"/>
            <w:vAlign w:val="bottom"/>
          </w:tcPr>
          <w:p>
            <w:pPr>
              <w:spacing w:after="0"/>
              <w:rPr>
                <w:sz w:val="5"/>
                <w:szCs w:val="5"/>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5"/>
                <w:szCs w:val="5"/>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5"/>
                <w:szCs w:val="5"/>
                <w:color w:val="auto"/>
              </w:rPr>
            </w:pPr>
          </w:p>
        </w:tc>
        <w:tc>
          <w:tcPr>
            <w:tcW w:w="760" w:type="dxa"/>
            <w:vAlign w:val="bottom"/>
            <w:vMerge w:val="restart"/>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7"/>
        </w:trPr>
        <w:tc>
          <w:tcPr>
            <w:tcW w:w="2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(Accumulated</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2"/>
                <w:szCs w:val="12"/>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282,917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5"/>
              </w:rPr>
              <w:t>(34,000)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1,167,566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(535,687)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(77,468)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523,271</w:t>
            </w:r>
          </w:p>
        </w:tc>
        <w:tc>
          <w:tcPr>
            <w:tcW w:w="0" w:type="dxa"/>
            <w:vAlign w:val="bottom"/>
          </w:tcPr>
          <w:p>
            <w:pPr>
              <w:spacing w:after="0"/>
              <w:rPr>
                <w:sz w:val="1"/>
                <w:szCs w:val="1"/>
                <w:color w:val="auto"/>
              </w:rPr>
            </w:pPr>
          </w:p>
        </w:tc>
      </w:tr>
      <w:tr>
        <w:trPr>
          <w:trHeight w:val="190"/>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3,538</w:t>
            </w: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1,383</w:t>
            </w: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(29,867)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(29,867)</w:t>
            </w:r>
          </w:p>
        </w:tc>
        <w:tc>
          <w:tcPr>
            <w:tcW w:w="0" w:type="dxa"/>
            <w:vAlign w:val="bottom"/>
          </w:tcPr>
          <w:p>
            <w:pPr>
              <w:spacing w:after="0"/>
              <w:rPr>
                <w:sz w:val="1"/>
                <w:szCs w:val="1"/>
                <w:color w:val="auto"/>
              </w:rPr>
            </w:pPr>
          </w:p>
        </w:tc>
      </w:tr>
      <w:tr>
        <w:trPr>
          <w:trHeight w:val="190"/>
        </w:trPr>
        <w:tc>
          <w:tcPr>
            <w:tcW w:w="2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27,444</w:t>
            </w:r>
          </w:p>
        </w:tc>
        <w:tc>
          <w:tcPr>
            <w:tcW w:w="0" w:type="dxa"/>
            <w:vAlign w:val="bottom"/>
          </w:tcPr>
          <w:p>
            <w:pPr>
              <w:spacing w:after="0"/>
              <w:rPr>
                <w:sz w:val="1"/>
                <w:szCs w:val="1"/>
                <w:color w:val="auto"/>
              </w:rPr>
            </w:pPr>
          </w:p>
        </w:tc>
      </w:tr>
      <w:tr>
        <w:trPr>
          <w:trHeight w:val="26"/>
        </w:trPr>
        <w:tc>
          <w:tcPr>
            <w:tcW w:w="2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282,917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5"/>
              </w:rPr>
              <w:t>(34,000)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1,171,104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(508,243)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(105,952)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525,769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9"/>
          </w:tcPr>
          <w:p>
            <w:pPr>
              <w:ind w:left="720"/>
              <w:spacing w:after="0"/>
              <w:rPr>
                <w:sz w:val="20"/>
                <w:szCs w:val="20"/>
                <w:color w:val="auto"/>
              </w:rPr>
            </w:pPr>
            <w:r>
              <w:rPr>
                <w:rFonts w:ascii="Arial" w:cs="Arial" w:eastAsia="Arial" w:hAnsi="Arial"/>
                <w:sz w:val="14"/>
                <w:szCs w:val="14"/>
                <w:b w:val="1"/>
                <w:bCs w:val="1"/>
                <w:color w:val="auto"/>
                <w:w w:val="92"/>
              </w:rPr>
              <w:t>Nine Months Ended September 30, 2021</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720" w:type="dxa"/>
            <w:vAlign w:val="bottom"/>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720" w:type="dxa"/>
            <w:vAlign w:val="bottom"/>
          </w:tcPr>
          <w:p>
            <w:pPr>
              <w:spacing w:after="0"/>
              <w:rPr>
                <w:sz w:val="21"/>
                <w:szCs w:val="21"/>
                <w:color w:val="auto"/>
              </w:rPr>
            </w:pPr>
          </w:p>
        </w:tc>
        <w:tc>
          <w:tcPr>
            <w:tcW w:w="2120" w:type="dxa"/>
            <w:vAlign w:val="bottom"/>
            <w:gridSpan w:val="5"/>
          </w:tcPr>
          <w:p>
            <w:pPr>
              <w:ind w:left="660"/>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21"/>
                <w:szCs w:val="2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Retained</w:t>
            </w: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7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Treasury</w:t>
            </w:r>
          </w:p>
        </w:tc>
        <w:tc>
          <w:tcPr>
            <w:tcW w:w="1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0"/>
              </w:rPr>
              <w:t>Earnings /</w:t>
            </w:r>
          </w:p>
        </w:tc>
        <w:tc>
          <w:tcPr>
            <w:tcW w:w="160" w:type="dxa"/>
            <w:vAlign w:val="bottom"/>
          </w:tcPr>
          <w:p>
            <w:pPr>
              <w:spacing w:after="0"/>
              <w:rPr>
                <w:sz w:val="6"/>
                <w:szCs w:val="6"/>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6"/>
                <w:szCs w:val="6"/>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6"/>
              </w:rPr>
              <w:t>Noncontrolling</w:t>
            </w:r>
          </w:p>
        </w:tc>
        <w:tc>
          <w:tcPr>
            <w:tcW w:w="220" w:type="dxa"/>
            <w:vAlign w:val="bottom"/>
          </w:tcPr>
          <w:p>
            <w:pPr>
              <w:spacing w:after="0"/>
              <w:rPr>
                <w:sz w:val="6"/>
                <w:szCs w:val="6"/>
                <w:color w:val="auto"/>
              </w:rPr>
            </w:pPr>
          </w:p>
        </w:tc>
        <w:tc>
          <w:tcPr>
            <w:tcW w:w="760" w:type="dxa"/>
            <w:vAlign w:val="bottom"/>
            <w:vMerge w:val="restart"/>
          </w:tcPr>
          <w:p>
            <w:pPr>
              <w:jc w:val="center"/>
              <w:ind w:right="13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34"/>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720" w:type="dxa"/>
            <w:vAlign w:val="bottom"/>
          </w:tcPr>
          <w:p>
            <w:pPr>
              <w:spacing w:after="0"/>
              <w:rPr>
                <w:sz w:val="10"/>
                <w:szCs w:val="10"/>
                <w:color w:val="auto"/>
              </w:rPr>
            </w:pPr>
          </w:p>
        </w:tc>
        <w:tc>
          <w:tcPr>
            <w:tcW w:w="10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(Accumulated</w:t>
            </w:r>
          </w:p>
        </w:tc>
        <w:tc>
          <w:tcPr>
            <w:tcW w:w="16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7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8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(Loss) Income</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220" w:type="dxa"/>
            <w:vAlign w:val="bottom"/>
          </w:tcPr>
          <w:p>
            <w:pPr>
              <w:spacing w:after="0"/>
              <w:rPr>
                <w:sz w:val="13"/>
                <w:szCs w:val="13"/>
                <w:color w:val="auto"/>
              </w:rPr>
            </w:pPr>
          </w:p>
        </w:tc>
        <w:tc>
          <w:tcPr>
            <w:tcW w:w="760" w:type="dxa"/>
            <w:vAlign w:val="bottom"/>
          </w:tcPr>
          <w:p>
            <w:pPr>
              <w:jc w:val="center"/>
              <w:ind w:right="13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2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283,248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w w:val="95"/>
              </w:rPr>
              <w:t>(34,000)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1,166,412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(589,128)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(93,842)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454,574</w:t>
            </w:r>
          </w:p>
        </w:tc>
        <w:tc>
          <w:tcPr>
            <w:tcW w:w="0" w:type="dxa"/>
            <w:vAlign w:val="bottom"/>
          </w:tcPr>
          <w:p>
            <w:pPr>
              <w:spacing w:after="0"/>
              <w:rPr>
                <w:sz w:val="1"/>
                <w:szCs w:val="1"/>
                <w:color w:val="auto"/>
              </w:rPr>
            </w:pPr>
          </w:p>
        </w:tc>
      </w:tr>
      <w:tr>
        <w:trPr>
          <w:trHeight w:val="191"/>
        </w:trPr>
        <w:tc>
          <w:tcPr>
            <w:tcW w:w="2720" w:type="dxa"/>
            <w:vAlign w:val="bottom"/>
          </w:tcPr>
          <w:p>
            <w:pPr>
              <w:ind w:left="20"/>
              <w:spacing w:after="0"/>
              <w:rPr>
                <w:sz w:val="20"/>
                <w:szCs w:val="20"/>
                <w:color w:val="auto"/>
              </w:rPr>
            </w:pPr>
            <w:r>
              <w:rPr>
                <w:rFonts w:ascii="Arial" w:cs="Arial" w:eastAsia="Arial" w:hAnsi="Arial"/>
                <w:sz w:val="14"/>
                <w:szCs w:val="14"/>
                <w:color w:val="auto"/>
              </w:rPr>
              <w:t>Acquisition of noncontrolling interests</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(8,578)</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1,080</w:t>
            </w:r>
          </w:p>
        </w:tc>
        <w:tc>
          <w:tcPr>
            <w:tcW w:w="0" w:type="dxa"/>
            <w:vAlign w:val="bottom"/>
          </w:tcPr>
          <w:p>
            <w:pPr>
              <w:spacing w:after="0"/>
              <w:rPr>
                <w:sz w:val="1"/>
                <w:szCs w:val="1"/>
                <w:color w:val="auto"/>
              </w:rPr>
            </w:pPr>
          </w:p>
        </w:tc>
      </w:tr>
      <w:tr>
        <w:trPr>
          <w:trHeight w:val="191"/>
        </w:trPr>
        <w:tc>
          <w:tcPr>
            <w:tcW w:w="272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980" w:type="dxa"/>
            <w:vAlign w:val="bottom"/>
          </w:tcPr>
          <w:p>
            <w:pPr>
              <w:jc w:val="right"/>
              <w:spacing w:after="0"/>
              <w:rPr>
                <w:sz w:val="20"/>
                <w:szCs w:val="20"/>
                <w:color w:val="auto"/>
              </w:rPr>
            </w:pPr>
            <w:r>
              <w:rPr>
                <w:rFonts w:ascii="Arial" w:cs="Arial" w:eastAsia="Arial" w:hAnsi="Arial"/>
                <w:sz w:val="14"/>
                <w:szCs w:val="14"/>
                <w:color w:val="auto"/>
              </w:rPr>
              <w:t>(378)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9,384</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2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713</w:t>
            </w: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(12,528)</w:t>
            </w:r>
          </w:p>
        </w:tc>
        <w:tc>
          <w:tcPr>
            <w:tcW w:w="0" w:type="dxa"/>
            <w:vAlign w:val="bottom"/>
          </w:tcPr>
          <w:p>
            <w:pPr>
              <w:spacing w:after="0"/>
              <w:rPr>
                <w:sz w:val="1"/>
                <w:szCs w:val="1"/>
                <w:color w:val="auto"/>
              </w:rPr>
            </w:pPr>
          </w:p>
        </w:tc>
      </w:tr>
      <w:tr>
        <w:trPr>
          <w:trHeight w:val="190"/>
        </w:trPr>
        <w:tc>
          <w:tcPr>
            <w:tcW w:w="2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80,885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81,124</w:t>
            </w:r>
          </w:p>
        </w:tc>
        <w:tc>
          <w:tcPr>
            <w:tcW w:w="0" w:type="dxa"/>
            <w:vAlign w:val="bottom"/>
          </w:tcPr>
          <w:p>
            <w:pPr>
              <w:spacing w:after="0"/>
              <w:rPr>
                <w:sz w:val="1"/>
                <w:szCs w:val="1"/>
                <w:color w:val="auto"/>
              </w:rPr>
            </w:pPr>
          </w:p>
        </w:tc>
      </w:tr>
      <w:tr>
        <w:trPr>
          <w:trHeight w:val="25"/>
        </w:trPr>
        <w:tc>
          <w:tcPr>
            <w:tcW w:w="2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282,917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w w:val="95"/>
              </w:rPr>
              <w:t>(34,000)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1,171,104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(508,243)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(105,952)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525,769</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Sotera Health Company</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Equity (Deficit)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8"/>
          </w:tcPr>
          <w:p>
            <w:pPr>
              <w:ind w:left="600"/>
              <w:spacing w:after="0"/>
              <w:rPr>
                <w:sz w:val="20"/>
                <w:szCs w:val="20"/>
                <w:color w:val="auto"/>
              </w:rPr>
            </w:pPr>
            <w:r>
              <w:rPr>
                <w:rFonts w:ascii="Arial" w:cs="Arial" w:eastAsia="Arial" w:hAnsi="Arial"/>
                <w:sz w:val="14"/>
                <w:szCs w:val="14"/>
                <w:b w:val="1"/>
                <w:bCs w:val="1"/>
                <w:color w:val="auto"/>
              </w:rPr>
              <w:t>Three Months Ended September 30, 2020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780" w:type="dxa"/>
            <w:vAlign w:val="bottom"/>
          </w:tcPr>
          <w:p>
            <w:pPr>
              <w:spacing w:after="0"/>
              <w:rPr>
                <w:sz w:val="19"/>
                <w:szCs w:val="19"/>
                <w:color w:val="auto"/>
              </w:rPr>
            </w:pPr>
          </w:p>
        </w:tc>
        <w:tc>
          <w:tcPr>
            <w:tcW w:w="2140" w:type="dxa"/>
            <w:vAlign w:val="bottom"/>
            <w:gridSpan w:val="5"/>
            <w:vMerge w:val="restart"/>
          </w:tcPr>
          <w:p>
            <w:pPr>
              <w:ind w:left="68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Retained</w:t>
            </w:r>
          </w:p>
        </w:tc>
        <w:tc>
          <w:tcPr>
            <w:tcW w:w="16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78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9"/>
                <w:szCs w:val="9"/>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0"/>
              </w:rPr>
              <w:t>Earnings /</w:t>
            </w:r>
          </w:p>
        </w:tc>
        <w:tc>
          <w:tcPr>
            <w:tcW w:w="160" w:type="dxa"/>
            <w:vAlign w:val="bottom"/>
          </w:tcPr>
          <w:p>
            <w:pPr>
              <w:spacing w:after="0"/>
              <w:rPr>
                <w:sz w:val="9"/>
                <w:szCs w:val="9"/>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9"/>
                <w:szCs w:val="9"/>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Noncontrolling</w:t>
            </w:r>
          </w:p>
        </w:tc>
        <w:tc>
          <w:tcPr>
            <w:tcW w:w="160" w:type="dxa"/>
            <w:vAlign w:val="bottom"/>
          </w:tcPr>
          <w:p>
            <w:pPr>
              <w:spacing w:after="0"/>
              <w:rPr>
                <w:sz w:val="9"/>
                <w:szCs w:val="9"/>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7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2"/>
            <w:vMerge w:val="restart"/>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Paid-In</w:t>
            </w:r>
          </w:p>
        </w:tc>
        <w:tc>
          <w:tcPr>
            <w:tcW w:w="180" w:type="dxa"/>
            <w:vAlign w:val="bottom"/>
          </w:tcPr>
          <w:p>
            <w:pPr>
              <w:spacing w:after="0"/>
              <w:rPr>
                <w:sz w:val="3"/>
                <w:szCs w:val="3"/>
                <w:color w:val="auto"/>
              </w:rPr>
            </w:pPr>
          </w:p>
        </w:tc>
        <w:tc>
          <w:tcPr>
            <w:tcW w:w="1100" w:type="dxa"/>
            <w:vAlign w:val="bottom"/>
            <w:gridSpan w:val="2"/>
            <w:vMerge w:val="restart"/>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(Accumulated</w:t>
            </w:r>
          </w:p>
        </w:tc>
        <w:tc>
          <w:tcPr>
            <w:tcW w:w="160" w:type="dxa"/>
            <w:vAlign w:val="bottom"/>
          </w:tcPr>
          <w:p>
            <w:pPr>
              <w:spacing w:after="0"/>
              <w:rPr>
                <w:sz w:val="3"/>
                <w:szCs w:val="3"/>
                <w:color w:val="auto"/>
              </w:rPr>
            </w:pPr>
          </w:p>
        </w:tc>
        <w:tc>
          <w:tcPr>
            <w:tcW w:w="1120" w:type="dxa"/>
            <w:vAlign w:val="bottom"/>
            <w:gridSpan w:val="2"/>
            <w:vMerge w:val="restart"/>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5"/>
                <w:szCs w:val="5"/>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(Loss) Income</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2"/>
                <w:szCs w:val="12"/>
                <w:color w:val="auto"/>
              </w:rPr>
            </w:pPr>
          </w:p>
        </w:tc>
        <w:tc>
          <w:tcPr>
            <w:tcW w:w="1020" w:type="dxa"/>
            <w:vAlign w:val="bottom"/>
          </w:tcPr>
          <w:p>
            <w:pPr>
              <w:jc w:val="right"/>
              <w:ind w:right="172"/>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232,400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6"/>
              </w:rPr>
              <w:t>(545,458)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(143,688)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(682,050)</w:t>
            </w: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17,223</w:t>
            </w:r>
          </w:p>
        </w:tc>
        <w:tc>
          <w:tcPr>
            <w:tcW w:w="0" w:type="dxa"/>
            <w:vAlign w:val="bottom"/>
          </w:tcPr>
          <w:p>
            <w:pPr>
              <w:spacing w:after="0"/>
              <w:rPr>
                <w:sz w:val="1"/>
                <w:szCs w:val="1"/>
                <w:color w:val="auto"/>
              </w:rPr>
            </w:pPr>
          </w:p>
        </w:tc>
      </w:tr>
      <w:tr>
        <w:trPr>
          <w:trHeight w:val="190"/>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232,400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96"/>
              </w:rPr>
              <w:t>(545,448)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(124,753)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(662,001)</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gridSpan w:val="8"/>
          </w:tcPr>
          <w:p>
            <w:pPr>
              <w:ind w:left="640"/>
              <w:spacing w:after="0"/>
              <w:rPr>
                <w:sz w:val="20"/>
                <w:szCs w:val="20"/>
                <w:color w:val="auto"/>
              </w:rPr>
            </w:pPr>
            <w:r>
              <w:rPr>
                <w:rFonts w:ascii="Arial" w:cs="Arial" w:eastAsia="Arial" w:hAnsi="Arial"/>
                <w:sz w:val="14"/>
                <w:szCs w:val="14"/>
                <w:b w:val="1"/>
                <w:bCs w:val="1"/>
                <w:color w:val="auto"/>
              </w:rPr>
              <w:t>Nine Months Ended September 30, 2020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80" w:type="dxa"/>
            <w:vAlign w:val="bottom"/>
          </w:tcPr>
          <w:p>
            <w:pPr>
              <w:spacing w:after="0"/>
              <w:rPr>
                <w:sz w:val="18"/>
                <w:szCs w:val="18"/>
                <w:color w:val="auto"/>
              </w:rPr>
            </w:pPr>
          </w:p>
        </w:tc>
        <w:tc>
          <w:tcPr>
            <w:tcW w:w="2140" w:type="dxa"/>
            <w:vAlign w:val="bottom"/>
            <w:gridSpan w:val="5"/>
            <w:vMerge w:val="restart"/>
          </w:tcPr>
          <w:p>
            <w:pPr>
              <w:ind w:left="68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8"/>
                <w:szCs w:val="18"/>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Retained</w:t>
            </w:r>
          </w:p>
        </w:tc>
        <w:tc>
          <w:tcPr>
            <w:tcW w:w="16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Accumulated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214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Earnings /</w:t>
            </w:r>
          </w:p>
        </w:tc>
        <w:tc>
          <w:tcPr>
            <w:tcW w:w="160" w:type="dxa"/>
            <w:vAlign w:val="bottom"/>
          </w:tcPr>
          <w:p>
            <w:pPr>
              <w:spacing w:after="0"/>
              <w:rPr>
                <w:sz w:val="11"/>
                <w:szCs w:val="11"/>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18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Noncontrolling</w:t>
            </w:r>
          </w:p>
        </w:tc>
        <w:tc>
          <w:tcPr>
            <w:tcW w:w="16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vMerge w:val="restart"/>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Paid-In</w:t>
            </w:r>
          </w:p>
        </w:tc>
        <w:tc>
          <w:tcPr>
            <w:tcW w:w="180" w:type="dxa"/>
            <w:vAlign w:val="bottom"/>
          </w:tcPr>
          <w:p>
            <w:pPr>
              <w:spacing w:after="0"/>
              <w:rPr>
                <w:sz w:val="4"/>
                <w:szCs w:val="4"/>
                <w:color w:val="auto"/>
              </w:rPr>
            </w:pPr>
          </w:p>
        </w:tc>
        <w:tc>
          <w:tcPr>
            <w:tcW w:w="1100" w:type="dxa"/>
            <w:vAlign w:val="bottom"/>
            <w:gridSpan w:val="2"/>
            <w:vMerge w:val="restart"/>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(Accumulated</w:t>
            </w:r>
          </w:p>
        </w:tc>
        <w:tc>
          <w:tcPr>
            <w:tcW w:w="160" w:type="dxa"/>
            <w:vAlign w:val="bottom"/>
          </w:tcPr>
          <w:p>
            <w:pPr>
              <w:spacing w:after="0"/>
              <w:rPr>
                <w:sz w:val="4"/>
                <w:szCs w:val="4"/>
                <w:color w:val="auto"/>
              </w:rPr>
            </w:pPr>
          </w:p>
        </w:tc>
        <w:tc>
          <w:tcPr>
            <w:tcW w:w="1120" w:type="dxa"/>
            <w:vAlign w:val="bottom"/>
            <w:gridSpan w:val="2"/>
            <w:vMerge w:val="restart"/>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780" w:type="dxa"/>
            <w:vAlign w:val="bottom"/>
          </w:tcPr>
          <w:p>
            <w:pPr>
              <w:spacing w:after="0"/>
              <w:rPr>
                <w:sz w:val="4"/>
                <w:szCs w:val="4"/>
                <w:color w:val="auto"/>
              </w:rPr>
            </w:pPr>
          </w:p>
        </w:tc>
        <w:tc>
          <w:tcPr>
            <w:tcW w:w="10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7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Deficit)</w:t>
            </w:r>
          </w:p>
        </w:tc>
        <w:tc>
          <w:tcPr>
            <w:tcW w:w="16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(Loss) Income</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3"/>
                <w:szCs w:val="13"/>
                <w:color w:val="auto"/>
              </w:rPr>
            </w:pPr>
          </w:p>
        </w:tc>
        <w:tc>
          <w:tcPr>
            <w:tcW w:w="1020" w:type="dxa"/>
            <w:vAlign w:val="bottom"/>
          </w:tcPr>
          <w:p>
            <w:pPr>
              <w:jc w:val="right"/>
              <w:ind w:right="172"/>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2"/>
        </w:trPr>
        <w:tc>
          <w:tcPr>
            <w:tcW w:w="27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232,400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(550,511)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(94,387)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(641,132)</w:t>
            </w:r>
          </w:p>
        </w:tc>
        <w:tc>
          <w:tcPr>
            <w:tcW w:w="0" w:type="dxa"/>
            <w:vAlign w:val="bottom"/>
          </w:tcPr>
          <w:p>
            <w:pPr>
              <w:spacing w:after="0"/>
              <w:rPr>
                <w:sz w:val="1"/>
                <w:szCs w:val="1"/>
                <w:color w:val="auto"/>
              </w:rPr>
            </w:pPr>
          </w:p>
        </w:tc>
      </w:tr>
      <w:tr>
        <w:trPr>
          <w:trHeight w:val="190"/>
        </w:trPr>
        <w:tc>
          <w:tcPr>
            <w:tcW w:w="2780" w:type="dxa"/>
            <w:vAlign w:val="bottom"/>
          </w:tcPr>
          <w:p>
            <w:pPr>
              <w:ind w:left="20"/>
              <w:spacing w:after="0"/>
              <w:rPr>
                <w:sz w:val="20"/>
                <w:szCs w:val="20"/>
                <w:color w:val="auto"/>
              </w:rPr>
            </w:pPr>
            <w:r>
              <w:rPr>
                <w:rFonts w:ascii="Arial" w:cs="Arial" w:eastAsia="Arial" w:hAnsi="Arial"/>
                <w:sz w:val="14"/>
                <w:szCs w:val="14"/>
                <w:color w:val="auto"/>
              </w:rPr>
              <w:t>Share-based compensation plans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4,019</w:t>
            </w: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180"/>
              <w:spacing w:after="0"/>
              <w:rPr>
                <w:sz w:val="20"/>
                <w:szCs w:val="20"/>
                <w:color w:val="auto"/>
              </w:rPr>
            </w:pPr>
            <w:r>
              <w:rPr>
                <w:rFonts w:ascii="Arial" w:cs="Arial" w:eastAsia="Arial" w:hAnsi="Arial"/>
                <w:sz w:val="14"/>
                <w:szCs w:val="14"/>
                <w:color w:val="auto"/>
              </w:rPr>
              <w:t>Pension and post-retirement plan</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360"/>
              <w:spacing w:after="0"/>
              <w:rPr>
                <w:sz w:val="20"/>
                <w:szCs w:val="20"/>
                <w:color w:val="auto"/>
              </w:rPr>
            </w:pPr>
            <w:r>
              <w:rPr>
                <w:rFonts w:ascii="Arial" w:cs="Arial" w:eastAsia="Arial" w:hAnsi="Arial"/>
                <w:sz w:val="14"/>
                <w:szCs w:val="14"/>
                <w:color w:val="auto"/>
              </w:rPr>
              <w:t>adjustments, net of tax</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Foreign currency translation</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(30,887)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(31,304)</w:t>
            </w:r>
          </w:p>
        </w:tc>
        <w:tc>
          <w:tcPr>
            <w:tcW w:w="0" w:type="dxa"/>
            <w:vAlign w:val="bottom"/>
          </w:tcPr>
          <w:p>
            <w:pPr>
              <w:spacing w:after="0"/>
              <w:rPr>
                <w:sz w:val="1"/>
                <w:szCs w:val="1"/>
                <w:color w:val="auto"/>
              </w:rPr>
            </w:pPr>
          </w:p>
        </w:tc>
      </w:tr>
      <w:tr>
        <w:trPr>
          <w:trHeight w:val="190"/>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swaps</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5,063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232,400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(545,448)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(124,753)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(662,001)</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Sotera Health Company (also referred to herein as the “Company,” “we,” “our,” “us” or “its”), is a leading global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mission-critical end-to-end sterilization solutions, lab testing and advisory services for the healthcare industry with operations primarily in the Americas, Europe and Asia.</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operate and report in three segments, Sterigenics, Nordion and Nelson Labs. We describe our reportable segments in Note 18, “Segment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Noncontrolling interests represent the noncontrolling stockholders’ proportionate share of the total equity in the Company’s consolidated subsidiaries. We consolidate the results of operations of these subsidiaries with our results of operations. In the second quarter of 2021, we purchased the outstanding noncontrolling interests of 15% and 33% of our two China subsidiaries. Refer to Note 4, “Acquisitions” for additional details. We reflect the noncontrolling interests in our two China subsidiaries for all periods presented prior to this purchase transaction on our Consolidated Statements of Operations and Comprehensive Income (Loss) as “Net income attributable to noncontrolling interests.”</w:t>
      </w:r>
    </w:p>
    <w:p>
      <w:pPr>
        <w:spacing w:after="0" w:line="17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March 11, 2021, we purchased the 15% noncontrolling interest that remained from the August 2018 acquisition of Nelson Laboratories Fairfield, Inc. (“Nelson Labs Fairfield”). As the purchase of this noncontrolling interest was mandatorily redeemable, no earnings were allocated to this noncontrolling interest. See Note 4, “Acquisitions” for additional details.</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July 2020, we acquired a 60% equity ownership interest in a joint venture to construct an E-beam facility in Alberta, Canada in connection with our acquisition of Iotron Industries Canada, Inc. (“Iotron”). Refer to Note 4, “Acquisitions” for additional information. We have determined this to be an investment in a variable interest entity (“VIE”). The investment is not consolidated as the Company has concluded that we are not the primary beneficiary of the VIE. The Company accounts for the joint venture using the equity method. The investment is reflected within “Investment in unconsolidated affiliates” on the Consolidated Balance Sheets.</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U.S. Generally Accepted Accounting Principles (“GAAP”),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estimates and assumptions that affect the 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Interim Financial Statements </w:t>
      </w:r>
      <w:r>
        <w:rPr>
          <w:rFonts w:ascii="Arial" w:cs="Arial" w:eastAsia="Arial" w:hAnsi="Arial"/>
          <w:sz w:val="16"/>
          <w:szCs w:val="16"/>
          <w:color w:val="auto"/>
        </w:rPr>
        <w:t>– The accompanying consolidated financial statements include the assets, liabilities, operating results, and cash flows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wholly owned subsidiaries. These financial statements are prepared in accordance with U.S. GAAP for interim financial information and the instructions to the Quarterly Report on Form 10-Q and Rule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have been included. These unaudited interim financial statements should be read in conjunction with the Company's annual consolidated financial statements and accompanying notes on Form 10-K for the year ended December 31, 2020.</w:t>
      </w:r>
    </w:p>
    <w:p>
      <w:pPr>
        <w:spacing w:after="0" w:line="26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ASUs Issued But Not Yet Adopted</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w:t>
      </w:r>
      <w:r>
        <w:rPr>
          <w:rFonts w:ascii="Arial" w:cs="Arial" w:eastAsia="Arial" w:hAnsi="Arial"/>
          <w:sz w:val="16"/>
          <w:szCs w:val="16"/>
          <w:i w:val="1"/>
          <w:iCs w:val="1"/>
          <w:color w:val="auto"/>
        </w:rPr>
        <w:t>Accounting Standards Update (“ASU”) 2016-13, 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w:t>
      </w:r>
      <w:r>
        <w:rPr>
          <w:rFonts w:ascii="Arial" w:cs="Arial" w:eastAsia="Arial" w:hAnsi="Arial"/>
          <w:sz w:val="16"/>
          <w:szCs w:val="16"/>
          <w:color w:val="auto"/>
        </w:rPr>
        <w:t>(“ASU 2016-13”):</w:t>
      </w:r>
      <w:r>
        <w:rPr>
          <w:rFonts w:ascii="Arial" w:cs="Arial" w:eastAsia="Arial" w:hAnsi="Arial"/>
          <w:sz w:val="16"/>
          <w:szCs w:val="16"/>
          <w:i w:val="1"/>
          <w:iCs w:val="1"/>
          <w:color w:val="auto"/>
        </w:rPr>
        <w:t xml:space="preserve"> Measurement of Credit Losses on Financial Instruments, </w:t>
      </w:r>
      <w:r>
        <w:rPr>
          <w:rFonts w:ascii="Arial" w:cs="Arial" w:eastAsia="Arial" w:hAnsi="Arial"/>
          <w:sz w:val="16"/>
          <w:szCs w:val="16"/>
          <w:color w:val="auto"/>
        </w:rPr>
        <w:t>and subsequently issued additional guidance that modified ASU 2016-</w:t>
      </w:r>
    </w:p>
    <w:p>
      <w:pPr>
        <w:ind w:right="420" w:firstLine="8"/>
        <w:spacing w:after="0" w:line="277" w:lineRule="auto"/>
        <w:tabs>
          <w:tab w:leader="none" w:pos="27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standard requires an entity to change its accounting approach in determining impairment of certain financial instruments, including trade receivables, from an “incurred loss” to a “current expected credit loss” model. We intend to adopt the standard as of January 1, 2022. We are currently assessing the effect that ASU 2016-13 will have on our financial position, results of operations, and disclosures.</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 Income Taxes (Topic 740): Simplifying the Accounting for Income Taxes</w:t>
      </w:r>
      <w:r>
        <w:rPr>
          <w:rFonts w:ascii="Arial" w:cs="Arial" w:eastAsia="Arial" w:hAnsi="Arial"/>
          <w:sz w:val="18"/>
          <w:szCs w:val="18"/>
          <w:color w:val="auto"/>
        </w:rPr>
        <w:t>. The standard simplifies the accounting for income taxes and makes a number of changes meant to add or clarify guidance on accounting for income taxes. This update is effective for annual financial statement periods beginning after December 15, 2021 and interim periods within fiscal years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29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three and nine months ended September 30, 2021 and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174,082</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52,082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52,082</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145,314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28,768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52,082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4"/>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5"/>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146,571</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53,457</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2021</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5"/>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524,086</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164,771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166,143</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421,647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164,771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690,229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2020</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1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Nordion</w:t>
            </w: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Nelson Labs</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b w:val="1"/>
                <w:bCs w:val="1"/>
                <w:color w:val="auto"/>
                <w:w w:val="99"/>
              </w:rPr>
              <w:t>Consolidated</w:t>
            </w:r>
          </w:p>
        </w:tc>
      </w:tr>
      <w:tr>
        <w:trPr>
          <w:trHeight w:val="25"/>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449,989</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Over time</w:t>
            </w:r>
          </w:p>
        </w:tc>
        <w:tc>
          <w:tcPr>
            <w:tcW w:w="2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151,324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151,324</w:t>
            </w:r>
          </w:p>
        </w:tc>
      </w:tr>
      <w:tr>
        <w:trPr>
          <w:trHeight w:val="27"/>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363,955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151,324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of September 30, 2021, and December 31, 2020, contract assets included in “Prepaid expenses and other current assets” on the Consolidated Balance Sheets totaled approximately $14.7 million and $12.7 million, respectively, resulting from revenue recognized over time in excess of the amount billed to the customer.</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 we receive consideration from a customer prior to transferring goods or services under the terms of a sales contract, we record deferred revenue, which represents a contract liability. Deferred revenue totaled $4.9 million and $6.1 million at September 30, 2021 and December 31, 2020, respectively. We recognize deferred revenue after all revenue recognition criteria are met.</w:t>
      </w:r>
    </w:p>
    <w:p>
      <w:pPr>
        <w:spacing w:after="0" w:line="28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Noncontrolling Interests in China Subsidiaries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May 18, 2021, the Company acquired the remaining 15% and 33% noncontrolling interests associated with our two subsidiaries located in China. As a result, both entities are now 100% owned by the Company. The purchase price of the remaining equity interests was approximately $8.6 million, net of the cancellation of an $0.8 million demand note. The Company paid 90% of the cash consideration on the acquisition date. The remaining amounts were partially settled in post-closing payments in the third quarter of 2021; $0.2 million of the post-closing payment remains outstanding as of September 30, 2021 subject to the terms of the equity transfer agreements. As a result of the transactions, we continue to consolidate both of these subsidiaries, however, as of May 18, 2021, we no longer record noncontrolling interests in the consolidated financial statements as these subsidiaries are fully owned by the Company. The purchases were accounted for as equity transactions. As a result of these transactions, noncontrolling interests were reduced by $2.8 million reflecting the carrying value of the interest with $5.8 million of the difference charged to additional paid-in 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BioScience Laboratories, LLC</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March 8, 2021, we acquired BioScience Laboratories, LLC (“BioScience Labs”) for approximately $13.5 million, net of $0.2 million of cash acquired plus the contemporaneous repayment of BioScience Labs’ outstanding debt of $1.9 million. BioScience is a provider of outsourced topical antimicrobial product testing in the pharmaceutical, medical device, and consumer products industries with one location in Bozeman, Montana.</w:t>
      </w:r>
    </w:p>
    <w:p>
      <w:pPr>
        <w:spacing w:after="0" w:line="16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purchase price of BioScience Labs was allocated to the underlying assets acquired and liabilities assumed based upon management's estimated fair values at the date of acquisition. Changes to the allocation of the purchase price may occur as these measurements are completed. Approximately $10.6 million of goodwill was recorded related to the BioScience Labs acquisition, representing the excess of the purchase price over the preliminary estimated fair values of all the assets acquired and liabilities assumed. The Company funded this acquisition using available cash. The acquisition price and the results of operations for this acquired entity are not material in relation to the Company's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Mandatorily Redeemable Noncontrolling Interest - Nelson Labs Fairfield</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 March 11, 2021, we completed the acquisition of the remaining 15% ownership of Nelson Labs Fairfield for $12.4 million, resulting in a gain of $1.2 million included in “Other expense (income), net” in the Consolidated Statements of Operations and Comprehensive Income (Loss) relative to the $13.6 million previously accrued. Pursuant to the terms of the August 2018 acquisition, we initially acquired 85% of the equity interests of Nelson Labs Fairfield in August 2018 and were obligated to acquire the remaining 15% noncontrolling interest within three years from the date of the acquisition.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Iotron Industries Canada, Inc.</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31, 2020, we acquired Iotron for approximately $105.2 million. Iotron was an independent contact sterilizer with two North American locations in Vancouver, Canada, and Columbia City, Indiana. Each location uses proprietary high energy electron beam technology to process products for orthopedic, medical device, plastics, and agricultural businesses. The acquisition was financed by the issuance of $100.0 million of First Lien Notes due 2026. Refer to Note 9, “Long-Term Debt” for additional details.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part of this acquisition, we also acquired Iotron’s 60% equity ownership interest in a joint venture to construct an E-beam facility in Alberta,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joint venture is accounted for using the equity method.</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estimated fair value of the underlying acquired assets and assumed liabilities of the Iotron acquisition and the measurement period adjustments recognized during the nine months ended September 30, 2021,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5"/>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Allocation of purchase price to the fair value of</w:t>
            </w:r>
          </w:p>
        </w:tc>
        <w:tc>
          <w:tcPr>
            <w:tcW w:w="140" w:type="dxa"/>
            <w:vAlign w:val="bottom"/>
          </w:tcPr>
          <w:p>
            <w:pPr>
              <w:spacing w:after="0"/>
              <w:rPr>
                <w:sz w:val="22"/>
                <w:szCs w:val="22"/>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 recognized as of</w:t>
            </w:r>
          </w:p>
        </w:tc>
        <w:tc>
          <w:tcPr>
            <w:tcW w:w="200" w:type="dxa"/>
            <w:vAlign w:val="bottom"/>
          </w:tcPr>
          <w:p>
            <w:pPr>
              <w:spacing w:after="0"/>
              <w:rPr>
                <w:sz w:val="22"/>
                <w:szCs w:val="22"/>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Measurement Period</w:t>
            </w:r>
          </w:p>
        </w:tc>
        <w:tc>
          <w:tcPr>
            <w:tcW w:w="140" w:type="dxa"/>
            <w:vAlign w:val="bottom"/>
          </w:tcPr>
          <w:p>
            <w:pPr>
              <w:spacing w:after="0"/>
              <w:rPr>
                <w:sz w:val="22"/>
                <w:szCs w:val="22"/>
                <w:color w:val="auto"/>
              </w:rPr>
            </w:pPr>
          </w:p>
        </w:tc>
        <w:tc>
          <w:tcPr>
            <w:tcW w:w="1720" w:type="dxa"/>
            <w:vAlign w:val="bottom"/>
          </w:tcPr>
          <w:p>
            <w:pPr>
              <w:jc w:val="right"/>
              <w:ind w:right="94"/>
              <w:spacing w:after="0"/>
              <w:rPr>
                <w:sz w:val="20"/>
                <w:szCs w:val="20"/>
                <w:color w:val="auto"/>
              </w:rPr>
            </w:pPr>
            <w:r>
              <w:rPr>
                <w:rFonts w:ascii="Arial" w:cs="Arial" w:eastAsia="Arial" w:hAnsi="Arial"/>
                <w:sz w:val="14"/>
                <w:szCs w:val="14"/>
                <w:b w:val="1"/>
                <w:bCs w:val="1"/>
                <w:color w:val="auto"/>
                <w:w w:val="90"/>
              </w:rPr>
              <w:t>Amount recognized as of</w:t>
            </w:r>
          </w:p>
        </w:tc>
      </w:tr>
      <w:tr>
        <w:trPr>
          <w:trHeight w:val="204"/>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net assets acquired (net of cash acquired):</w:t>
            </w:r>
          </w:p>
        </w:tc>
        <w:tc>
          <w:tcPr>
            <w:tcW w:w="14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7"/>
                <w:szCs w:val="17"/>
                <w:color w:val="auto"/>
              </w:rPr>
            </w:pPr>
          </w:p>
        </w:tc>
        <w:tc>
          <w:tcPr>
            <w:tcW w:w="1720" w:type="dxa"/>
            <w:vAlign w:val="bottom"/>
          </w:tcPr>
          <w:p>
            <w:pPr>
              <w:jc w:val="right"/>
              <w:ind w:right="254"/>
              <w:spacing w:after="0"/>
              <w:rPr>
                <w:sz w:val="20"/>
                <w:szCs w:val="20"/>
                <w:color w:val="auto"/>
              </w:rPr>
            </w:pPr>
            <w:r>
              <w:rPr>
                <w:rFonts w:ascii="Arial" w:cs="Arial" w:eastAsia="Arial" w:hAnsi="Arial"/>
                <w:sz w:val="14"/>
                <w:szCs w:val="14"/>
                <w:b w:val="1"/>
                <w:bCs w:val="1"/>
                <w:color w:val="auto"/>
              </w:rPr>
              <w:t>September 30, 2021</w:t>
            </w:r>
          </w:p>
        </w:tc>
      </w:tr>
      <w:tr>
        <w:trPr>
          <w:trHeight w:val="26"/>
        </w:trPr>
        <w:tc>
          <w:tcPr>
            <w:tcW w:w="5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49,599</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42,700</w:t>
            </w: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18,158</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Working capital, net</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1,117</w:t>
            </w: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unconsolidated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8,700</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Assumed long-term liabilities</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(2,248)</w:t>
            </w: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assets/liabilities, net</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(12,839)</w:t>
            </w:r>
          </w:p>
        </w:tc>
      </w:tr>
      <w:tr>
        <w:trPr>
          <w:trHeight w:val="264"/>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105,187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105,187</w:t>
            </w: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Approximately $49.6 million of goodwill was recorded related to the Iotron acquisition, representing the excess of the purchase price over the estimated fair values of all the assets acquired and liabilities assumed. The fair value allocated to goodwill and tangible and intangible assets are deductible for tax purposes. The qualitative elements of goodwill primarily represent the expanded future growth opportunities for the combined company and the addition of Iotron’s highly skilled workforce. The Company recorded $39.1 million and $3.6 million for intangible assets as part of the acquisition related to customer relationships and employee non-compete agreements, respectively. The estimated useful lives of the identifiable finite-lived intangible assets range from 5 to 15 years.</w:t>
      </w:r>
    </w:p>
    <w:p>
      <w:pPr>
        <w:spacing w:after="0" w:line="192"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Iotron’s results of operations are included in our consolidated financial statements from the date of the transaction within the Sterigenics segment. The unaudited pro forma consolidated results for the three and nine months ended September 30, 2020, are reflected in the pro forma table below had the transaction occurred on January 1, 2020.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660" w:type="dxa"/>
            <w:vAlign w:val="bottom"/>
          </w:tcPr>
          <w:p>
            <w:pPr>
              <w:jc w:val="center"/>
              <w:ind w:right="121"/>
              <w:spacing w:after="0"/>
              <w:rPr>
                <w:sz w:val="20"/>
                <w:szCs w:val="20"/>
                <w:color w:val="auto"/>
              </w:rPr>
            </w:pPr>
            <w:r>
              <w:rPr>
                <w:rFonts w:ascii="Arial" w:cs="Arial" w:eastAsia="Arial" w:hAnsi="Arial"/>
                <w:sz w:val="14"/>
                <w:szCs w:val="14"/>
                <w:b w:val="1"/>
                <w:bCs w:val="1"/>
                <w:color w:val="auto"/>
                <w:w w:val="93"/>
              </w:rPr>
              <w:t>Nine Months Ended</w:t>
            </w:r>
          </w:p>
        </w:tc>
      </w:tr>
      <w:tr>
        <w:trPr>
          <w:trHeight w:val="186"/>
        </w:trPr>
        <w:tc>
          <w:tcPr>
            <w:tcW w:w="7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66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September 30,</w:t>
            </w:r>
          </w:p>
        </w:tc>
      </w:tr>
      <w:tr>
        <w:trPr>
          <w:trHeight w:val="25"/>
        </w:trPr>
        <w:tc>
          <w:tcPr>
            <w:tcW w:w="7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4"/>
        </w:trPr>
        <w:tc>
          <w:tcPr>
            <w:tcW w:w="742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6"/>
                <w:szCs w:val="16"/>
                <w:color w:val="auto"/>
              </w:rPr>
            </w:pPr>
          </w:p>
        </w:tc>
        <w:tc>
          <w:tcPr>
            <w:tcW w:w="164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2020</w:t>
            </w:r>
          </w:p>
        </w:tc>
      </w:tr>
      <w:tr>
        <w:trPr>
          <w:trHeight w:val="25"/>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202,166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616,144</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
              <w:spacing w:after="0"/>
              <w:rPr>
                <w:sz w:val="20"/>
                <w:szCs w:val="20"/>
                <w:color w:val="auto"/>
              </w:rPr>
            </w:pPr>
            <w:r>
              <w:rPr>
                <w:rFonts w:ascii="Arial" w:cs="Arial" w:eastAsia="Arial" w:hAnsi="Arial"/>
                <w:sz w:val="18"/>
                <w:szCs w:val="18"/>
                <w:color w:val="auto"/>
              </w:rPr>
              <w:t>7,737</w:t>
            </w:r>
          </w:p>
        </w:tc>
      </w:tr>
    </w:tbl>
    <w:p>
      <w:pPr>
        <w:spacing w:after="0" w:line="31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connection with the Iotron acquisition, we incurred approximately $0.4 million and $2.8 million in transaction costs for the three and nine months ended September 30, 2020, respectively, which were included in “Selling, general and administrative expenses” in the Consolidated Statements of Operations and Comprehensive Income (Loss).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primarily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33,437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37,619</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Inventories, net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55"/>
              <w:spacing w:after="0"/>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37,496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6"/>
          </w:tcPr>
          <w:p>
            <w:pPr>
              <w:spacing w:after="0"/>
              <w:rPr>
                <w:sz w:val="20"/>
                <w:szCs w:val="20"/>
                <w:color w:val="auto"/>
              </w:rPr>
            </w:pPr>
            <w:r>
              <w:rPr>
                <w:rFonts w:ascii="Arial" w:cs="Arial" w:eastAsia="Arial" w:hAnsi="Arial"/>
                <w:sz w:val="18"/>
                <w:szCs w:val="18"/>
                <w:color w:val="auto"/>
              </w:rPr>
              <w:t>Prepaid expenses and other current assets consisted primarily of the following:</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September 30, 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taxes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27,878</w:t>
            </w:r>
          </w:p>
        </w:tc>
        <w:tc>
          <w:tcPr>
            <w:tcW w:w="2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Prepaid business insurance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Customer contract assets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14,651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Current deposits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Value added tax receivable</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Prepaid software licensing</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Stock supplies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10,800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67,707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64,964</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6"/>
          </w:tcPr>
          <w:p>
            <w:pPr>
              <w:spacing w:after="0"/>
              <w:rPr>
                <w:sz w:val="20"/>
                <w:szCs w:val="20"/>
                <w:color w:val="auto"/>
              </w:rPr>
            </w:pPr>
            <w:r>
              <w:rPr>
                <w:rFonts w:ascii="Arial" w:cs="Arial" w:eastAsia="Arial" w:hAnsi="Arial"/>
                <w:sz w:val="18"/>
                <w:szCs w:val="18"/>
                <w:color w:val="auto"/>
                <w:w w:val="95"/>
              </w:rPr>
              <w:t>Changes to goodwill during the nine months ended September 30, 2021 were as follows: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Sterigenics</w:t>
            </w:r>
          </w:p>
        </w:tc>
        <w:tc>
          <w:tcPr>
            <w:tcW w:w="280" w:type="dxa"/>
            <w:vAlign w:val="bottom"/>
          </w:tcPr>
          <w:p>
            <w:pPr>
              <w:spacing w:after="0"/>
              <w:rPr>
                <w:sz w:val="24"/>
                <w:szCs w:val="24"/>
                <w:color w:val="auto"/>
              </w:rPr>
            </w:pPr>
          </w:p>
        </w:tc>
        <w:tc>
          <w:tcPr>
            <w:tcW w:w="108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Nordion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Nelson Labs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Goodwill at December 31, 2020</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683,481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287,932</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40"/>
              <w:spacing w:after="0"/>
              <w:rPr>
                <w:sz w:val="20"/>
                <w:szCs w:val="20"/>
                <w:color w:val="auto"/>
              </w:rPr>
            </w:pPr>
            <w:r>
              <w:rPr>
                <w:rFonts w:ascii="Arial" w:cs="Arial" w:eastAsia="Arial" w:hAnsi="Arial"/>
                <w:sz w:val="18"/>
                <w:szCs w:val="18"/>
                <w:color w:val="auto"/>
              </w:rPr>
              <w:t>144,523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1,115,936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BioScience Labs acquisition</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10,573</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Iotron acquisition measurement period adjustments</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6"/>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5"/>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Goodwill at September 30, 2021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661,498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288,637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153,013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1,103,148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82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7"/>
                <w:szCs w:val="17"/>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20" w:type="dxa"/>
            <w:vAlign w:val="bottom"/>
          </w:tcPr>
          <w:p>
            <w:pPr>
              <w:spacing w:after="0"/>
              <w:rPr>
                <w:sz w:val="16"/>
                <w:szCs w:val="16"/>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 2021</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659,267</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352,052</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89,121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43,174</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1,503</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241,386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105,598</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1,839</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1,004,981</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504,280</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82,033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25,907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107,940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1,112,921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504,280</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24"/>
                <w:szCs w:val="24"/>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Accumulated</w:t>
            </w:r>
          </w:p>
        </w:tc>
      </w:tr>
      <w:tr>
        <w:trPr>
          <w:trHeight w:val="175"/>
        </w:trPr>
        <w:tc>
          <w:tcPr>
            <w:tcW w:w="20" w:type="dxa"/>
            <w:vAlign w:val="bottom"/>
          </w:tcPr>
          <w:p>
            <w:pPr>
              <w:spacing w:after="0"/>
              <w:rPr>
                <w:sz w:val="15"/>
                <w:szCs w:val="15"/>
                <w:color w:val="auto"/>
              </w:rPr>
            </w:pPr>
          </w:p>
        </w:tc>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Amortization</w:t>
            </w:r>
          </w:p>
        </w:tc>
      </w:tr>
      <w:tr>
        <w:trPr>
          <w:trHeight w:val="34"/>
        </w:trPr>
        <w:tc>
          <w:tcPr>
            <w:tcW w:w="20" w:type="dxa"/>
            <w:vAlign w:val="bottom"/>
            <w:tcBorders>
              <w:bottom w:val="single" w:sz="8" w:color="CCEEFF"/>
            </w:tcBorders>
          </w:tcPr>
          <w:p>
            <w:pPr>
              <w:spacing w:after="0"/>
              <w:rPr>
                <w:sz w:val="2"/>
                <w:szCs w:val="2"/>
                <w:color w:val="auto"/>
              </w:rPr>
            </w:pPr>
          </w:p>
        </w:tc>
        <w:tc>
          <w:tcPr>
            <w:tcW w:w="152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Finite-lived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634,454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309,428</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Proprietary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38,075</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Land-use rights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Sealed source and supply agreements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240,791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92,953</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2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7"/>
        </w:trPr>
        <w:tc>
          <w:tcPr>
            <w:tcW w:w="20" w:type="dxa"/>
            <w:vAlign w:val="bottom"/>
          </w:tcPr>
          <w:p>
            <w:pPr>
              <w:spacing w:after="0"/>
              <w:rPr>
                <w:sz w:val="20"/>
                <w:szCs w:val="20"/>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977,791</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442,391</w:t>
            </w: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74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51"/>
        </w:trPr>
        <w:tc>
          <w:tcPr>
            <w:tcW w:w="20" w:type="dxa"/>
            <w:vAlign w:val="bottom"/>
            <w:shd w:val="clear" w:color="auto" w:fill="CCEEFF"/>
          </w:tcPr>
          <w:p>
            <w:pPr>
              <w:spacing w:after="0"/>
              <w:rPr>
                <w:sz w:val="24"/>
                <w:szCs w:val="24"/>
                <w:color w:val="auto"/>
              </w:rPr>
            </w:pPr>
          </w:p>
        </w:tc>
        <w:tc>
          <w:tcPr>
            <w:tcW w:w="82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81,832</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60" w:type="dxa"/>
            <w:vAlign w:val="bottom"/>
            <w:gridSpan w:val="3"/>
          </w:tcPr>
          <w:p>
            <w:pPr>
              <w:ind w:left="440"/>
              <w:spacing w:after="0"/>
              <w:rPr>
                <w:sz w:val="20"/>
                <w:szCs w:val="20"/>
                <w:color w:val="auto"/>
              </w:rPr>
            </w:pPr>
            <w:r>
              <w:rPr>
                <w:rFonts w:ascii="Arial" w:cs="Arial" w:eastAsia="Arial" w:hAnsi="Arial"/>
                <w:sz w:val="18"/>
                <w:szCs w:val="18"/>
                <w:color w:val="auto"/>
              </w:rPr>
              <w:t>Trade names / trademarks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26,134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82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1,085,757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442,391</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right="60" w:hanging="332"/>
        <w:spacing w:after="0" w:line="257" w:lineRule="auto"/>
        <w:tabs>
          <w:tab w:leader="none" w:pos="335"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years license period as Nordion has demonstrated over its 75 years of history.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Amortization expense for other intangible assets was $21.2 million ($5.3 million is included in “Cost of revenues” and $15.9 million in “Selling, general and administrative expenses”) and $65.3 million ($17.2 million is included in “Cost of revenues” and $48.1 million in “Selling, general and administrative expenses”) in the Consolidated Statements of Operations and Comprehensive Income (Loss) for the three and nine months ended September 30, 2021, respectively.</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Amortization expense for other intangible assets was $20.2 million ($5.4 million is included in “Cost of revenues” and $14.8 million in “Selling, general and administrative expenses”) and $59.8 million ($15.8 million is included in “Cost of revenues” and $44.0 million in “Selling, general and administrative expenses”) in the Consolidated Statements of Operations and Comprehensive Income (Loss) for the three and nine months ended September 30,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 the remainder of 2021</w:t>
            </w: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20,062</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2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81,182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8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80,763</w:t>
            </w:r>
          </w:p>
        </w:tc>
        <w:tc>
          <w:tcPr>
            <w:tcW w:w="0" w:type="dxa"/>
            <w:vAlign w:val="bottom"/>
          </w:tcPr>
          <w:p>
            <w:pPr>
              <w:spacing w:after="0"/>
              <w:rPr>
                <w:sz w:val="1"/>
                <w:szCs w:val="1"/>
                <w:color w:val="auto"/>
              </w:rPr>
            </w:pP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28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79,986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8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196,518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500,701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w w:val="90"/>
              </w:rPr>
              <w:t>The weighted-average remaining useful life of the finite-lived intangible assets was approximately 10 years as of September 30, 2021.</w:t>
            </w: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68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8.  Accrued Liabilities</w:t>
            </w: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color w:val="auto"/>
              </w:rPr>
              <w:t>Accrued liabilities consisted of the following:</w:t>
            </w: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8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9"/>
                <w:szCs w:val="19"/>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gridSpan w:val="2"/>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Legal reserves</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Embedded derivatives</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Accrued utilities</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3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3,750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36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54,497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0" w:type="dxa"/>
            <w:vAlign w:val="bottom"/>
            <w:vMerge w:val="restart"/>
          </w:tcPr>
          <w:p>
            <w:pPr>
              <w:jc w:val="right"/>
              <w:ind w:right="221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2840" w:type="dxa"/>
            <w:vAlign w:val="bottom"/>
            <w:tcBorders>
              <w:bottom w:val="single" w:sz="8" w:color="9A9A9A"/>
            </w:tcBorders>
          </w:tcPr>
          <w:p>
            <w:pPr>
              <w:spacing w:after="0"/>
              <w:rPr>
                <w:sz w:val="12"/>
                <w:szCs w:val="12"/>
                <w:color w:val="auto"/>
              </w:rPr>
            </w:pPr>
          </w:p>
        </w:tc>
        <w:tc>
          <w:tcPr>
            <w:tcW w:w="3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9"/>
                <w:szCs w:val="19"/>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r>
      <w:tr>
        <w:trPr>
          <w:trHeight w:val="26"/>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1,763,100</w:t>
            </w: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Senior notes, due 2026</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37"/>
        </w:trPr>
        <w:tc>
          <w:tcPr>
            <w:tcW w:w="20" w:type="dxa"/>
            <w:vAlign w:val="bottom"/>
          </w:tcPr>
          <w:p>
            <w:pPr>
              <w:spacing w:after="0"/>
              <w:rPr>
                <w:sz w:val="20"/>
                <w:szCs w:val="20"/>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1,763,550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1,863,550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(38,761)</w:t>
            </w:r>
          </w:p>
        </w:tc>
      </w:tr>
      <w:tr>
        <w:trPr>
          <w:trHeight w:val="264"/>
        </w:trPr>
        <w:tc>
          <w:tcPr>
            <w:tcW w:w="2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long-term debt, less debt issuance costs and debt discounts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1,742,578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1,824,789</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December 13, 2026, and the Revolving Credit Facility's original maturity date was December 13, 2024.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September 30, 2021 and December 31, 2020, total borrowings under the Term Loan were $1,763.1 million in each period, respectively, and there were no borrowings outstanding on the Revolving Credit Facility. The weighted average interest rate on borrowings under the Term Loan for the three months ended September 30, 2021 and September 30, 2020 was 3.25% and 5.50%, respectively, and 3.51% and 5.73% for the nine months ended September 30, 2021 and September 30, 2020, respectively.</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 interest rates of 2.25%.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19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As of September 30, 2021 and December 31, 2020, capitalized debt issuance costs totaled $2.8 million and $3.4 million, respectively, and debt discounts totaled $18.2 million and $31.6 million, respectively, related to the Senior Secured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which is $347.5 million. No unamortized debt issuance costs associated with the Revolving Credit Facility were written off and direct fees and costs incurred in connection with the amendment were immaterial.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As of September 30, 2021 and December 31, 2020, there were no borrowings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w:t>
      </w:r>
    </w:p>
    <w:p>
      <w:pPr>
        <w:spacing w:after="0" w:line="18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September 30, 2021, the Company had $67.6 million of letters of credit issued against the Revolving Credit Facility, resulting in total availability under the Revolving Credit Facility of $279.9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11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three and nine months ended September 30, 2021.</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Debt Repayments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November 24, 2020, we closed our initial public offering (the “IPO”), in which we sold 53,590,000 shares of our common stock at a price of $23.00 per share, which included the full exercise by the underwriters of their option to purchase up to an additional 6,990,000 shares of common stock. We raised approximately $1.2 billion in net proceeds after deducting underwriters’ discounts and commissions. We used the net proceeds received by us from the IPO to (i) redeem $770.0 million in aggregate principal amount of the Second Lien Senior Secured Notes with an original maturity date of December 13, 2027 (the “Second Lien Notes”), plus accrued and unpaid interest thereon and $15.4 million of redemption premium, (ii) repurchase 1,568,445 shares of our common stock from certain of our executive officers at a purchase price per share equal to the IPO price per share of our common stock less an amount equal to the underwriting discounts and commissions payable thereon and (iii) repay $341.0 million of the outstanding indebtedness under the Term Loan, plus accrued and unpaid interest thereon. In connection with the debt repayments, we wrote off $28.9 million of debt issuance and discount costs and recognized $15.4 million in premiums paid for the early extinguishment of the Second Lien Notes. We recognized these costs within “Loss on extinguishment of debt” in our Consolidated Statements of Operations and Comprehensive Income (Loss) in the fourth quarter of 2020.</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Company’s long-term debt, excluding debt discounts, as of September 30, 2021,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r>
      <w:tr>
        <w:trPr>
          <w:trHeight w:val="243"/>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20" w:type="dxa"/>
            <w:vAlign w:val="bottom"/>
          </w:tcPr>
          <w:p>
            <w:pPr>
              <w:spacing w:after="0"/>
              <w:rPr>
                <w:sz w:val="21"/>
                <w:szCs w:val="21"/>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1,763,100</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referenced above, the Company utilized its IPO proceeds toward prepaying the Second Lien Notes in full as well as prepaying a portion of the Term Loan. The Term Loan prepayment amount eliminated all subsequent scheduled and outstanding repayments of the term borrowings resulting in no remaining short-term commitments.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effective tax rates were 33.2 % and 30.7% for the three and nine months ended September 30, 2021, respectively, compared to (207.7)% and (255.9)% for the three and nine months ended September 30, 2020, respectively.</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 expense for the three months ended September 30, 2021 differed from the statutory rate primarily due to the impact of the foreign rate differential, global intangible low-tax income (“GILTI”) and a net increase in the interest expense valuation allowance. Provision for income taxes for the three months ended September 30, 2020 differed from the statutory rate primarily due to the foreign rate differential, GILTI, non-deductible expenses as well as the impact of the 2020 Coronavirus Aid, Relief, and Economic Security Act (the “CARES Act”), which increased the limitation on interest expense deductions and resulted in a valuation allowance reversal.</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for the nine months ended September 30, 2021 differed from the statutory rate primarily due to the impact of the foreign rate differential, GILTI, a net increase in the interest expense valuation allowance, and a discrete item pertaining to an income tax rate change in the United Kingdom. This was partially offset by an additional discrete item in the first quarter of 2021, which reversed the valuation allowance on deferred tax assets related to certain asset retirement obligations.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effective tax rates for the three and nine months ended September 30, 2020 differed from the statutory rate due to the impact of GILTI, the foreign rate differential, non-deductible expenses as well as the impact of the CARES Act. The CARES Act increased the limitation on the deductibility of interest expense from 30% to 50% for tax years beginning in 2019 or 2020, among other provisions. The increased limitation resulted in a current tax benefit for the nine months ended September 30, 2020 of $8.7 million. The increased limitation also resulted in a $5.6 million valuation allowance reversal in the nine months ended September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Benefits</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defined benefit plans for the three and nine months ended September 30, 2021 and 2020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3"/>
                <w:szCs w:val="13"/>
                <w:color w:val="auto"/>
              </w:rPr>
            </w:pPr>
          </w:p>
        </w:tc>
        <w:tc>
          <w:tcPr>
            <w:tcW w:w="1180" w:type="dxa"/>
            <w:vAlign w:val="bottom"/>
          </w:tcPr>
          <w:p>
            <w:pPr>
              <w:jc w:val="right"/>
              <w:ind w:right="47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49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4,897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5,974</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net actuarial loss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periodic benefit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benefit plans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 The components of net periodic pension cost for the other benefit plans for the three and nine months ended September 30, 2021 and 2020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55"/>
        </w:trPr>
        <w:tc>
          <w:tcPr>
            <w:tcW w:w="20" w:type="dxa"/>
            <w:vAlign w:val="bottom"/>
          </w:tcPr>
          <w:p>
            <w:pPr>
              <w:spacing w:after="0"/>
              <w:rPr>
                <w:sz w:val="13"/>
                <w:szCs w:val="13"/>
                <w:color w:val="auto"/>
              </w:rPr>
            </w:pPr>
          </w:p>
        </w:tc>
        <w:tc>
          <w:tcPr>
            <w:tcW w:w="51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(thousands of U.S. dollars)</w:t>
            </w:r>
          </w:p>
        </w:tc>
        <w:tc>
          <w:tcPr>
            <w:tcW w:w="104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218</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20" w:type="dxa"/>
            <w:vAlign w:val="bottom"/>
          </w:tcPr>
          <w:p>
            <w:pPr>
              <w:spacing w:after="0"/>
              <w:rPr>
                <w:sz w:val="22"/>
                <w:szCs w:val="22"/>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8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278</w:t>
            </w: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expect funding requirements of approximately $2.8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September 30, 2021, and December 31, 2020, we had letters of credit outstanding relating to the defined benefit plans totaling $44.5 million and $41.3 million, respectively.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12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do business with a number of companies affiliated with Warburg Pincus and GTCR, which we refer to collectively as the “Sponsors,” who continue to have substantial control over us. All transactions with these companies have been conducted in the ordinary course of our business and are not material to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accumulated other comprehensive income (loss) balances, net of applicable tax,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1"/>
              </w:rPr>
              <w:t>Defined</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1060" w:type="dxa"/>
            <w:vAlign w:val="bottom"/>
          </w:tcPr>
          <w:p>
            <w:pPr>
              <w:jc w:val="center"/>
              <w:ind w:right="192"/>
              <w:spacing w:after="0"/>
              <w:rPr>
                <w:sz w:val="20"/>
                <w:szCs w:val="20"/>
                <w:color w:val="auto"/>
              </w:rPr>
            </w:pPr>
            <w:r>
              <w:rPr>
                <w:rFonts w:ascii="Arial" w:cs="Arial" w:eastAsia="Arial" w:hAnsi="Arial"/>
                <w:sz w:val="16"/>
                <w:szCs w:val="16"/>
                <w:b w:val="1"/>
                <w:bCs w:val="1"/>
                <w:color w:val="auto"/>
                <w:w w:val="93"/>
              </w:rPr>
              <w:t>Interest</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2"/>
              </w:rPr>
              <w:t>Benefit</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6"/>
                <w:szCs w:val="16"/>
                <w:color w:val="auto"/>
              </w:rPr>
            </w:pPr>
          </w:p>
        </w:tc>
        <w:tc>
          <w:tcPr>
            <w:tcW w:w="1060" w:type="dxa"/>
            <w:vAlign w:val="bottom"/>
          </w:tcPr>
          <w:p>
            <w:pPr>
              <w:jc w:val="center"/>
              <w:ind w:right="172"/>
              <w:spacing w:after="0"/>
              <w:rPr>
                <w:sz w:val="20"/>
                <w:szCs w:val="20"/>
                <w:color w:val="auto"/>
              </w:rPr>
            </w:pPr>
            <w:r>
              <w:rPr>
                <w:rFonts w:ascii="Arial" w:cs="Arial" w:eastAsia="Arial" w:hAnsi="Arial"/>
                <w:sz w:val="16"/>
                <w:szCs w:val="16"/>
                <w:b w:val="1"/>
                <w:bCs w:val="1"/>
                <w:color w:val="auto"/>
                <w:w w:val="92"/>
              </w:rPr>
              <w:t>Rate</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5"/>
                <w:szCs w:val="15"/>
                <w:color w:val="auto"/>
              </w:rPr>
            </w:pPr>
          </w:p>
        </w:tc>
        <w:tc>
          <w:tcPr>
            <w:tcW w:w="1400" w:type="dxa"/>
            <w:vAlign w:val="bottom"/>
            <w:gridSpan w:val="2"/>
          </w:tcPr>
          <w:p>
            <w:pPr>
              <w:jc w:val="center"/>
              <w:ind w:right="580"/>
              <w:spacing w:after="0" w:line="176" w:lineRule="exact"/>
              <w:rPr>
                <w:sz w:val="20"/>
                <w:szCs w:val="20"/>
                <w:color w:val="auto"/>
              </w:rPr>
            </w:pPr>
            <w:r>
              <w:rPr>
                <w:rFonts w:ascii="Arial" w:cs="Arial" w:eastAsia="Arial" w:hAnsi="Arial"/>
                <w:sz w:val="16"/>
                <w:szCs w:val="16"/>
                <w:b w:val="1"/>
                <w:bCs w:val="1"/>
                <w:color w:val="auto"/>
                <w:w w:val="88"/>
              </w:rPr>
              <w:t>Plans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5"/>
                <w:szCs w:val="15"/>
                <w:color w:val="auto"/>
              </w:rPr>
            </w:pPr>
          </w:p>
        </w:tc>
        <w:tc>
          <w:tcPr>
            <w:tcW w:w="1060" w:type="dxa"/>
            <w:vAlign w:val="bottom"/>
          </w:tcPr>
          <w:p>
            <w:pPr>
              <w:jc w:val="center"/>
              <w:ind w:right="172"/>
              <w:spacing w:after="0" w:line="176" w:lineRule="exact"/>
              <w:rPr>
                <w:sz w:val="20"/>
                <w:szCs w:val="20"/>
                <w:color w:val="auto"/>
              </w:rPr>
            </w:pPr>
            <w:r>
              <w:rPr>
                <w:rFonts w:ascii="Arial" w:cs="Arial" w:eastAsia="Arial" w:hAnsi="Arial"/>
                <w:sz w:val="16"/>
                <w:szCs w:val="16"/>
                <w:b w:val="1"/>
                <w:bCs w:val="1"/>
                <w:color w:val="auto"/>
                <w:w w:val="86"/>
              </w:rPr>
              <w:t>Swaps</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July 1, 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(44,813)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1,105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(29,867)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(28,762)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rPr>
              <w:t xml:space="preserve">278 </w:t>
            </w:r>
            <w:r>
              <w:rPr>
                <w:rFonts w:ascii="Arial" w:cs="Arial" w:eastAsia="Arial" w:hAnsi="Arial"/>
                <w:sz w:val="11"/>
                <w:szCs w:val="11"/>
                <w:color w:val="auto"/>
              </w:rPr>
              <w:t>(a)</w:t>
            </w:r>
          </w:p>
        </w:tc>
        <w:tc>
          <w:tcPr>
            <w:tcW w:w="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vMerge w:val="continue"/>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vMerge w:val="continue"/>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1,383</w:t>
            </w: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(29,867)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(28,484)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(43,430)</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(105,952)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4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2021</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(44,143)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(93,842)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b w:val="1"/>
                <w:bCs w:val="1"/>
                <w:color w:val="auto"/>
              </w:rPr>
              <w:t xml:space="preserve">837 </w:t>
            </w:r>
            <w:r>
              <w:rPr>
                <w:rFonts w:ascii="Arial" w:cs="Arial" w:eastAsia="Arial" w:hAnsi="Arial"/>
                <w:sz w:val="11"/>
                <w:szCs w:val="11"/>
                <w:color w:val="auto"/>
              </w:rPr>
              <w:t>(a)</w:t>
            </w:r>
          </w:p>
        </w:tc>
        <w:tc>
          <w:tcPr>
            <w:tcW w:w="20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vMerge w:val="continue"/>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vMerge w:val="continue"/>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713</w:t>
            </w: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(12,110)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(43,430)</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(105,952)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1"/>
              </w:rPr>
              <w:t>Defined</w:t>
            </w:r>
          </w:p>
        </w:tc>
        <w:tc>
          <w:tcPr>
            <w:tcW w:w="20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24"/>
                <w:szCs w:val="24"/>
                <w:color w:val="auto"/>
              </w:rPr>
            </w:pPr>
          </w:p>
        </w:tc>
        <w:tc>
          <w:tcPr>
            <w:tcW w:w="1060" w:type="dxa"/>
            <w:vAlign w:val="bottom"/>
          </w:tcPr>
          <w:p>
            <w:pPr>
              <w:jc w:val="center"/>
              <w:ind w:right="192"/>
              <w:spacing w:after="0"/>
              <w:rPr>
                <w:sz w:val="20"/>
                <w:szCs w:val="20"/>
                <w:color w:val="auto"/>
              </w:rPr>
            </w:pPr>
            <w:r>
              <w:rPr>
                <w:rFonts w:ascii="Arial" w:cs="Arial" w:eastAsia="Arial" w:hAnsi="Arial"/>
                <w:sz w:val="16"/>
                <w:szCs w:val="16"/>
                <w:b w:val="1"/>
                <w:bCs w:val="1"/>
                <w:color w:val="auto"/>
                <w:w w:val="93"/>
              </w:rPr>
              <w:t>Interest</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2"/>
              </w:rPr>
              <w:t>Benefit</w:t>
            </w: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6"/>
                <w:szCs w:val="16"/>
                <w:color w:val="auto"/>
              </w:rPr>
            </w:pPr>
          </w:p>
        </w:tc>
        <w:tc>
          <w:tcPr>
            <w:tcW w:w="1060" w:type="dxa"/>
            <w:vAlign w:val="bottom"/>
          </w:tcPr>
          <w:p>
            <w:pPr>
              <w:jc w:val="center"/>
              <w:ind w:right="172"/>
              <w:spacing w:after="0"/>
              <w:rPr>
                <w:sz w:val="20"/>
                <w:szCs w:val="20"/>
                <w:color w:val="auto"/>
              </w:rPr>
            </w:pPr>
            <w:r>
              <w:rPr>
                <w:rFonts w:ascii="Arial" w:cs="Arial" w:eastAsia="Arial" w:hAnsi="Arial"/>
                <w:sz w:val="16"/>
                <w:szCs w:val="16"/>
                <w:b w:val="1"/>
                <w:bCs w:val="1"/>
                <w:color w:val="auto"/>
                <w:w w:val="92"/>
              </w:rPr>
              <w:t>Rate</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40" w:type="dxa"/>
            <w:vAlign w:val="bottom"/>
          </w:tcPr>
          <w:p>
            <w:pPr>
              <w:spacing w:after="0"/>
              <w:rPr>
                <w:sz w:val="15"/>
                <w:szCs w:val="15"/>
                <w:color w:val="auto"/>
              </w:rPr>
            </w:pPr>
          </w:p>
        </w:tc>
        <w:tc>
          <w:tcPr>
            <w:tcW w:w="1400" w:type="dxa"/>
            <w:vAlign w:val="bottom"/>
            <w:gridSpan w:val="2"/>
          </w:tcPr>
          <w:p>
            <w:pPr>
              <w:jc w:val="center"/>
              <w:ind w:right="580"/>
              <w:spacing w:after="0" w:line="176" w:lineRule="exact"/>
              <w:rPr>
                <w:sz w:val="20"/>
                <w:szCs w:val="20"/>
                <w:color w:val="auto"/>
              </w:rPr>
            </w:pPr>
            <w:r>
              <w:rPr>
                <w:rFonts w:ascii="Arial" w:cs="Arial" w:eastAsia="Arial" w:hAnsi="Arial"/>
                <w:sz w:val="16"/>
                <w:szCs w:val="16"/>
                <w:b w:val="1"/>
                <w:bCs w:val="1"/>
                <w:color w:val="auto"/>
                <w:w w:val="88"/>
              </w:rPr>
              <w:t>Plans</w:t>
            </w:r>
          </w:p>
        </w:tc>
        <w:tc>
          <w:tcPr>
            <w:tcW w:w="200" w:type="dxa"/>
            <w:vAlign w:val="bottom"/>
          </w:tcPr>
          <w:p>
            <w:pPr>
              <w:spacing w:after="0"/>
              <w:rPr>
                <w:sz w:val="15"/>
                <w:szCs w:val="15"/>
                <w:color w:val="auto"/>
              </w:rPr>
            </w:pPr>
          </w:p>
        </w:tc>
        <w:tc>
          <w:tcPr>
            <w:tcW w:w="1220" w:type="dxa"/>
            <w:vAlign w:val="bottom"/>
            <w:gridSpan w:val="2"/>
          </w:tcPr>
          <w:p>
            <w:pPr>
              <w:jc w:val="center"/>
              <w:ind w:right="300"/>
              <w:spacing w:after="0" w:line="176" w:lineRule="exact"/>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5"/>
                <w:szCs w:val="15"/>
                <w:color w:val="auto"/>
              </w:rPr>
            </w:pPr>
          </w:p>
        </w:tc>
        <w:tc>
          <w:tcPr>
            <w:tcW w:w="1060" w:type="dxa"/>
            <w:vAlign w:val="bottom"/>
          </w:tcPr>
          <w:p>
            <w:pPr>
              <w:jc w:val="center"/>
              <w:ind w:right="172"/>
              <w:spacing w:after="0" w:line="176" w:lineRule="exact"/>
              <w:rPr>
                <w:sz w:val="20"/>
                <w:szCs w:val="20"/>
                <w:color w:val="auto"/>
              </w:rPr>
            </w:pPr>
            <w:r>
              <w:rPr>
                <w:rFonts w:ascii="Arial" w:cs="Arial" w:eastAsia="Arial" w:hAnsi="Arial"/>
                <w:sz w:val="16"/>
                <w:szCs w:val="16"/>
                <w:b w:val="1"/>
                <w:bCs w:val="1"/>
                <w:color w:val="auto"/>
                <w:w w:val="86"/>
              </w:rPr>
              <w:t>Swaps</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July 1, 2020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6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2"/>
                <w:szCs w:val="12"/>
                <w:color w:val="auto"/>
                <w:w w:val="81"/>
              </w:rPr>
              <w:t>(b)</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3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1560" w:type="dxa"/>
            <w:vAlign w:val="bottom"/>
            <w:tcBorders>
              <w:bottom w:val="single" w:sz="8" w:color="CCEEFF"/>
            </w:tcBorders>
          </w:tcPr>
          <w:p>
            <w:pPr>
              <w:spacing w:after="0"/>
              <w:rPr>
                <w:sz w:val="9"/>
                <w:szCs w:val="9"/>
                <w:color w:val="auto"/>
              </w:rPr>
            </w:pPr>
          </w:p>
        </w:tc>
        <w:tc>
          <w:tcPr>
            <w:tcW w:w="364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060" w:type="dxa"/>
            <w:vAlign w:val="bottom"/>
            <w:tcBorders>
              <w:top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1060" w:type="dxa"/>
            <w:vAlign w:val="bottom"/>
            <w:tcBorders>
              <w:top w:val="single" w:sz="8" w:color="auto"/>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top w:val="single" w:sz="8" w:color="auto"/>
              <w:bottom w:val="single" w:sz="8" w:color="auto"/>
            </w:tcBorders>
          </w:tcPr>
          <w:p>
            <w:pPr>
              <w:spacing w:after="0"/>
              <w:rPr>
                <w:sz w:val="9"/>
                <w:szCs w:val="9"/>
                <w:color w:val="auto"/>
              </w:rPr>
            </w:pPr>
          </w:p>
        </w:tc>
        <w:tc>
          <w:tcPr>
            <w:tcW w:w="1020" w:type="dxa"/>
            <w:vAlign w:val="bottom"/>
            <w:tcBorders>
              <w:top w:val="single" w:sz="8" w:color="auto"/>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2"/>
          </w:tcPr>
          <w:p>
            <w:pPr>
              <w:ind w:left="50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6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2"/>
                <w:szCs w:val="12"/>
                <w:color w:val="auto"/>
                <w:w w:val="81"/>
              </w:rPr>
              <w:t>(b)</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September 30,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00" w:right="240" w:hanging="492"/>
        <w:spacing w:after="0" w:line="258" w:lineRule="auto"/>
        <w:tabs>
          <w:tab w:leader="none" w:pos="497"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defined benefit pension plans, amounts reclassified from accumulated other comprehensive income (loss) are recorded to “Other income, net” within the Consolidated Statements of Operations and Comprehensive Income (Loss).</w:t>
      </w:r>
    </w:p>
    <w:p>
      <w:pPr>
        <w:spacing w:after="0" w:line="1" w:lineRule="exact"/>
        <w:rPr>
          <w:rFonts w:ascii="Arial" w:cs="Arial" w:eastAsia="Arial" w:hAnsi="Arial"/>
          <w:sz w:val="18"/>
          <w:szCs w:val="18"/>
          <w:color w:val="auto"/>
        </w:rPr>
      </w:pPr>
    </w:p>
    <w:p>
      <w:pPr>
        <w:ind w:left="500" w:right="80" w:hanging="492"/>
        <w:spacing w:after="0" w:line="260" w:lineRule="auto"/>
        <w:tabs>
          <w:tab w:leader="none" w:pos="4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interest rate swaps, amounts reclassified from accumulated other comprehensive income (loss) are recorded to “Interest expense, net” within the Consolidated Statements of Operations and Comprehensive Income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Pre-IPO Awards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Restricted stock distributed in respect of pre-IPO Class B-1 time vesting units vests on a daily basis pro rata over a five-year vesting period (20% per year) beginning on the original vesting commencement date of the corresponding Class B-1 time vesting units, subject to the grantee’s continued services through each vesting date. Upon the occurrence of a change in control</w:t>
      </w:r>
    </w:p>
    <w:p>
      <w:pPr>
        <w:sectPr>
          <w:pgSz w:w="11900" w:h="16838" w:orient="portrait"/>
          <w:cols w:equalWidth="0" w:num="1">
            <w:col w:w="11240"/>
          </w:cols>
          <w:pgMar w:left="320" w:top="134" w:right="339" w:bottom="966"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966"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of the Company, all then outstanding unvested shares of our common stock distributed in respect of Class B-1 Units will become vested as of the date of consummation of such change in control, subject to the grantee’s continued services through the consummation of the change in control.</w:t>
      </w:r>
    </w:p>
    <w:p>
      <w:pPr>
        <w:spacing w:after="0" w:line="14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Restricted stock distributed in respect of pre-IPO Class B-2 Units (which were considered performance vesting units) are scheduled to vest only upon satisfaction of certain thresholds. These units generally vest as of the first date on which (i) our Sponsors have received actual cash proceeds in an amount equal to or in excess of at least two and one-half times their invested capital in Sotera Health Topco Parent, L.P. (of which the Company was a direct wholly owned subsidiary prior to the IPO) and (ii) the Sponsors’ internal rate of return exceeds twenty percent, subject to such grantee’s continued services through such date. In the event of a change in control of the Company, any outstanding shares of our common stock distributed in respect of Class B-2 Units that remain unvested immediately following the consummation of such a change in control of the Company shall be immediately canceled and forfeited without compensation. Stock based compensation expense attributed to the pre-IPO Class B-2 awards was recorded in the fourth quarter of 2020 as the related performance conditions were considered probable of achievement and the implied service conditions were met. As of September 30, 2021, these awards remain unvested.</w:t>
      </w:r>
    </w:p>
    <w:p>
      <w:pPr>
        <w:spacing w:after="0" w:line="1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recognized $0.7 million and $0.9 million of share-based compensation expense related to the pre-IPO Class B-1 awards for the three months ended September 30, 2021 and 2020, and $2.0 million and $4.0 million for the nine months ended September 30, 2021 and 2020, respectively.</w:t>
      </w:r>
    </w:p>
    <w:p>
      <w:pPr>
        <w:spacing w:after="0" w:line="1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summary of the activity for the nine months ended September 30, 2021 related to the restricted stock awards distributed to the Company service providers in respect of the pre-IPO awards (Class B-1 and B-2 Units)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Restricted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Stock - Pre-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Stock - Pre-</w:t>
            </w:r>
          </w:p>
        </w:tc>
      </w:tr>
      <w:tr>
        <w:trPr>
          <w:trHeight w:val="186"/>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IPO B-1</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IPO B-2</w:t>
            </w:r>
          </w:p>
        </w:tc>
      </w:tr>
      <w:tr>
        <w:trPr>
          <w:trHeight w:val="25"/>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2,201,239</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2,323,333</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Pr>
          <w:p>
            <w:pPr>
              <w:jc w:val="right"/>
              <w:spacing w:after="0"/>
              <w:rPr>
                <w:sz w:val="20"/>
                <w:szCs w:val="20"/>
                <w:color w:val="auto"/>
              </w:rPr>
            </w:pPr>
            <w:r>
              <w:rPr>
                <w:rFonts w:ascii="Arial" w:cs="Arial" w:eastAsia="Arial" w:hAnsi="Arial"/>
                <w:sz w:val="18"/>
                <w:szCs w:val="18"/>
                <w:color w:val="auto"/>
              </w:rPr>
              <w:t>(43,361)</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(284,850)</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(757,636)</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Unvested at September 30, 2021</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1,400,242</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2,038,483</w:t>
            </w:r>
          </w:p>
        </w:tc>
      </w:tr>
      <w:tr>
        <w:trPr>
          <w:trHeight w:val="20"/>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maintain a long-term incentive plan (the “2020 Omnibus Incentive Plan” or the “2020 Plan”) that allows for grants of incentive stock options to employees (including employees of any of our subsidiaries), nonstatutory stock options, restricted stock awards (“RSAs”), restricted stock units (“RSUs”) and other cash-based, equity-based or equity-related awards to employees, directors, and consultants, including employees or consultants of our subsidiaries.</w:t>
      </w:r>
    </w:p>
    <w:p>
      <w:pPr>
        <w:spacing w:after="0" w:line="18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recognized $2.9 million ($1.3 million for stock options and $1.6 million for RSUs) of share-based compensation expense for these awards for the three months ended September 30, 2021, and $8.5 million ($3.9 million for stock options and $4.6 million for RSUs) for the nine months ended September 30, 2021 in our Consolidated Statements of Operations and Comprehensive Income (Loss), in “Selling, general and administrative expenses.”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Stock options have a four-year vesting period, an exercise price equal to the fair market value of a share of common stock on the date of grant, and a contractual term of 10 years. The following table summarizes our stock option activity for the nine months ended September 30,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28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r>
      <w:tr>
        <w:trPr>
          <w:trHeight w:val="186"/>
        </w:trPr>
        <w:tc>
          <w:tcPr>
            <w:tcW w:w="82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Exercise Price</w:t>
            </w:r>
          </w:p>
        </w:tc>
      </w:tr>
      <w:tr>
        <w:trPr>
          <w:trHeight w:val="26"/>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 December 31,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2,389,258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38,176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24.70</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At September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2,402,756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were no stock options vested or exercisable.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RSUs generally vest ratably over a period of one to four years and are valued based on our market price on the date of grant. The following table summarizes our unvested RSUs activity for the nine months ended September 30,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average Grant</w:t>
            </w:r>
          </w:p>
        </w:tc>
      </w:tr>
      <w:tr>
        <w:trPr>
          <w:trHeight w:val="162"/>
        </w:trPr>
        <w:tc>
          <w:tcPr>
            <w:tcW w:w="828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Date Fair</w:t>
            </w:r>
          </w:p>
        </w:tc>
      </w:tr>
      <w:tr>
        <w:trPr>
          <w:trHeight w:val="186"/>
        </w:trPr>
        <w:tc>
          <w:tcPr>
            <w:tcW w:w="8280" w:type="dxa"/>
            <w:vAlign w:val="bottom"/>
          </w:tcPr>
          <w:p>
            <w:pPr>
              <w:spacing w:after="0"/>
              <w:rPr>
                <w:sz w:val="16"/>
                <w:szCs w:val="16"/>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24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Value</w:t>
            </w:r>
          </w:p>
        </w:tc>
      </w:tr>
      <w:tr>
        <w:trPr>
          <w:trHeight w:val="25"/>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4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8"/>
              </w:rPr>
              <w:t>771,276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40" w:type="dxa"/>
            <w:vAlign w:val="bottom"/>
          </w:tcPr>
          <w:p>
            <w:pPr>
              <w:ind w:left="780"/>
              <w:spacing w:after="0"/>
              <w:rPr>
                <w:sz w:val="20"/>
                <w:szCs w:val="20"/>
                <w:color w:val="auto"/>
              </w:rPr>
            </w:pPr>
            <w:r>
              <w:rPr>
                <w:rFonts w:ascii="Arial" w:cs="Arial" w:eastAsia="Arial" w:hAnsi="Arial"/>
                <w:sz w:val="18"/>
                <w:szCs w:val="18"/>
                <w:color w:val="auto"/>
                <w:w w:val="98"/>
              </w:rPr>
              <w:t>108,255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24.17</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2"/>
              </w:rPr>
              <w:t>(18,798)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43"/>
        </w:trPr>
        <w:tc>
          <w:tcPr>
            <w:tcW w:w="8280" w:type="dxa"/>
            <w:vAlign w:val="bottom"/>
          </w:tcPr>
          <w:p>
            <w:pPr>
              <w:ind w:left="240"/>
              <w:spacing w:after="0"/>
              <w:rPr>
                <w:sz w:val="20"/>
                <w:szCs w:val="20"/>
                <w:color w:val="auto"/>
              </w:rPr>
            </w:pPr>
            <w:r>
              <w:rPr>
                <w:rFonts w:ascii="Arial" w:cs="Arial" w:eastAsia="Arial" w:hAnsi="Arial"/>
                <w:sz w:val="18"/>
                <w:szCs w:val="18"/>
                <w:color w:val="auto"/>
              </w:rPr>
              <w:t>Vested</w:t>
            </w:r>
          </w:p>
        </w:tc>
        <w:tc>
          <w:tcPr>
            <w:tcW w:w="1440" w:type="dxa"/>
            <w:vAlign w:val="bottom"/>
          </w:tcPr>
          <w:p>
            <w:pPr>
              <w:ind w:left="800"/>
              <w:spacing w:after="0"/>
              <w:rPr>
                <w:sz w:val="20"/>
                <w:szCs w:val="20"/>
                <w:color w:val="auto"/>
              </w:rPr>
            </w:pPr>
            <w:r>
              <w:rPr>
                <w:rFonts w:ascii="Arial" w:cs="Arial" w:eastAsia="Arial" w:hAnsi="Arial"/>
                <w:sz w:val="18"/>
                <w:szCs w:val="18"/>
                <w:color w:val="auto"/>
                <w:w w:val="92"/>
              </w:rPr>
              <w:t>(46,952)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September 30, 2021</w:t>
            </w:r>
          </w:p>
        </w:tc>
        <w:tc>
          <w:tcPr>
            <w:tcW w:w="14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w w:val="98"/>
              </w:rPr>
              <w:t>813,781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represents the amount of income attributable to each common share outstanding. Diluted earnings per share represents the amount of income attributable to each common share outstanding adjusted for the effects of potentially dilutive common shares. Potentially dilutive common shares include stock options and other stock-based awards. In the periods where the effect would be antidilutive, potentially dilutive common shares are excluded from the calculation of diluted earnings per share.</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periods in which the Company has net income, earnings per share is calculated using the two-class method. This method is required as unvested restricted stock distributed in respect of pre-IPO Class B-1 and B-2 awards have the right to receive non-forfeitable dividends or dividend equivalents if the Company were to declare dividends on its common stock. Pursuant to the two-class method, earnings for each period are allocated on a pro-rata basis to common stockholders and unvested pre-IPO Class B-1 and B-2 restricted stock awards. Diluted earnings per share is computed using the more dilutive of (a) the two-class method, or (b) treasury stock method, as applicable, to the potentially dilutive instruments.</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periods in which the Company has a net loss, the two-class method is not applicable because the pre-IPO Class B-1 and B-2 restricted stock awards do not participate in losses.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Our basic and diluted earnings per common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44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in thousands of U.S. dollars and share amounts (except per share amounts)</w:t>
            </w:r>
          </w:p>
        </w:tc>
        <w:tc>
          <w:tcPr>
            <w:tcW w:w="120" w:type="dxa"/>
            <w:vAlign w:val="bottom"/>
          </w:tcPr>
          <w:p>
            <w:pPr>
              <w:spacing w:after="0"/>
              <w:rPr>
                <w:sz w:val="13"/>
                <w:szCs w:val="13"/>
                <w:color w:val="auto"/>
              </w:rPr>
            </w:pPr>
          </w:p>
        </w:tc>
        <w:tc>
          <w:tcPr>
            <w:tcW w:w="98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35"/>
              <w:spacing w:after="0" w:line="15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34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27,444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81,124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Less: Allocation to participating securities</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Sotera Health Company common shareholders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27,101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79,796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Weighted Average Common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basic</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279,381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279,097</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Dilutive effect of potential common shares</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CCEEFF"/>
            </w:tcBorders>
            <w:shd w:val="clear" w:color="auto" w:fill="CCEEFF"/>
          </w:tcPr>
          <w:p>
            <w:pPr>
              <w:spacing w:after="0"/>
              <w:rPr>
                <w:sz w:val="24"/>
                <w:szCs w:val="24"/>
                <w:color w:val="auto"/>
              </w:rPr>
            </w:pPr>
          </w:p>
        </w:tc>
        <w:tc>
          <w:tcPr>
            <w:tcW w:w="6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Weighted-average common shares outstanding - diluted</w:t>
            </w:r>
            <w:r>
              <w:rPr>
                <w:rFonts w:ascii="Arial" w:cs="Arial" w:eastAsia="Arial" w:hAnsi="Arial"/>
                <w:sz w:val="23"/>
                <w:szCs w:val="23"/>
                <w:color w:val="auto"/>
                <w:vertAlign w:val="superscript"/>
              </w:rPr>
              <w:t>(a)</w:t>
            </w: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279,560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279,253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Net income per common share attributable to Sotera Health Company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shareholders - basic</w:t>
            </w: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w w:val="99"/>
              </w:rPr>
              <w:t>Net income per common share attributable to Sotera Health Company common</w:t>
            </w:r>
          </w:p>
        </w:tc>
        <w:tc>
          <w:tcPr>
            <w:tcW w:w="12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gridSpan w:val="2"/>
          </w:tcPr>
          <w:p>
            <w:pPr>
              <w:ind w:left="500"/>
              <w:spacing w:after="0"/>
              <w:rPr>
                <w:sz w:val="20"/>
                <w:szCs w:val="20"/>
                <w:color w:val="auto"/>
              </w:rPr>
            </w:pPr>
            <w:r>
              <w:rPr>
                <w:rFonts w:ascii="Arial" w:cs="Arial" w:eastAsia="Arial" w:hAnsi="Arial"/>
                <w:sz w:val="18"/>
                <w:szCs w:val="18"/>
                <w:color w:val="auto"/>
              </w:rPr>
              <w:t>shareholders - diluted</w:t>
            </w: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00" w:right="40" w:hanging="492"/>
        <w:spacing w:after="0" w:line="317" w:lineRule="auto"/>
        <w:tabs>
          <w:tab w:leader="none" w:pos="494" w:val="left"/>
        </w:tabs>
        <w:numPr>
          <w:ilvl w:val="0"/>
          <w:numId w:val="14"/>
        </w:numPr>
        <w:rPr>
          <w:rFonts w:ascii="Arial" w:cs="Arial" w:eastAsia="Arial" w:hAnsi="Arial"/>
          <w:sz w:val="13"/>
          <w:szCs w:val="13"/>
          <w:color w:val="auto"/>
        </w:rPr>
      </w:pPr>
      <w:r>
        <w:rPr>
          <w:rFonts w:ascii="Arial" w:cs="Arial" w:eastAsia="Arial" w:hAnsi="Arial"/>
          <w:sz w:val="12"/>
          <w:szCs w:val="12"/>
          <w:color w:val="auto"/>
        </w:rPr>
        <w:t>A</w:t>
      </w:r>
      <w:r>
        <w:rPr>
          <w:rFonts w:ascii="Arial" w:cs="Arial" w:eastAsia="Arial" w:hAnsi="Arial"/>
          <w:sz w:val="13"/>
          <w:szCs w:val="13"/>
          <w:color w:val="auto"/>
        </w:rPr>
        <w:t>n additional 2,402,798 and 4,713 equivalent shares related to stock options and RSUs, respectively, issued in connection with the 2020 Omnibus Incentive Plan were</w:t>
      </w:r>
      <w:r>
        <w:rPr>
          <w:rFonts w:ascii="Arial" w:cs="Arial" w:eastAsia="Arial" w:hAnsi="Arial"/>
          <w:sz w:val="12"/>
          <w:szCs w:val="12"/>
          <w:color w:val="auto"/>
        </w:rPr>
        <w:t xml:space="preserve"> </w:t>
      </w:r>
      <w:r>
        <w:rPr>
          <w:rFonts w:ascii="Arial" w:cs="Arial" w:eastAsia="Arial" w:hAnsi="Arial"/>
          <w:sz w:val="13"/>
          <w:szCs w:val="13"/>
          <w:color w:val="auto"/>
        </w:rPr>
        <w:t xml:space="preserve">excluded from the calculation of diluted weighted average common shares outstanding for </w:t>
      </w:r>
      <w:r>
        <w:rPr>
          <w:rFonts w:ascii="Arial" w:cs="Arial" w:eastAsia="Arial" w:hAnsi="Arial"/>
          <w:sz w:val="12"/>
          <w:szCs w:val="12"/>
          <w:color w:val="auto"/>
        </w:rPr>
        <w:t>the three months ended September 30, 2021 and 2,399,054 and 6,749 for the nine months</w:t>
      </w:r>
      <w:r>
        <w:rPr>
          <w:rFonts w:ascii="Arial" w:cs="Arial" w:eastAsia="Arial" w:hAnsi="Arial"/>
          <w:sz w:val="13"/>
          <w:szCs w:val="13"/>
          <w:color w:val="auto"/>
        </w:rPr>
        <w:t xml:space="preserve"> </w:t>
      </w:r>
      <w:r>
        <w:rPr>
          <w:rFonts w:ascii="Arial" w:cs="Arial" w:eastAsia="Arial" w:hAnsi="Arial"/>
          <w:sz w:val="12"/>
          <w:szCs w:val="12"/>
          <w:color w:val="auto"/>
        </w:rPr>
        <w:t>ended September 30, 2021, as they were anti-dilutive</w:t>
      </w:r>
      <w:r>
        <w:rPr>
          <w:rFonts w:ascii="Arial" w:cs="Arial" w:eastAsia="Arial" w:hAnsi="Arial"/>
          <w:sz w:val="13"/>
          <w:szCs w:val="13"/>
          <w:color w:val="auto"/>
        </w:rPr>
        <w:t>. For the three and nine months ended September 30, 2020, there were no potentially dilutive common shares outstanding.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as well as gain contingencies,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establish reserves for specific liabilities in connection with regulatory and legal actions that we determine to be both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adverse effects on our business,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March 30, 2020, Nordion received a favorable judgment in the amount of $25.0 million USD, plus pre-judgment interest, for a total judgment value of $39.8 million USD, or $56.4 million CAD based on exchange rates approved by the trial court. In addition, costs and disbursements were assessed and awarded by the trial court in favor of Nordion in the approximate amount of $1.3 million CAD ($1.0 million USD). FM Global appealed the judgment. On September 3, 2021 the Court of Appeal ruled in favor of FM Global, setting aside the trial court decision, denying insurance coverage to Nordion, and awarding costs and</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disbursements to FM Global (which remain under assessment by the court). In addition, the Court of Appeal set aside the costs and disbursements previously awarded to Nordion by the trial court. On October 21, 2021 Nordion filed an Application for Leave to Appeal in the Supreme Court of Canada.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Sotera Health LLC, Sterigenics U.S., LLC, GTCR, LLC and other parties are defending personal injury lawsuits related to Sterigenics’ Willowbrook, Illinois operations. Specifically, approximately 770 plaintiffs allege that they suffered personal injuries including cancer and other diseases, or wrongful death, resulting from purported emissions and releases of ethylene oxide (“EO”) from the Willowbrook facility. Additional derivative claims are alleged on behalf of other individuals related to these personal injury plaintiffs. Plaintiffs seek damages in an amount to be determined by the trier of fact. Sterigenics denies these allegations and intends to vigorously defend against these claims. These personal injury lawsuits began to be filed in September 2018, and most of the pending cases were filed before August 21, 2020, the second anniversary of the publication of governmental reports alleging health risks related to the Willowbrook facility. In October 2019 the lawsuits were consolidated for pre-trial purposes by the Cook County Circuit Court, Illinois (the “Consolidated Case”).</w:t>
      </w:r>
    </w:p>
    <w:p>
      <w:pPr>
        <w:spacing w:after="0" w:line="19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All plaintiffs in the Consolidated Case filed an Amended Master Complaint on April 16, 2021, including claims against Griffith Foods International, Inc. (“Griffith”). Griffith filed a motion to dismiss and all other defendants filed answers to the Complaint. The answer of Sterigenics included counterclaims for contribution against Griffith. Plaintiffs have not yet made any specific damages 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Written and deposition fact discovery in the Consolidated Case is scheduled to conclude by February 1, 2022.</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Trials in three of the individual cases included in the Consolidated Case have been scheduled for July 18, 2022, September 12, 2022 and November 7,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Sotera Health LLC, Sterigenics U.S., LLC and other parties are being defended and indemnified in a lawsuit filed on May 19, 2020 in the State Court of Cobb County, Georgia by 53 employees of a contract sterilization customer of Sterigenics (“Indemnitor”). Plaintiffs claim personal injuries resulting from alleged exposure to residual EO while working at the Indemnitor’s distribution center in Lithia Springs, Georgia, allege they were unaware that they were being exposed to EO in Indemnitor’s workplace and seek damages. Discovery is stayed until motions to dismiss the operative complaint are decided.</w:t>
      </w:r>
    </w:p>
    <w:p>
      <w:pPr>
        <w:spacing w:after="0" w:line="1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On February 5, 2021 the Court issued an order finding that Sterigenics lacks standing to obtain the relief sought and dismissed the case. Sterigenics has appealed that decision to the 11th Circuit Court of Appeals.</w:t>
      </w:r>
    </w:p>
    <w:p>
      <w:pPr>
        <w:spacing w:after="0" w:line="1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Since August 17, 2020, 41 plaintiffs have filed lawsuits against Sotera Health LLC, Sterigenics U.S., LLC and other parties in the State Court of Cobb County, Georgia and the State Court of Gwinnett County, Georgia alleging that they suffered personal injuries resulting from emissions and releases of EO from Sterigenics’ Atlanta facility. Additional derivative claims are alleged on behalf of other individuals related to these personal injury plaintiffs. Our subsidiaries are also defendants in two lawsuits alleging that the Atlanta facility has devalued and harmed plaintiffs’ use of real properties they own in Smyrna, Georgia and caused other damages. These personal injury and property devaluation Plaintiffs seek various forms of relief including damages. Ten of the personal injury lawsuits pending in Cobb County have been consolidated for pretrial purposes, governed by a phased case management order pursuant to which general causation issues are scheduled to be determined by November 15, 2022, specific causation issues are scheduled to be determined by March 20, 2023, and one case is scheduled to be trial-ready by July 2023. The remaining personal injury and property devaluation cases are in various early stages of pleadings and motions practice and fact discovery. Additional lawsuits relating to Sterigenics’ Atlanta facility are expected to be filed during November 2021.</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Consent Order Allowing Georgia Facility’s Normal Operations &amp; Related Litigation</w:t>
      </w:r>
    </w:p>
    <w:p>
      <w:pPr>
        <w:spacing w:after="0" w:line="117" w:lineRule="exact"/>
        <w:rPr>
          <w:sz w:val="20"/>
          <w:szCs w:val="20"/>
          <w:color w:val="auto"/>
        </w:rPr>
      </w:pPr>
    </w:p>
    <w:p>
      <w:pPr>
        <w:jc w:val="both"/>
        <w:ind w:right="360"/>
        <w:spacing w:after="0" w:line="287" w:lineRule="auto"/>
        <w:rPr>
          <w:sz w:val="20"/>
          <w:szCs w:val="20"/>
          <w:color w:val="auto"/>
        </w:rPr>
      </w:pPr>
      <w:r>
        <w:rPr>
          <w:rFonts w:ascii="Arial" w:cs="Arial" w:eastAsia="Arial" w:hAnsi="Arial"/>
          <w:sz w:val="16"/>
          <w:szCs w:val="16"/>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Defendants filed a motion to dismiss the claims. On November 9, 2020, the Court held a hearing and denied the motion to dismiss. The parties are conducting discovery, which is scheduled to end in April 2022. A settlement conference is scheduled to be held by April 27,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Ethylene Oxide Litigation – New Mexico</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2020, the New Mexico Attorney General filed a lawsuit in the Third Judicial District Court, Doña Ana County, New Mexico (the “Third Judicial District”) against the Company, Sterigenics U.S., LLC and other subsidiaries alleging that emissions of EO from Sterigenics’ sterilization facility in Santa Teresa, New Mexico constitute a public nuisance and have deteriorated the air quality in Santa Teresa and surrounding communities and materially contributed to increased health risks suffered by residents of those communities. The Complaint asserts claims for public nuisance, negligence, strict liability, violations of New Mexico’s Public Nuisance Statute and Unfair Practices Act and a request for a temporary restraining order and preliminary injunctive relief.</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June 29, 2021, the Court entered an Order Granting Preliminary Injunction (the “Order”). The Order does not require closure of the facility, but prohibits Sterigenics from allowing any uncontrolled emission or release of EO from the facility, including prohibitions on leaving doors open when not in use and allowing EO to escape through point sources prior to filtration or processing through emission controls. Sterigenics promptly took steps to monitor its compliance with the Order. The Order instructed the parties to discuss a protocol to monitor Sterigenics’ compliance and, if agreement could not be reached, to request a hearing so the Court can determine a monitoring protocol and how the costs of monitoring will be paid. In July 2021, the parties conferred but could not reach agreement.</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28, 2021 the Court held a hearing on the parties’ positions on an appropriate protocol to monitor Sterigenics’ compliance with the Order and how the costs of monitoring will be paid. A ruling is expected before January 2022. A motion challenging the Court’s jurisdiction over the Company and certain other defendants has been held in abeyance until the completion of jurisdictional discovery, and all other motions to dismiss have been denied. The parties are conducting fact discovery.</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Before this lawsuit was filed, Sterigenics was working to implement additional emission control enhancements at the Santa Teresa facility to further reduce EO emissions beyond permitted levels. Sterigenics has received the necessary permits from the New Mexico Environment Department and Doña Ana County for implementation of these additional emission control enhancements.</w:t>
      </w:r>
    </w:p>
    <w:p>
      <w:pPr>
        <w:spacing w:after="0" w:line="89"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insurance for litigation related to alleged environmental liabilities, like the litigation pending in Illinois, Georgia and New Mexico described above has limits of $10.0 million per occurrence and $20.0 million in the aggregate. The per occurrence limit related to the Willowbrook, Illinois litigation was fully utilized by June 30, 2020. The remaining $10.0 million limit is currently being utilized for occurrences related to the EO litigation in Georgia and New Mexico described above. As of September 30, 2021, we have utilized approximately $2.2 million of the remaining $10.0 million limit. Our insurance for future alleged environmental liabilities excludes coverage for EO claims.</w:t>
      </w:r>
    </w:p>
    <w:p>
      <w:pPr>
        <w:spacing w:after="0" w:line="18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Additional personal injury, property devaluation or other lawsuits may be filed in the future against us or our subsidiaries relating to Sterigenics’ Willowbrook, Atlanta, Santa Teresa or other EO sterilization facilities. The Company, Sterigenics U.S., LLC and other Company subsidiaries intend to defend themselves vigorously in all such current or future EO litigation.</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While an adverse outcome in one or more of the proceedings could have a material adverse effect on our business, financial condition and results of operations, no contingency reserve has been reflected in our consolidated financial statements as a loss is not deemed probable or a loss or range of losses is not reasonably estimable at this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Financial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in Hedge Relationships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third quarter of 2019, we entered into two interest rate swap agreements to hedge our exposure to interest rate movements and to manage interest expense related to our then outstanding variable-rate debt. The notional amount of the interest rate swap agreements totaled $1,000.0 million. These swaps were designated as cash flow hedges and were designed to hedge the variability of cash flows attributable to changes in LIBOR, the benchmark interest rate being hedged. We received interest at one-month LIBOR and paid a fixed interest rate under the terms of the swap agreement. The swap agreements terminated on August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in Hedge Relationships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2017, we entered into two interest rate cap agreements with a total notional amount of $400.0 million for a total option premium of $0.6 million; these agreements terminated on September 30, 2020. The interest rate caps limited the Company’s cash flow exposure related to LIBOR under the variable rate Term Loan borrowings to 3.0%.</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2020, SHH entered into two interest rate cap agreements with notional amounts of $1,000.0 million and $500.0 million, respectively, for a total option premium of $0.3 million. These instruments were initially scheduled to terminate on August 31, 2021 and February 28, 2022, respectively. The interest rate caps limit our cash flow exposure related to the LIBOR base rate under a portion of our variable rate borrowings to 1.0%. In February 2021, we amended the two interest rate cap agreements referenced above to reduce the strike rate from 1.0% to 0.5%, and extend the termination date of the $1,000.0 million notional cap to September 30, 2021. Premiums paid to amend the interest rate caps were immaterial. We also entered into two additional interest rate cap agreements in February 2021 with a combined notional amount of $1,000.0 million, for a total option premium of $0.4 million. These instruments are effective September 30, 2021, and will terminate on December 31, 2022. The amended and new interest rate caps limit our cash flow exposure related to LIBOR under a portion of our variable rate borrowings to 0.5%.</w:t>
      </w:r>
    </w:p>
    <w:p>
      <w:pPr>
        <w:spacing w:after="0" w:line="1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interest rate caps were entered into to manage economic risks associated with our variable rate borrowings, but were not designated in hedge relationships. These instruments are recorded at fair value on the Consolidated Balance Sheets, with any changes in the value being recorded in “Interest expense, net” in the Consolidated Statements of Operations and Comprehensive Income (Loss).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also entered into foreign currency forward contracts to manage foreign currency exchange rate risk of our intercompany loans in certain of our international subsidiaries. The foreign currency forward contracts expire on a monthly basis. The fair value of the outstanding foreign currency forward contracts was zero as of September 30,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notional and fair values of our derivative instruments: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September 30, 2021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 2020</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U.S. Dollars; notional in millions, fair value in thousands)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ind w:left="66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3"/>
          </w:tcPr>
          <w:p>
            <w:pPr>
              <w:jc w:val="right"/>
              <w:ind w:right="714"/>
              <w:spacing w:after="0"/>
              <w:rPr>
                <w:sz w:val="20"/>
                <w:szCs w:val="20"/>
                <w:color w:val="auto"/>
              </w:rPr>
            </w:pPr>
            <w:r>
              <w:rPr>
                <w:rFonts w:ascii="Arial" w:cs="Arial" w:eastAsia="Arial" w:hAnsi="Arial"/>
                <w:sz w:val="16"/>
                <w:szCs w:val="16"/>
                <w:b w:val="1"/>
                <w:bCs w:val="1"/>
                <w:color w:val="auto"/>
              </w:rPr>
              <w:t>Fair Value</w:t>
            </w: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94"/>
              <w:spacing w:after="0"/>
              <w:rPr>
                <w:sz w:val="20"/>
                <w:szCs w:val="20"/>
                <w:color w:val="auto"/>
              </w:rPr>
            </w:pPr>
            <w:r>
              <w:rPr>
                <w:rFonts w:ascii="Arial" w:cs="Arial" w:eastAsia="Arial" w:hAnsi="Arial"/>
                <w:sz w:val="16"/>
                <w:szCs w:val="16"/>
                <w:b w:val="1"/>
                <w:bCs w:val="1"/>
                <w:color w:val="auto"/>
                <w:w w:val="96"/>
              </w:rPr>
              <w:t>Notional</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95"/>
              <w:spacing w:after="0"/>
              <w:rPr>
                <w:sz w:val="20"/>
                <w:szCs w:val="20"/>
                <w:color w:val="auto"/>
              </w:rPr>
            </w:pPr>
            <w:r>
              <w:rPr>
                <w:rFonts w:ascii="Arial" w:cs="Arial" w:eastAsia="Arial" w:hAnsi="Arial"/>
                <w:sz w:val="16"/>
                <w:szCs w:val="16"/>
                <w:b w:val="1"/>
                <w:bCs w:val="1"/>
                <w:color w:val="auto"/>
                <w:w w:val="96"/>
              </w:rPr>
              <w:t>Derivative</w:t>
            </w:r>
          </w:p>
        </w:tc>
        <w:tc>
          <w:tcPr>
            <w:tcW w:w="20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7"/>
                <w:szCs w:val="17"/>
                <w:color w:val="auto"/>
              </w:rPr>
            </w:pPr>
          </w:p>
        </w:tc>
        <w:tc>
          <w:tcPr>
            <w:tcW w:w="880" w:type="dxa"/>
            <w:vAlign w:val="bottom"/>
          </w:tcPr>
          <w:p>
            <w:pPr>
              <w:jc w:val="right"/>
              <w:ind w:right="134"/>
              <w:spacing w:after="0"/>
              <w:rPr>
                <w:sz w:val="20"/>
                <w:szCs w:val="20"/>
                <w:color w:val="auto"/>
              </w:rPr>
            </w:pPr>
            <w:r>
              <w:rPr>
                <w:rFonts w:ascii="Arial" w:cs="Arial" w:eastAsia="Arial" w:hAnsi="Arial"/>
                <w:sz w:val="16"/>
                <w:szCs w:val="16"/>
                <w:b w:val="1"/>
                <w:bCs w:val="1"/>
                <w:color w:val="auto"/>
                <w:w w:val="99"/>
              </w:rPr>
              <w:t>Notional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175"/>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96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Derivative</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114"/>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55"/>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175"/>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Arial" w:cs="Arial" w:eastAsia="Arial" w:hAnsi="Arial"/>
                <w:sz w:val="16"/>
                <w:szCs w:val="16"/>
                <w:b w:val="1"/>
                <w:bCs w:val="1"/>
                <w:color w:val="auto"/>
              </w:rPr>
              <w:t>Liabilities</w:t>
            </w:r>
          </w:p>
        </w:tc>
      </w:tr>
      <w:tr>
        <w:trPr>
          <w:trHeight w:val="250"/>
        </w:trPr>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8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Derivatives not designated as hedging instruments: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2,500.0</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w w:val="81"/>
              </w:rPr>
              <w:t>(a)</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75"/>
              <w:spacing w:after="0"/>
              <w:rPr>
                <w:sz w:val="20"/>
                <w:szCs w:val="20"/>
                <w:color w:val="auto"/>
              </w:rPr>
            </w:pPr>
            <w:r>
              <w:rPr>
                <w:rFonts w:ascii="Arial" w:cs="Arial" w:eastAsia="Arial" w:hAnsi="Arial"/>
                <w:sz w:val="18"/>
                <w:szCs w:val="18"/>
                <w:b w:val="1"/>
                <w:bCs w:val="1"/>
                <w:color w:val="auto"/>
              </w:rPr>
              <w:t>201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Embedded derivatives</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2"/>
                <w:szCs w:val="12"/>
                <w:b w:val="1"/>
                <w:bCs w:val="1"/>
                <w:color w:val="auto"/>
                <w:w w:val="77"/>
              </w:rPr>
              <w:t>(b)</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63"/>
        </w:trPr>
        <w:tc>
          <w:tcPr>
            <w:tcW w:w="20" w:type="dxa"/>
            <w:vAlign w:val="bottom"/>
          </w:tcPr>
          <w:p>
            <w:pPr>
              <w:spacing w:after="0"/>
              <w:rPr>
                <w:sz w:val="22"/>
                <w:szCs w:val="22"/>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2,577.9</w:t>
            </w:r>
          </w:p>
        </w:tc>
        <w:tc>
          <w:tcPr>
            <w:tcW w:w="2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1,583.3</w:t>
            </w:r>
          </w:p>
        </w:tc>
        <w:tc>
          <w:tcPr>
            <w:tcW w:w="2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8"/>
          <w:szCs w:val="18"/>
          <w:color w:val="auto"/>
        </w:rPr>
        <w:t>$1,000.0 million notional amount of interest rate caps terminated on September 30, 2021.</w:t>
      </w:r>
    </w:p>
    <w:p>
      <w:pPr>
        <w:spacing w:after="0" w:line="23" w:lineRule="exact"/>
        <w:rPr>
          <w:rFonts w:ascii="Arial" w:cs="Arial" w:eastAsia="Arial" w:hAnsi="Arial"/>
          <w:sz w:val="16"/>
          <w:szCs w:val="16"/>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total notional amounts for certain of the Company’s supply and sales contracts accounted for as embedded derivatives.</w:t>
      </w:r>
    </w:p>
    <w:p>
      <w:pPr>
        <w:spacing w:after="0" w:line="21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interest rate caps and embedded derivative assets are included in “Prepaid expenses and other current assets” or “Other assets” on the Consolidated Balance Sheets depending upon their respective maturity dates. Embedded derivative liabilities are included in “Accrued liabilities”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activities of our derivative instruments for the periods presented, and the line item they are recorded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600" w:type="dxa"/>
            <w:vAlign w:val="bottom"/>
            <w:tcBorders>
              <w:top w:val="single" w:sz="8" w:color="auto"/>
              <w:bottom w:val="single" w:sz="8" w:color="CCEEFF"/>
            </w:tcBorders>
          </w:tcPr>
          <w:p>
            <w:pPr>
              <w:spacing w:after="0"/>
              <w:rPr>
                <w:sz w:val="2"/>
                <w:szCs w:val="2"/>
                <w:color w:val="auto"/>
              </w:rPr>
            </w:pPr>
          </w:p>
        </w:tc>
        <w:tc>
          <w:tcPr>
            <w:tcW w:w="60" w:type="dxa"/>
            <w:vAlign w:val="bottom"/>
            <w:tcBorders>
              <w:top w:val="single" w:sz="8" w:color="auto"/>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Unrealized (gain) loss on interest rate caps recorded in interest expense, net</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Unrealized (gain) loss on embedded derivatives recorded in other income, net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(1,464)</w:t>
            </w:r>
          </w:p>
        </w:tc>
        <w:tc>
          <w:tcPr>
            <w:tcW w:w="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Realized loss on interest rate swap recorded in interest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Realized (gain) loss on foreign currency forward contracts recorded in foreign exchange loss (gain)</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405"/>
        </w:trPr>
        <w:tc>
          <w:tcPr>
            <w:tcW w:w="2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 September 30,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60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Unrealized loss on interest rate caps recorded in interest expense, net</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Unrealized (gain) loss on embedded derivatives recorded in other income, net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6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Realized loss on interest rate swap recorded in interest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960" w:type="dxa"/>
            <w:vAlign w:val="bottom"/>
            <w:gridSpan w:val="4"/>
          </w:tcPr>
          <w:p>
            <w:pPr>
              <w:spacing w:after="0"/>
              <w:rPr>
                <w:sz w:val="20"/>
                <w:szCs w:val="20"/>
                <w:color w:val="auto"/>
              </w:rPr>
            </w:pPr>
            <w:r>
              <w:rPr>
                <w:rFonts w:ascii="Arial" w:cs="Arial" w:eastAsia="Arial" w:hAnsi="Arial"/>
                <w:sz w:val="18"/>
                <w:szCs w:val="18"/>
                <w:color w:val="auto"/>
              </w:rPr>
              <w:t>Realized (gain) loss on foreign currency forward contracts recorded in foreign exchange loss (gain)</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(1,381)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32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addition, during the three and nine months ended September 30, 2020, we recognized $1.8 million of gains and $0.2 million of losses, net of tax, in accumulated other comprehensive income (loss) related to the change in fair value of the interest rate swaps.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September 30, 2021 and December 31, 2020, accounts receivable was net of an allowance for uncollectible accounts of $1.0 million and $0.7 million, respectively.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ectPr>
          <w:pgSz w:w="11900" w:h="16838" w:orient="portrait"/>
          <w:cols w:equalWidth="0" w:num="1">
            <w:col w:w="11240"/>
          </w:cols>
          <w:pgMar w:left="320" w:top="134"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the fair value of our financial assets and liabilities: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2021</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560" w:type="dxa"/>
            <w:vAlign w:val="bottom"/>
            <w:tcBorders>
              <w:top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22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3"/>
                <w:szCs w:val="13"/>
                <w:color w:val="auto"/>
              </w:rPr>
            </w:pPr>
          </w:p>
        </w:tc>
        <w:tc>
          <w:tcPr>
            <w:tcW w:w="116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0"/>
        </w:trPr>
        <w:tc>
          <w:tcPr>
            <w:tcW w:w="5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7"/>
        </w:trPr>
        <w:tc>
          <w:tcPr>
            <w:tcW w:w="5220" w:type="dxa"/>
            <w:vAlign w:val="bottom"/>
            <w:gridSpan w:val="2"/>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1,742,134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5220" w:type="dxa"/>
            <w:vAlign w:val="bottom"/>
            <w:gridSpan w:val="2"/>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39,353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2020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560" w:type="dxa"/>
            <w:vAlign w:val="bottom"/>
            <w:tcBorders>
              <w:top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7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5220" w:type="dxa"/>
            <w:vAlign w:val="bottom"/>
            <w:gridSpan w:val="2"/>
          </w:tcPr>
          <w:p>
            <w:pPr>
              <w:spacing w:after="0" w:line="158" w:lineRule="exact"/>
              <w:rPr>
                <w:sz w:val="20"/>
                <w:szCs w:val="20"/>
                <w:color w:val="auto"/>
              </w:rPr>
            </w:pPr>
            <w:r>
              <w:rPr>
                <w:rFonts w:ascii="Arial" w:cs="Arial" w:eastAsia="Arial" w:hAnsi="Arial"/>
                <w:sz w:val="14"/>
                <w:szCs w:val="14"/>
                <w:i w:val="1"/>
                <w:iCs w:val="1"/>
                <w:color w:val="auto"/>
              </w:rPr>
              <w:t>(thousands of U.S. dollars)</w:t>
            </w:r>
          </w:p>
        </w:tc>
        <w:tc>
          <w:tcPr>
            <w:tcW w:w="260" w:type="dxa"/>
            <w:vAlign w:val="bottom"/>
          </w:tcPr>
          <w:p>
            <w:pPr>
              <w:spacing w:after="0"/>
              <w:rPr>
                <w:sz w:val="13"/>
                <w:szCs w:val="13"/>
                <w:color w:val="auto"/>
              </w:rPr>
            </w:pPr>
          </w:p>
        </w:tc>
        <w:tc>
          <w:tcPr>
            <w:tcW w:w="1160" w:type="dxa"/>
            <w:vAlign w:val="bottom"/>
          </w:tcPr>
          <w:p>
            <w:pPr>
              <w:jc w:val="center"/>
              <w:ind w:right="175"/>
              <w:spacing w:after="0" w:line="158"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220" w:type="dxa"/>
            <w:vAlign w:val="bottom"/>
            <w:gridSpan w:val="2"/>
            <w:vMerge w:val="restart"/>
          </w:tcPr>
          <w:p>
            <w:pPr>
              <w:spacing w:after="0"/>
              <w:rPr>
                <w:sz w:val="20"/>
                <w:szCs w:val="20"/>
                <w:color w:val="auto"/>
              </w:rPr>
            </w:pPr>
            <w:r>
              <w:rPr>
                <w:rFonts w:ascii="Arial" w:cs="Arial" w:eastAsia="Arial" w:hAnsi="Arial"/>
                <w:sz w:val="18"/>
                <w:szCs w:val="18"/>
                <w:color w:val="auto"/>
              </w:rPr>
              <w:t>Derivatives not designated as hedging instruments</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52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Interest rate caps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Embedded derivative liabilities</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1"/>
        </w:trPr>
        <w:tc>
          <w:tcPr>
            <w:tcW w:w="5220" w:type="dxa"/>
            <w:vAlign w:val="bottom"/>
            <w:gridSpan w:val="2"/>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(b)</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Term loan, due 2026</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1,728,018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Senior notes, due 2026</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96,329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gridSpan w:val="2"/>
          </w:tcPr>
          <w:p>
            <w:pPr>
              <w:ind w:left="220"/>
              <w:spacing w:after="0"/>
              <w:rPr>
                <w:sz w:val="20"/>
                <w:szCs w:val="20"/>
                <w:color w:val="auto"/>
              </w:rPr>
            </w:pPr>
            <w:r>
              <w:rPr>
                <w:rFonts w:ascii="Arial" w:cs="Arial" w:eastAsia="Arial" w:hAnsi="Arial"/>
                <w:sz w:val="18"/>
                <w:szCs w:val="18"/>
                <w:color w:val="auto"/>
              </w:rPr>
              <w:t>Other long-term debt</w:t>
            </w: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3"/>
        </w:trPr>
        <w:tc>
          <w:tcPr>
            <w:tcW w:w="5220" w:type="dxa"/>
            <w:vAlign w:val="bottom"/>
            <w:gridSpan w:val="2"/>
          </w:tcPr>
          <w:p>
            <w:pPr>
              <w:spacing w:after="0"/>
              <w:rPr>
                <w:sz w:val="20"/>
                <w:szCs w:val="20"/>
                <w:color w:val="auto"/>
              </w:rPr>
            </w:pPr>
            <w:r>
              <w:rPr>
                <w:rFonts w:ascii="Arial" w:cs="Arial" w:eastAsia="Arial" w:hAnsi="Arial"/>
                <w:sz w:val="18"/>
                <w:szCs w:val="18"/>
                <w:color w:val="auto"/>
              </w:rPr>
              <w:t>Finance Lease Obligations (with current portion)</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-2691765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-2348865</wp:posOffset>
            </wp:positionV>
            <wp:extent cx="71323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-3480435</wp:posOffset>
            </wp:positionV>
            <wp:extent cx="713232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-1140460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-1534795</wp:posOffset>
            </wp:positionV>
            <wp:extent cx="71323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32385</wp:posOffset>
            </wp:positionV>
            <wp:extent cx="28460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57" w:lineRule="exact"/>
        <w:rPr>
          <w:sz w:val="20"/>
          <w:szCs w:val="20"/>
          <w:color w:val="auto"/>
        </w:rPr>
      </w:pPr>
    </w:p>
    <w:p>
      <w:pPr>
        <w:spacing w:after="0"/>
        <w:tabs>
          <w:tab w:leader="none" w:pos="1500" w:val="left"/>
          <w:tab w:leader="none" w:pos="302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1,758,692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351"/>
        </w:trPr>
        <w:tc>
          <w:tcPr>
            <w:tcW w:w="10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39,353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b w:val="1"/>
                <w:bCs w:val="1"/>
                <w:color w:val="auto"/>
              </w:rPr>
              <w:t>—</w:t>
            </w:r>
          </w:p>
        </w:tc>
      </w:tr>
      <w:tr>
        <w:trPr>
          <w:trHeight w:val="555"/>
        </w:trPr>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020" w:type="dxa"/>
            <w:vAlign w:val="bottom"/>
          </w:tcPr>
          <w:p>
            <w:pPr>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300" w:type="dxa"/>
            <w:vAlign w:val="bottom"/>
          </w:tcPr>
          <w:p>
            <w:pPr>
              <w:spacing w:after="0"/>
              <w:rPr>
                <w:sz w:val="24"/>
                <w:szCs w:val="24"/>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66"/>
        </w:trPr>
        <w:tc>
          <w:tcPr>
            <w:tcW w:w="10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574"/>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621"/>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1,772,180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99,863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351"/>
        </w:trPr>
        <w:tc>
          <w:tcPr>
            <w:tcW w:w="1020" w:type="dxa"/>
            <w:vAlign w:val="bottom"/>
          </w:tcPr>
          <w:p>
            <w:pPr>
              <w:ind w:lef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-1748155</wp:posOffset>
            </wp:positionV>
            <wp:extent cx="28460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6860" w:space="400"/>
            <w:col w:w="3980"/>
          </w:cols>
          <w:pgMar w:left="320" w:top="134" w:right="3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0" w:right="220" w:hanging="492"/>
        <w:spacing w:after="0" w:line="254" w:lineRule="auto"/>
        <w:tabs>
          <w:tab w:leader="none" w:pos="4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Derivatives that are not designated as hedging instruments are measured at fair value with gains or losses recognized immediately in the Consolidated Statements of Operations and Comprehensive Income (Loss). Interest rate caps are valued using pricing models that incorporate observable market inputs including interest rate and yield curves. Embedded derivatives are valued using internally developed models that rely on observable market inputs including foreign currency forward curves.</w:t>
      </w:r>
    </w:p>
    <w:p>
      <w:pPr>
        <w:spacing w:after="0" w:line="2" w:lineRule="exact"/>
        <w:rPr>
          <w:rFonts w:ascii="Arial" w:cs="Arial" w:eastAsia="Arial" w:hAnsi="Arial"/>
          <w:sz w:val="18"/>
          <w:szCs w:val="18"/>
          <w:color w:val="auto"/>
        </w:rPr>
      </w:pPr>
    </w:p>
    <w:p>
      <w:pPr>
        <w:jc w:val="both"/>
        <w:ind w:left="500" w:right="60" w:hanging="492"/>
        <w:spacing w:after="0" w:line="250" w:lineRule="auto"/>
        <w:tabs>
          <w:tab w:leader="none" w:pos="4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Carrying amounts of long-term debt instruments are reported net of discounts and debt issuance costs. The estimated fair value of these instruments is based on information provided by the agent under the Company’s senior secured credit facility. Fair value approximates carrying value for “Other long-term debt.”</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approximates carrying value.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Note 1, “Significant Accounting Policies” of our 2020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Sterigenics</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Nordion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Nelson Labs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three months ended September 30, 2021, four customers reported within the Nordion segment individually represented 10% or more of the segment’s total net revenues. These customers represented 20.4%, 12.8%, 12.8%, and 10.3% of the total segment’s external net revenues for the three months ended September 30, 2021. For the three months ended September 30, 2020, four customers reported within the Nordion segment individually represented 10% or more of the segment’s total net revenues. These customers represented 23.7%, 18.6%, 18.5%, and 12.4% of the total segment’s external net revenues for the three months ended September 30, 2020.</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the nine months ended September 30, 2021, five customers reported within the Nordion segment individually represented 10% or more of the segment’s total net revenues. These customers represented 13.2%, 12.8%, 12.6%, 12.3%, and 10.5% of the total segment’s external net revenues for the nine months ended September 30, 2021. For the nine months ended September 30, 2020, five customers reported within the Nordion segment individually represented 10% or more of the segment’s total net revenues. These customers represented 15.5%, 14.5%, 11.4%, 11.2%, and 10.3% of the total segment's external net revenues for the nine months ended September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of our segments is presented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0"/>
                <w:szCs w:val="20"/>
                <w:color w:val="auto"/>
              </w:rPr>
            </w:pPr>
          </w:p>
        </w:tc>
        <w:tc>
          <w:tcPr>
            <w:tcW w:w="302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40" w:type="dxa"/>
            <w:vAlign w:val="bottom"/>
          </w:tcPr>
          <w:p>
            <w:pPr>
              <w:spacing w:after="0"/>
              <w:rPr>
                <w:sz w:val="18"/>
                <w:szCs w:val="18"/>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4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b w:val="1"/>
                <w:bCs w:val="1"/>
                <w:color w:val="auto"/>
              </w:rPr>
              <w:t>Segment revenues</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Sterigenics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145,314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126,302</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421,647</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363,954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Nordion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103,811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Nelson Labs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52,082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53,458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164,771</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226,164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200,028</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690,229</w:t>
            </w: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line="257" w:lineRule="exact"/>
              <w:rPr>
                <w:sz w:val="20"/>
                <w:szCs w:val="20"/>
                <w:color w:val="auto"/>
              </w:rPr>
            </w:pPr>
            <w:r>
              <w:rPr>
                <w:rFonts w:ascii="Arial" w:cs="Arial" w:eastAsia="Arial" w:hAnsi="Arial"/>
                <w:sz w:val="18"/>
                <w:szCs w:val="18"/>
                <w:b w:val="1"/>
                <w:bCs w:val="1"/>
                <w:color w:val="auto"/>
              </w:rPr>
              <w:t>Segment income</w:t>
            </w:r>
            <w:r>
              <w:rPr>
                <w:rFonts w:ascii="Arial" w:cs="Arial" w:eastAsia="Arial" w:hAnsi="Arial"/>
                <w:sz w:val="23"/>
                <w:szCs w:val="23"/>
                <w:color w:val="auto"/>
                <w:vertAlign w:val="superscript"/>
              </w:rPr>
              <w:t>(b)</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Sterigenics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66,682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227,374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Nordion</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10,261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61,285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Nelson Labs</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23,542</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67,895</w:t>
            </w: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segment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116,674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100,485</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356,554</w:t>
            </w: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260" w:hanging="492"/>
        <w:spacing w:after="0" w:line="254" w:lineRule="auto"/>
        <w:tabs>
          <w:tab w:leader="none" w:pos="4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Revenues are reported net of intersegment sales. Our Nordion segment recognized $3.7 million and $3.0 million in revenues from sales to our Sterigenics segment for the three months ended September 30, 2021 and 2020, and $21.2 million and $22.9 million in revenues from sales to our Sterigenics segment for the nine months ended September 30, 2021 and 2020, respectively, that is not reflected in net revenues in the table above. Intersegment sales for Sterigenics and Nelson Labs are immaterial for these periods.</w:t>
      </w:r>
    </w:p>
    <w:p>
      <w:pPr>
        <w:spacing w:after="0" w:line="2" w:lineRule="exact"/>
        <w:rPr>
          <w:rFonts w:ascii="Arial" w:cs="Arial" w:eastAsia="Arial" w:hAnsi="Arial"/>
          <w:sz w:val="18"/>
          <w:szCs w:val="18"/>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not directly incurred by a segment are allocated to the segments based on total revenue. Corporate operating expenses that are directly incurred by a segment are reflected in each segment’s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by segment for the nine months ended September 30, 2021 and 2020 were as follows:</w:t>
      </w:r>
    </w:p>
    <w:p>
      <w:pPr>
        <w:spacing w:after="0" w:line="280"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29210</wp:posOffset>
            </wp:positionV>
            <wp:extent cx="2451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4"/>
              <w:spacing w:after="0"/>
              <w:rPr>
                <w:sz w:val="20"/>
                <w:szCs w:val="20"/>
                <w:color w:val="auto"/>
              </w:rPr>
            </w:pPr>
            <w:r>
              <w:rPr>
                <w:rFonts w:ascii="Arial" w:cs="Arial" w:eastAsia="Arial" w:hAnsi="Arial"/>
                <w:sz w:val="14"/>
                <w:szCs w:val="14"/>
                <w:b w:val="1"/>
                <w:bCs w:val="1"/>
                <w:color w:val="auto"/>
              </w:rPr>
              <w:t>2020</w:t>
            </w:r>
          </w:p>
        </w:tc>
      </w:tr>
      <w:tr>
        <w:trPr>
          <w:trHeight w:val="25"/>
        </w:trPr>
        <w:tc>
          <w:tcPr>
            <w:tcW w:w="7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Sterigenics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48,552</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29,090</w:t>
            </w:r>
          </w:p>
        </w:tc>
      </w:tr>
      <w:tr>
        <w:trPr>
          <w:trHeight w:val="243"/>
        </w:trPr>
        <w:tc>
          <w:tcPr>
            <w:tcW w:w="7380" w:type="dxa"/>
            <w:vAlign w:val="bottom"/>
          </w:tcPr>
          <w:p>
            <w:pPr>
              <w:ind w:left="140"/>
              <w:spacing w:after="0"/>
              <w:rPr>
                <w:sz w:val="20"/>
                <w:szCs w:val="20"/>
                <w:color w:val="auto"/>
              </w:rPr>
            </w:pPr>
            <w:r>
              <w:rPr>
                <w:rFonts w:ascii="Arial" w:cs="Arial" w:eastAsia="Arial" w:hAnsi="Arial"/>
                <w:sz w:val="18"/>
                <w:szCs w:val="18"/>
                <w:color w:val="auto"/>
              </w:rPr>
              <w:t>Nordion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7,531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7"/>
        </w:trPr>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Nelson Labs</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4,815</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6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Total capital expenditures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60,898</w:t>
            </w:r>
          </w:p>
        </w:tc>
        <w:tc>
          <w:tcPr>
            <w:tcW w:w="14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33,640</w:t>
            </w:r>
          </w:p>
        </w:tc>
      </w:tr>
      <w:tr>
        <w:trPr>
          <w:trHeight w:val="20"/>
        </w:trPr>
        <w:tc>
          <w:tcPr>
            <w:tcW w:w="7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Sotera Health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8"/>
                <w:szCs w:val="18"/>
                <w:color w:val="auto"/>
              </w:rPr>
            </w:pPr>
          </w:p>
        </w:tc>
        <w:tc>
          <w:tcPr>
            <w:tcW w:w="278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100,485</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306,797</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Less adjustments:</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167,142</w:t>
            </w:r>
          </w:p>
        </w:tc>
      </w:tr>
      <w:tr>
        <w:trPr>
          <w:trHeight w:val="351"/>
        </w:trPr>
        <w:tc>
          <w:tcPr>
            <w:tcW w:w="5620" w:type="dxa"/>
            <w:vAlign w:val="bottom"/>
          </w:tcPr>
          <w:p>
            <w:pPr>
              <w:ind w:left="2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9"/>
                <w:szCs w:val="9"/>
                <w:color w:val="auto"/>
              </w:rPr>
              <w:t>(a)</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37,634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36,101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112,756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107,158</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9"/>
                <w:szCs w:val="9"/>
                <w:color w:val="auto"/>
              </w:rPr>
              <w:t>(b)</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r>
      <w:tr>
        <w:trPr>
          <w:trHeight w:val="324"/>
        </w:trPr>
        <w:tc>
          <w:tcPr>
            <w:tcW w:w="5620" w:type="dxa"/>
            <w:vAlign w:val="bottom"/>
          </w:tcPr>
          <w:p>
            <w:pPr>
              <w:ind w:left="20"/>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9"/>
                <w:szCs w:val="9"/>
                <w:color w:val="auto"/>
              </w:rPr>
              <w:t>(c)</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(6,035)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885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(4,791)</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9"/>
                <w:szCs w:val="9"/>
                <w:color w:val="auto"/>
              </w:rPr>
              <w:t>(d)</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324"/>
        </w:trPr>
        <w:tc>
          <w:tcPr>
            <w:tcW w:w="5620" w:type="dxa"/>
            <w:vAlign w:val="bottom"/>
          </w:tcPr>
          <w:p>
            <w:pPr>
              <w:ind w:left="20"/>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9"/>
                <w:szCs w:val="9"/>
                <w:color w:val="auto"/>
              </w:rPr>
              <w:t>(e)</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2,484</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9"/>
                <w:szCs w:val="9"/>
                <w:color w:val="auto"/>
              </w:rPr>
              <w:t>(f)</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324"/>
        </w:trPr>
        <w:tc>
          <w:tcPr>
            <w:tcW w:w="5620" w:type="dxa"/>
            <w:vAlign w:val="bottom"/>
          </w:tcPr>
          <w:p>
            <w:pPr>
              <w:ind w:left="20"/>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9"/>
                <w:szCs w:val="9"/>
                <w:color w:val="auto"/>
              </w:rPr>
              <w:t>(g)</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6,365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20,677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 relating to EO sterilization facilities</w:t>
            </w:r>
            <w:r>
              <w:rPr>
                <w:rFonts w:ascii="Arial" w:cs="Arial" w:eastAsia="Arial" w:hAnsi="Arial"/>
                <w:sz w:val="9"/>
                <w:szCs w:val="9"/>
                <w:color w:val="auto"/>
              </w:rPr>
              <w:t>(h)</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33,492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25,370</w:t>
            </w:r>
          </w:p>
        </w:tc>
      </w:tr>
      <w:tr>
        <w:trPr>
          <w:trHeight w:val="324"/>
        </w:trPr>
        <w:tc>
          <w:tcPr>
            <w:tcW w:w="5620" w:type="dxa"/>
            <w:vAlign w:val="bottom"/>
          </w:tcPr>
          <w:p>
            <w:pPr>
              <w:ind w:left="20"/>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9"/>
                <w:szCs w:val="9"/>
                <w:color w:val="auto"/>
              </w:rPr>
              <w:t>(i)</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1,751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5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 expenses</w:t>
            </w:r>
            <w:r>
              <w:rPr>
                <w:rFonts w:ascii="Arial" w:cs="Arial" w:eastAsia="Arial" w:hAnsi="Arial"/>
                <w:sz w:val="23"/>
                <w:szCs w:val="23"/>
                <w:color w:val="auto"/>
                <w:vertAlign w:val="superscript"/>
              </w:rPr>
              <w:t>(j)</w:t>
            </w:r>
          </w:p>
        </w:tc>
        <w:tc>
          <w:tcPr>
            <w:tcW w:w="1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(loss) before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116,982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23" w:lineRule="exact"/>
        <w:rPr>
          <w:rFonts w:ascii="Arial" w:cs="Arial" w:eastAsia="Arial" w:hAnsi="Arial"/>
          <w:sz w:val="18"/>
          <w:szCs w:val="18"/>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w:t>
      </w:r>
    </w:p>
    <w:p>
      <w:pPr>
        <w:spacing w:after="0" w:line="9" w:lineRule="exact"/>
        <w:rPr>
          <w:rFonts w:ascii="Arial" w:cs="Arial" w:eastAsia="Arial" w:hAnsi="Arial"/>
          <w:sz w:val="18"/>
          <w:szCs w:val="18"/>
          <w:color w:val="auto"/>
        </w:rPr>
      </w:pPr>
    </w:p>
    <w:p>
      <w:pPr>
        <w:jc w:val="both"/>
        <w:ind w:left="500" w:right="40" w:hanging="492"/>
        <w:spacing w:after="0" w:line="250" w:lineRule="auto"/>
        <w:tabs>
          <w:tab w:leader="none" w:pos="4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8"/>
          <w:szCs w:val="18"/>
          <w:color w:val="auto"/>
        </w:rPr>
      </w:pPr>
    </w:p>
    <w:p>
      <w:pPr>
        <w:ind w:left="500" w:right="2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the noncontrolling interests in our China subsidiaries and BioScience Labs in 2021, Iotron in July 2020, and Nelson Labs Fairfield in 2018 (including the first quarter 2021 gain on the mandatorily redeemable noncontrolling interest as described in Note 4, “Acquisitions”),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spacing w:after="0" w:line="2" w:lineRule="exact"/>
        <w:rPr>
          <w:rFonts w:ascii="Arial" w:cs="Arial" w:eastAsia="Arial" w:hAnsi="Arial"/>
          <w:sz w:val="18"/>
          <w:szCs w:val="18"/>
          <w:color w:val="auto"/>
        </w:rPr>
      </w:pPr>
    </w:p>
    <w:p>
      <w:pPr>
        <w:ind w:left="500" w:right="40" w:hanging="492"/>
        <w:spacing w:after="0" w:line="250" w:lineRule="auto"/>
        <w:tabs>
          <w:tab w:leader="none" w:pos="4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recent acquisitions, the Sotera Health rebranding, operating structure realignment and other process enhancement projects.</w:t>
      </w:r>
    </w:p>
    <w:p>
      <w:pPr>
        <w:spacing w:after="0" w:line="1" w:lineRule="exact"/>
        <w:rPr>
          <w:rFonts w:ascii="Arial" w:cs="Arial" w:eastAsia="Arial" w:hAnsi="Arial"/>
          <w:sz w:val="18"/>
          <w:szCs w:val="18"/>
          <w:color w:val="auto"/>
        </w:rPr>
      </w:pPr>
    </w:p>
    <w:p>
      <w:pPr>
        <w:ind w:left="500" w:right="400" w:hanging="492"/>
        <w:spacing w:after="0" w:line="250" w:lineRule="auto"/>
        <w:tabs>
          <w:tab w:leader="none" w:pos="4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ind w:left="500" w:right="440" w:hanging="492"/>
        <w:spacing w:after="0" w:line="265" w:lineRule="auto"/>
        <w:tabs>
          <w:tab w:leader="none" w:pos="494"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ind w:left="500" w:right="48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and other related professional fees. See Note 16, “Commitments and Contingencies”.</w:t>
      </w:r>
    </w:p>
    <w:p>
      <w:pPr>
        <w:ind w:left="500" w:right="120" w:hanging="492"/>
        <w:spacing w:after="0" w:line="250"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Arial" w:cs="Arial" w:eastAsia="Arial" w:hAnsi="Arial"/>
          <w:sz w:val="18"/>
          <w:szCs w:val="18"/>
          <w:color w:val="auto"/>
        </w:rPr>
      </w:pPr>
    </w:p>
    <w:p>
      <w:pPr>
        <w:ind w:left="500" w:right="160" w:hanging="492"/>
        <w:spacing w:after="0" w:line="255" w:lineRule="auto"/>
        <w:tabs>
          <w:tab w:leader="none" w:pos="4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 For the nine months ended September 30, 2020, costs also included donations to related charitable causes, and special bonuses for front-line personnel working on-site during lockdown periods.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in conjunction with our consolidated financial statements and related notes included in Part I, Item 1 of this Quarterly Report on Form 10-Q, as well as the audited consolidated financial statements and notes and Management’s Discussion and Analysis of Financial Condition and Results of Operations contained in our 2020 Form 10-K.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Part II, Item 1A, “Risk Factors” in this Quarterly Report on Form 10-Q, as well as Part I, Item 1A, “Risk Factors” in our 2020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are a leading global provider of mission-critical end-to-end sterilization solutions, lab testing and advisory services for the healthcare industry. We are driven by our mission: Safeguarding Global Health</w:t>
      </w:r>
      <w:r>
        <w:rPr>
          <w:rFonts w:ascii="Arial" w:cs="Arial" w:eastAsia="Arial" w:hAnsi="Arial"/>
          <w:sz w:val="8"/>
          <w:szCs w:val="8"/>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w:t>
      </w:r>
    </w:p>
    <w:p>
      <w:pPr>
        <w:spacing w:after="0" w:line="16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The combination of Sterigenics, our terminal sterilization business, and Nordion, our Co-60 supply business, makes us the only vertically integrated global gamma sterilization provider in the sterilization industry. For financial reporting purposes, our sterilization services business consists of two reportable segments, Sterigenics and Nordion, and our lab services business consists of one reportable segment, Nelson Labs.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nine months ended September 30, 2021, respectively, we recorded net revenues of $226.2 million and $690.2 million, net income of $27.4 million and $81.1 million, Adjusted Net Income of $58.7 million and $181.9 million, and Adjusted EBITDA of $116.7 million and $356.6 million. For the definition of Adjusted Net Income and Adjusted EBITDA and the reconciliation of these non-GAAP measures from net income (loss), please see “Non-GAAP Financial Measures.”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DEVELOPMENTS AND KEY FACTORS AFFECTING OUR RESULTS OF OPERATIONS</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summarizes strategic developments and key factors that have underpinned our operating results for the three and nine months ended September 30, 2021 and may continue to affect our performance and financial condition in future periods.</w:t>
      </w:r>
    </w:p>
    <w:p>
      <w:pPr>
        <w:spacing w:after="0" w:line="58" w:lineRule="exact"/>
        <w:rPr>
          <w:sz w:val="20"/>
          <w:szCs w:val="20"/>
          <w:color w:val="auto"/>
        </w:rPr>
      </w:pPr>
    </w:p>
    <w:p>
      <w:pPr>
        <w:ind w:left="660" w:right="4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Driving organic growth</w:t>
      </w:r>
      <w:r>
        <w:rPr>
          <w:rFonts w:ascii="Arial" w:cs="Arial" w:eastAsia="Arial" w:hAnsi="Arial"/>
          <w:sz w:val="18"/>
          <w:szCs w:val="18"/>
          <w:color w:val="auto"/>
        </w:rPr>
        <w:t>. During the three and nine months ended September 30, 2021, we continued to make investments to expand capacity and</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 EO facility enhancements in our Sterigenics business and expand our cobalt development resources in our Nordion business. In addition, we continue to expand capacity to meet demand for microbiological testing and extractables and leachables testing in our Nelson Labs business.</w:t>
      </w:r>
    </w:p>
    <w:p>
      <w:pPr>
        <w:spacing w:after="0" w:line="71" w:lineRule="exact"/>
        <w:rPr>
          <w:rFonts w:ascii="Arial" w:cs="Arial" w:eastAsia="Arial" w:hAnsi="Arial"/>
          <w:sz w:val="18"/>
          <w:szCs w:val="18"/>
          <w:color w:val="auto"/>
        </w:rPr>
      </w:pPr>
    </w:p>
    <w:p>
      <w:pPr>
        <w:ind w:left="660" w:right="60" w:hanging="328"/>
        <w:spacing w:after="0" w:line="273"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Disciplined and strategic M&amp;A activity</w:t>
      </w:r>
      <w:r>
        <w:rPr>
          <w:rFonts w:ascii="Arial" w:cs="Arial" w:eastAsia="Arial" w:hAnsi="Arial"/>
          <w:sz w:val="17"/>
          <w:szCs w:val="17"/>
          <w:color w:val="auto"/>
        </w:rPr>
        <w:t>. We continue to pursue strategic acquisitions to grow our footprint and expand our capabilities. Most</w:t>
      </w:r>
      <w:r>
        <w:rPr>
          <w:rFonts w:ascii="Arial" w:cs="Arial" w:eastAsia="Arial" w:hAnsi="Arial"/>
          <w:sz w:val="17"/>
          <w:szCs w:val="17"/>
          <w:b w:val="1"/>
          <w:bCs w:val="1"/>
          <w:color w:val="auto"/>
        </w:rPr>
        <w:t xml:space="preserve"> </w:t>
      </w:r>
      <w:r>
        <w:rPr>
          <w:rFonts w:ascii="Arial" w:cs="Arial" w:eastAsia="Arial" w:hAnsi="Arial"/>
          <w:sz w:val="17"/>
          <w:szCs w:val="17"/>
          <w:color w:val="auto"/>
        </w:rPr>
        <w:t>recently, in November 2021, we acquired Regulatory Compliance Associates Inc., for approximately $31 million, bringing expertise in regulatory, quality and compliance advisory services to our Expert Advisory Services team. On March 8, 2021, we acquired BioScience Laboratories, LLC (“BioScience Labs”) with one location in Bozeman, Montana. BioScience Labs is a provider of outsourced topical antimicrobial and virology product testing in the pharmaceutical, medical device, and consumer products industries. BioScience Labs’ expertise in analytical testing and clinical trial services will complement Nelson Labs’ existing strengths in antimicrobial and virology testing. In July 2020, we acquired Iotron Industries Canada, Inc. (“Iotron”), an E-beam processing services and equipment provider.</w:t>
      </w:r>
    </w:p>
    <w:p>
      <w:pPr>
        <w:spacing w:after="0" w:line="67" w:lineRule="exact"/>
        <w:rPr>
          <w:rFonts w:ascii="Arial" w:cs="Arial" w:eastAsia="Arial" w:hAnsi="Arial"/>
          <w:sz w:val="17"/>
          <w:szCs w:val="17"/>
          <w:color w:val="auto"/>
        </w:rPr>
      </w:pPr>
    </w:p>
    <w:p>
      <w:pPr>
        <w:ind w:left="660" w:right="160"/>
        <w:spacing w:after="0" w:line="301" w:lineRule="auto"/>
        <w:rPr>
          <w:rFonts w:ascii="Arial" w:cs="Arial" w:eastAsia="Arial" w:hAnsi="Arial"/>
          <w:sz w:val="17"/>
          <w:szCs w:val="17"/>
          <w:color w:val="auto"/>
        </w:rPr>
      </w:pPr>
      <w:r>
        <w:rPr>
          <w:rFonts w:ascii="Arial" w:cs="Arial" w:eastAsia="Arial" w:hAnsi="Arial"/>
          <w:sz w:val="16"/>
          <w:szCs w:val="16"/>
          <w:color w:val="auto"/>
        </w:rPr>
        <w:t>Additionally, on May 18, 2021, we completed the purchase of the outstanding noncontrolling interests of 15% and 33% of our two China subsidiaries, respectively, for a total purchase price of $8.6 million. On March 11, 2021, we completed the acquisition of the remaining 15% ownership of Nelson Labs Fairfield for $12.4 million. Pursuant to the terms of the transaction, we acquired 85% of the equity interests of Nelson Labs Fairfield in August 2018 and were required to acquire the 15% noncontrolling interest within three years from the date of the acquisition.</w:t>
      </w:r>
    </w:p>
    <w:p>
      <w:pPr>
        <w:spacing w:after="0" w:line="45" w:lineRule="exact"/>
        <w:rPr>
          <w:rFonts w:ascii="Arial" w:cs="Arial" w:eastAsia="Arial" w:hAnsi="Arial"/>
          <w:sz w:val="17"/>
          <w:szCs w:val="17"/>
          <w:color w:val="auto"/>
        </w:rPr>
      </w:pPr>
    </w:p>
    <w:p>
      <w:pPr>
        <w:ind w:left="660" w:right="80" w:hanging="328"/>
        <w:spacing w:after="0" w:line="28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Borrowings and financing costs. </w:t>
      </w:r>
      <w:r>
        <w:rPr>
          <w:rFonts w:ascii="Arial" w:cs="Arial" w:eastAsia="Arial" w:hAnsi="Arial"/>
          <w:sz w:val="18"/>
          <w:szCs w:val="18"/>
          <w:color w:val="auto"/>
        </w:rPr>
        <w:t>A combination of lower outstanding borrowings and reduced pricing on our debt resulted in a reduction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for the three and nine months ended September 30, 2021 compared to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ind w:left="660" w:right="40"/>
        <w:spacing w:after="0" w:line="272" w:lineRule="auto"/>
        <w:rPr>
          <w:sz w:val="20"/>
          <w:szCs w:val="20"/>
          <w:color w:val="auto"/>
        </w:rPr>
      </w:pPr>
      <w:r>
        <w:rPr>
          <w:rFonts w:ascii="Arial" w:cs="Arial" w:eastAsia="Arial" w:hAnsi="Arial"/>
          <w:sz w:val="17"/>
          <w:szCs w:val="17"/>
          <w:color w:val="auto"/>
        </w:rPr>
        <w:t>the three and nine months ended September 30, 2020. On January 20, 2021 we amended our Term Loan to reduce the interest rate spread over LIBOR from 4.50% to 2.75%, and the LIBOR floor from 1.00% to 0.50%. The changes resulted in an effective reduction in current interest rates of 2.25%. We expect the amendment to provide additional cash interest savings of approximately $40.0 million per year based on the outstanding principal balance as of the date of the amendment. Interest savings in 2021 will be offset by cash and non-cash charges associated with the repricing amendment. In connection with this transaction, we wrote off approximately $11.3 million in debt issuance costs and debt discounts and incurred approximately $2.9 million in costs directly related to the refinancing transaction. On March 26, 2021, we amended our Revolving Credit Facility to reduce the interest rate spread over LIBOR applicable to revolving loans from 3.50% to 2.75%.</w:t>
      </w:r>
    </w:p>
    <w:p>
      <w:pPr>
        <w:spacing w:after="0" w:line="69"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In addition, on August 27, 2021, we redeemed in full all of the $100.0 million aggregate principal amount of the senior secured first lien notes due 2026 (“First Lien Notes”). In connection with this redemption, the Company paid a $3.0 million early redemption premium and wrote off $3.4 million of debt issuance and discount costs. We expect the redemption to provide additional cash interest savings of approximately $7.0 million per year.</w:t>
      </w:r>
    </w:p>
    <w:p>
      <w:pPr>
        <w:spacing w:after="0" w:line="75" w:lineRule="exact"/>
        <w:rPr>
          <w:sz w:val="20"/>
          <w:szCs w:val="20"/>
          <w:color w:val="auto"/>
        </w:rPr>
      </w:pPr>
    </w:p>
    <w:p>
      <w:pPr>
        <w:ind w:left="660" w:right="20" w:hanging="328"/>
        <w:spacing w:after="0" w:line="273"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Impacts of our IPO and other public company costs</w:t>
      </w:r>
      <w:r>
        <w:rPr>
          <w:rFonts w:ascii="Arial" w:cs="Arial" w:eastAsia="Arial" w:hAnsi="Arial"/>
          <w:sz w:val="17"/>
          <w:szCs w:val="17"/>
          <w:color w:val="auto"/>
        </w:rPr>
        <w:t>. As a newly public company, we continue to incur certain expenses on an ongoing basis</w:t>
      </w:r>
      <w:r>
        <w:rPr>
          <w:rFonts w:ascii="Arial" w:cs="Arial" w:eastAsia="Arial" w:hAnsi="Arial"/>
          <w:sz w:val="17"/>
          <w:szCs w:val="17"/>
          <w:b w:val="1"/>
          <w:bCs w:val="1"/>
          <w:color w:val="auto"/>
        </w:rPr>
        <w:t xml:space="preserve"> </w:t>
      </w:r>
      <w:r>
        <w:rPr>
          <w:rFonts w:ascii="Arial" w:cs="Arial" w:eastAsia="Arial" w:hAnsi="Arial"/>
          <w:sz w:val="17"/>
          <w:szCs w:val="17"/>
          <w:color w:val="auto"/>
        </w:rPr>
        <w:t>that we did not incur as a private company including third-party and internal resources related to accounting, auditing, Sarbanes-Oxley Act compliance, legal, and investor and public relations expenses. These costs are primarily classified as selling, general and administrative (“SG&amp;A”) expenses. We continue to dedicate internal resources, hire additional personnel, and engage outside consultants to assess and document the adequacy of internal controls over financial reporting. In addition, in March 2021, we incurred costs related to a secondary offering of 25 million shares of our common stock offered by selling stockholders, which included certain affiliates of Warburg Pincus LLC and GTCR, LLC as well as certain current and former members of management of the Company.</w:t>
      </w:r>
    </w:p>
    <w:p>
      <w:pPr>
        <w:spacing w:after="0" w:line="63" w:lineRule="exact"/>
        <w:rPr>
          <w:rFonts w:ascii="Arial" w:cs="Arial" w:eastAsia="Arial" w:hAnsi="Arial"/>
          <w:sz w:val="17"/>
          <w:szCs w:val="17"/>
          <w:color w:val="auto"/>
        </w:rPr>
      </w:pPr>
    </w:p>
    <w:p>
      <w:pPr>
        <w:ind w:left="660" w:right="20" w:hanging="328"/>
        <w:spacing w:after="0" w:line="281"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Litigation related costs and exit activities</w:t>
      </w:r>
      <w:r>
        <w:rPr>
          <w:rFonts w:ascii="Arial" w:cs="Arial" w:eastAsia="Arial" w:hAnsi="Arial"/>
          <w:sz w:val="17"/>
          <w:szCs w:val="17"/>
          <w:color w:val="auto"/>
        </w:rPr>
        <w:t>. In connection with the ongoing litigation related to our Willowbrook, Illinois, Atlanta, Georgia and</w:t>
      </w:r>
      <w:r>
        <w:rPr>
          <w:rFonts w:ascii="Arial" w:cs="Arial" w:eastAsia="Arial" w:hAnsi="Arial"/>
          <w:sz w:val="17"/>
          <w:szCs w:val="17"/>
          <w:b w:val="1"/>
          <w:bCs w:val="1"/>
          <w:color w:val="auto"/>
        </w:rPr>
        <w:t xml:space="preserve"> </w:t>
      </w:r>
      <w:r>
        <w:rPr>
          <w:rFonts w:ascii="Arial" w:cs="Arial" w:eastAsia="Arial" w:hAnsi="Arial"/>
          <w:sz w:val="17"/>
          <w:szCs w:val="17"/>
          <w:color w:val="auto"/>
        </w:rPr>
        <w:t>Santa Teresa, New Mexico facilities, as described in Note 16, “Commitments and Contingencies”, we recorded costs of $9.4 million and $33.5 million for the three and nine months ended September 30, 2021, respectively, relating to legal and other professional service costs, as well as $0.3 million and $1.6 million, respectively, related to the closure of the Willowbrook, Illinois facility.</w:t>
      </w:r>
    </w:p>
    <w:p>
      <w:pPr>
        <w:spacing w:after="0" w:line="56" w:lineRule="exact"/>
        <w:rPr>
          <w:rFonts w:ascii="Arial" w:cs="Arial" w:eastAsia="Arial" w:hAnsi="Arial"/>
          <w:sz w:val="17"/>
          <w:szCs w:val="17"/>
          <w:color w:val="auto"/>
        </w:rPr>
      </w:pPr>
    </w:p>
    <w:p>
      <w:pPr>
        <w:ind w:left="660" w:right="1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Impact of COVID-19 pandemic</w:t>
      </w:r>
      <w:r>
        <w:rPr>
          <w:rFonts w:ascii="Arial" w:cs="Arial" w:eastAsia="Arial" w:hAnsi="Arial"/>
          <w:sz w:val="18"/>
          <w:szCs w:val="18"/>
          <w:color w:val="auto"/>
        </w:rPr>
        <w:t>. We remain subject to risks and uncertainties as a result of the COVID-19 pandemic. Our business continuity</w:t>
      </w:r>
      <w:r>
        <w:rPr>
          <w:rFonts w:ascii="Arial" w:cs="Arial" w:eastAsia="Arial" w:hAnsi="Arial"/>
          <w:sz w:val="18"/>
          <w:szCs w:val="18"/>
          <w:b w:val="1"/>
          <w:bCs w:val="1"/>
          <w:color w:val="auto"/>
        </w:rPr>
        <w:t xml:space="preserve"> </w:t>
      </w:r>
      <w:r>
        <w:rPr>
          <w:rFonts w:ascii="Arial" w:cs="Arial" w:eastAsia="Arial" w:hAnsi="Arial"/>
          <w:sz w:val="18"/>
          <w:szCs w:val="18"/>
          <w:color w:val="auto"/>
        </w:rPr>
        <w:t>plans remain in effect and we have maintained certain measures to decrease exposure risk and manage our supply chain for critical materials. The extent to which our operations will continue to be impacted by the pandemic will largely depend on future developments, which still remain uncertain and cannot be predicted.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as compared to Three Months Ended September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three months ended September 30, 2021 and 2020.</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100,578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92,517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59,915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65,671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18,641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39.6 %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4263.1 %</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58,704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21,973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36,731</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167.2 %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116,674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100,485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16,189</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500" w:right="200" w:hanging="492"/>
        <w:spacing w:after="0" w:line="238" w:lineRule="auto"/>
        <w:tabs>
          <w:tab w:leader="none" w:pos="495"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the reconciliation included below in “Non-GAAP Financial Measures.”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revenues by type for the three months ended September 30, 2021 to the three months ended September 30, 2020.</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Net revenues for the three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400" w:type="dxa"/>
            <w:vAlign w:val="bottom"/>
            <w:tcBorders>
              <w:top w:val="single" w:sz="8" w:color="auto"/>
            </w:tcBorders>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200,499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25,665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43.8 %</w:t>
            </w:r>
          </w:p>
        </w:tc>
      </w:tr>
      <w:tr>
        <w:trPr>
          <w:trHeight w:val="27"/>
        </w:trPr>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226,164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26,136</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Net revenues were $226.2 million in the three months ended September 30, 2021, an increase of $26.1 million, or 13.1%, as compared with the three months ended September 30, 2020. Excluding the impact of foreign currency exchange rates, net revenues in the three months ended September 30, 2021 increased approximately 11.8% compared with the three months ended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jc w:val="both"/>
        <w:ind w:right="40"/>
        <w:spacing w:after="0" w:line="275" w:lineRule="auto"/>
        <w:rPr>
          <w:sz w:val="20"/>
          <w:szCs w:val="20"/>
          <w:color w:val="auto"/>
        </w:rPr>
      </w:pPr>
      <w:r>
        <w:rPr>
          <w:rFonts w:ascii="Arial" w:cs="Arial" w:eastAsia="Arial" w:hAnsi="Arial"/>
          <w:sz w:val="17"/>
          <w:szCs w:val="17"/>
          <w:color w:val="auto"/>
        </w:rPr>
        <w:t>Service revenues increased $18.3 million, or 10.1%, to $200.5 million in the three months ended September 30, 2021 as compared to $182.2 million in the three months ended September 30, 2020. The increase in net service revenue was driven by $10.8 million of organic sales volume growth in the Sterigenics segment and $5.0 million from the incremental contributions of the recent Iotron and BioScience Labs acquisitions. Service revenue growth also benefited from favorable pricing of $4.7 million and $1.7 million in the Sterigenics and Nelson Labs segments, respectively. Offsetting these increases was a decline in revenue of $4.6 million related to the testing of personal protective equipment in the Nelson Labs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 revenues increased $7.8 million, or 43.8%, to $25.7 million in the three months ended September 30, 2021 as compared to $17.9 million in the three months ended September 30, 2020. The increase in product revenues was attributable to higher organic sales volumes of $5.5 million, largely driven by shipments of industrial use Co-60 in our Nordion segment, and the contribution of favorable pricing and changes in foreign currency exchange rates of $1.3 million and $1.0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cost of revenues by type for the three months ended September 30, 2021 to the three months ended September 30, 2020.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 of revenues for the three months ended September 30,</w:t>
            </w: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20" w:type="dxa"/>
            <w:vAlign w:val="bottom"/>
            <w:tcBorders>
              <w:top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88,349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83,697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12,229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8,820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100,578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92,517</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cost of revenues accounted for approximately 44.5% and 46.3% of our consolidated net revenues for the three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Cost of service revenues increased $4.7 million, or 5.6%, for the three months ended September 30, 2021 as compared to the three months ended September 30, 2020. The increase was largely attributable to overall increases in direct costs in support of the service revenue growth within the Sterigenics segment cited above. The increase was also driven by a $2.1 million contribution from the Iotron and BioScience Labs acquisitions and a $0.7 million unfavorable impact from changes in foreign currency exchange rates within foreign subsidiaries across all segments.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Cost of product revenues increased $3.4 million, or 38.7%, for the three months ended September 30, 2021 as compared to the three months ended September 30, 2020. The increase was primarily a result of incremental direct costs in support of the product revenue volume growth in the Nordion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operating expenses for the three months ended September 30, 2021 to the three months ended September 30,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for the three months ended September 30,</w:t>
            </w:r>
          </w:p>
        </w:tc>
        <w:tc>
          <w:tcPr>
            <w:tcW w:w="340" w:type="dxa"/>
            <w:vAlign w:val="bottom"/>
          </w:tcPr>
          <w:p>
            <w:pPr>
              <w:spacing w:after="0"/>
              <w:rPr>
                <w:sz w:val="24"/>
                <w:szCs w:val="24"/>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82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15,877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6.9 %</w:t>
            </w:r>
          </w:p>
        </w:tc>
      </w:tr>
      <w:tr>
        <w:trPr>
          <w:trHeight w:val="27"/>
        </w:trPr>
        <w:tc>
          <w:tcPr>
            <w:tcW w:w="2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expenses accounted for approximately 26.5% and 30.2% of our consolidated net revenues for the three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SG&amp;A decreased $1.6 million, or 3.5%, for the three months ended September 30, 2021 as compared to the three months ended September 30, 2020. The change was largely driven by the following:</w:t>
      </w:r>
    </w:p>
    <w:p>
      <w:pPr>
        <w:spacing w:after="0" w:line="62" w:lineRule="exact"/>
        <w:rPr>
          <w:sz w:val="20"/>
          <w:szCs w:val="20"/>
          <w:color w:val="auto"/>
        </w:rPr>
      </w:pPr>
    </w:p>
    <w:p>
      <w:pPr>
        <w:ind w:left="660" w:right="160" w:hanging="328"/>
        <w:spacing w:after="0" w:line="277" w:lineRule="auto"/>
        <w:tabs>
          <w:tab w:leader="none" w:pos="655"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$3.4 million offset to SG&amp;A related to the settlement of an insurance claim for Nordion that existed at the time of our acquisition of the business in 2014;</w:t>
      </w:r>
    </w:p>
    <w:p>
      <w:pPr>
        <w:spacing w:after="0" w:line="62" w:lineRule="exact"/>
        <w:rPr>
          <w:rFonts w:ascii="Arial" w:cs="Arial" w:eastAsia="Arial" w:hAnsi="Arial"/>
          <w:sz w:val="18"/>
          <w:szCs w:val="18"/>
          <w:color w:val="231F20"/>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 million decrease in legal and other professional services expense associated with Sterigenics EO litigation.;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Offsetting these decreases was an increase in share-based compensation expense of $2.7 million related to our 2020 Omnibus Incentive Plan.</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Amortization of intangible assets was $15.9 million for the three months ended September 30, 2021, or 6.9% above the three months ended September 30, 2020. The change was primarily attributable to amortization on newly acquired intangible assets related to the Iotron and BioScience Labs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Interest expense, net decreased $37.2 million, or 67.2%, for the three months ended September 30, 2021 as compared to the three months ended September 30, 2020. The decrease was due to lower outstanding debt for the three months ended September 30, 2021 driven largely by the paydown of the Term Loan and Second Lien Notes with IPO proceeds in the fourth quarter of 2020, the redemption of the First Lien Notes in August 2021, and lower interest rates subsequent to the January 2021 Term Loan refinancing. The weighted average interest rate on our outstanding debt was 3.25% and 6.45% at September 30, 2021 and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(Gain)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Foreign exchange loss was $0.8 million for the three months ended September 30, 2021 as compared to a gain of $4.6 million in the three months ended September 30, 2020. The foreign exchange loss (gain) in our Consolidated Statements of Operations and Comprehensive Income (Loss) relates primarily to U.S. dollar denominated intercompany indebtedness with certain of our European and Canadian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Other income, net was $0.7 million for the three months ended September 30, 2021 compared to $3.1 million for the three months ended September 30, 2020. The fluctuation was driven by changes in the fair value of the embedded derivatives in Nordion’s contracts. We recorded an unrealized loss on embedded derivatives of $1.2 million for the three months ended</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color w:val="auto"/>
        </w:rPr>
        <w:t>September 30, 2021 as compared to an unrealized gain on embedded derivatives of $1.5 million for the three months ended September 30,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Provision for income tax increased $14.9 million to a net provision of $13.7 million for the three months ended September 30, 2021 as compared to $1.2 million benefit in the three months ended September 30, 2020. The change was principally attributable to pre-tax income of $41.1 million in the three months ended September 30, 2021 compared to a pretax loss of $0.6 million for the three months ended September 30, 2020.</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Provision for income taxes for the three months ended September 30, 2021 differed from the statutory rate primarily due to the impact of the foreign rate differential, global intangible low-tax income (“GILTI”) and a net increase in the interest expense valuation allowance. Provision for income taxes for the three months ended September 30, 2020 differed from the statutory rate primarily due to the foreign rate differential, GILTI, non-deductible expenses as well as the impact of the 2020 Coronavirus Aid, Relief, and Economic Security Act (the “CARES Act”), which increased the limitation on interest expense deductions and resulted in a valuation allowance reversal.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income for the three months ended September 30, 2021 was $27.4 million, as compared to net income of $0.6 million for the three months ended September 30, 2020. Adjusted Net Income was $58.7 million for the three months ended September 30, 2021, as compared to $22.0 million for the three months ended September 30, 2020, due to the factors described above. Adjusted EBITDA was $116.7 million for the three months ended September 30, 2021, as compared to $100.5 million for the three months ended September 30, 2020,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as compared to Nine Months Ended September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our results of operations for the nine months ended September 30, 2021 and 2020.</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60" w:type="dxa"/>
            <w:vAlign w:val="bottom"/>
          </w:tcPr>
          <w:p>
            <w:pPr>
              <w:jc w:val="right"/>
              <w:ind w:right="392"/>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690,229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305,510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27,192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194,412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190,307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36,670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23.9 %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1276.1 %</w:t>
            </w:r>
          </w:p>
        </w:tc>
      </w:tr>
      <w:tr>
        <w:trPr>
          <w:trHeight w:val="324"/>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r>
              <w:rPr>
                <w:rFonts w:ascii="Arial" w:cs="Arial" w:eastAsia="Arial" w:hAnsi="Arial"/>
                <w:sz w:val="9"/>
                <w:szCs w:val="9"/>
                <w:b w:val="1"/>
                <w:bCs w:val="1"/>
                <w:color w:val="auto"/>
              </w:rPr>
              <w:t>(a)</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181,882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104,738</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135.8 %</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31"/>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9"/>
                <w:szCs w:val="9"/>
                <w:b w:val="1"/>
                <w:bCs w:val="1"/>
                <w:color w:val="auto"/>
              </w:rPr>
              <w:t>(a)</w:t>
            </w: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356,554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49,757</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500" w:right="80" w:hanging="492"/>
        <w:spacing w:after="0" w:line="238" w:lineRule="auto"/>
        <w:tabs>
          <w:tab w:leader="none" w:pos="495"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please see the reconciliation included below in “Non-GAAP Financial Measures.”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compares our revenues by type for the nine months ended September 30, 2021 to the nine months ended September 30, 2020.</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Net revenues for the nine months ended September 30,</w:t>
            </w: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360" w:type="dxa"/>
            <w:vAlign w:val="bottom"/>
            <w:tcBorders>
              <w:top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597,907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92,322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7"/>
        </w:trPr>
        <w:tc>
          <w:tcPr>
            <w:tcW w:w="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690,229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88,916</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Net revenues were $690.2 million in the nine months ended September 30, 2021, an increase of $88.9 million, or 14.8%, as compared with the nine months ended September 30, 2020. Excluding the impact of foreign currency exchange rates, net revenues in the nine months ended September 30, 2021 increased approximately 12.4% compared with the nine months ended September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Service revenues increased $73.9 million, or 14.1%, to $597.9 million in the nine months ended September 30, 2021 as compared to $524.0 million in the nine months ended September 30, 2020. The growth in net service revenues was driven by volume growth of $23.1 million in the Sterigenics segment and a $22.5 million increase from the incremental contribution of the Iotron and BioScience Labs acquisitions. In addition, service revenue growth stemmed from favorable pricing of $13.6 million and $5.1 million in the Sterigenics and Nelson Labs segments, respectively, and an $8.6 million benefit from changes in foreign currency exchange rates across all segments. The remainder of the increase was largely attributable to an increase in service revenue volume in the Nordion segment. Offsetting these factors was an overall decline of $2.4 million in revenue related to personal protective equipment testing in the Nelson Labs segment.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 revenues increased $15.0 million, or 19.5%, to $92.3 million in the nine months ended September 30, 2021 as compared to $77.3 million in the nine months ended September 30, 2020. The increase in product revenues was largely attributable to favorable impacts from pricing and foreign currency exchanges rates of $5.7 million and $5.7 million, respectively, compared to the nine months ended September 30, 2020. The remainder of the increase was driven by volume growth of $3.6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cost of revenues by type for the nine months ended September 30, 2021 to the nine months ended September 30, 2020.</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 of revenues for the nine months ended September 30,</w:t>
            </w: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2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580" w:type="dxa"/>
            <w:vAlign w:val="bottom"/>
            <w:tcBorders>
              <w:top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264,776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40,734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9,802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305,510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27,192</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cost of revenues accounted for approximately 44.3% and 46.3% of our consolidated net revenues for the nine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Cost of service revenues increased $17.4 million, or 7.0%, for the nine months ended September 30, 2021 as compared to the nine months ended September 30, 2020. The increase was attributable to an incremental contribution of $8.1 million from the Iotron and BioScience Labs acquisitions and approximately $5.0 million of incremental costs associated with increased sales volumes, primarily in the Sterigenics segment, as referenced above. The remainder of the increase is a result of a $4.3 million impact from foreign currency exchange rates on cost of revenues within our foreign subsidiaries.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Cost of product revenues increased $9.8 million, or 31.7%, for the nine months ended September 30, 2021 as compared to the nine months ended September 30, 2020. The increase stemmed from a $4.4 million increase in Co-60 supply costs, primarily driven by higher sales volumes. An unfavorable impact from foreign currency exchange rates of $2.8 million also contributed to the increase.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our operating expenses for the nine months ended September 30, 2021 to the nine months ended September 30, 2020:</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for the nine months ended September 30,</w:t>
            </w:r>
          </w:p>
        </w:tc>
        <w:tc>
          <w:tcPr>
            <w:tcW w:w="32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1580" w:type="dxa"/>
            <w:vAlign w:val="bottom"/>
          </w:tcPr>
          <w:p>
            <w:pPr>
              <w:jc w:val="right"/>
              <w:ind w:right="415"/>
              <w:spacing w:after="0"/>
              <w:rPr>
                <w:sz w:val="20"/>
                <w:szCs w:val="20"/>
                <w:color w:val="auto"/>
              </w:rPr>
            </w:pPr>
            <w:r>
              <w:rPr>
                <w:rFonts w:ascii="Arial" w:cs="Arial" w:eastAsia="Arial" w:hAnsi="Arial"/>
                <w:sz w:val="14"/>
                <w:szCs w:val="14"/>
                <w:color w:val="auto"/>
              </w:rPr>
              <w:t>% Change</w:t>
            </w:r>
          </w:p>
        </w:tc>
      </w:tr>
      <w:tr>
        <w:trPr>
          <w:trHeight w:val="34"/>
        </w:trPr>
        <w:tc>
          <w:tcPr>
            <w:tcW w:w="20" w:type="dxa"/>
            <w:vAlign w:val="bottom"/>
          </w:tcPr>
          <w:p>
            <w:pPr>
              <w:spacing w:after="0"/>
              <w:rPr>
                <w:sz w:val="2"/>
                <w:szCs w:val="2"/>
                <w:color w:val="auto"/>
              </w:rPr>
            </w:pPr>
          </w:p>
        </w:tc>
        <w:tc>
          <w:tcPr>
            <w:tcW w:w="3760" w:type="dxa"/>
            <w:vAlign w:val="bottom"/>
            <w:tcBorders>
              <w:top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146,331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43"/>
        </w:trPr>
        <w:tc>
          <w:tcPr>
            <w:tcW w:w="20" w:type="dxa"/>
            <w:vAlign w:val="bottom"/>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48,081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43,989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9.3 %</w:t>
            </w:r>
          </w:p>
        </w:tc>
      </w:tr>
      <w:tr>
        <w:trPr>
          <w:trHeight w:val="27"/>
        </w:trPr>
        <w:tc>
          <w:tcPr>
            <w:tcW w:w="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194,412</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expenses accounted for approximately 28.2% and 28.2% of our consolidated net revenues for the nine months ended September 30,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SG&amp;A increased $21.0 million, or 16.7%, for the nine months ended September 30, 2021 as compared to the nine months ended September 30, 2020. The increase was driven primarily by the following:</w:t>
      </w:r>
    </w:p>
    <w:p>
      <w:pPr>
        <w:spacing w:after="0" w:line="62" w:lineRule="exact"/>
        <w:rPr>
          <w:sz w:val="20"/>
          <w:szCs w:val="20"/>
          <w:color w:val="auto"/>
        </w:rPr>
      </w:pPr>
    </w:p>
    <w:p>
      <w:pPr>
        <w:ind w:left="660" w:right="2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$8.3 million in incremental corporate expenses largely attributed to costs associated with being a public company. This includes $5.5 million in incremental costs attributable to public company director and officer liability insurance;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$8.1 million increase in legal and other professional services expense associated with Sterigenics EO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share-based compensation expense of $6.5 million primarily related to our 2020 Omnibus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Offsetting these costs was a $3.4 million settlement of an insurance claim for Nordion that existed at the time of our acquisition of the business in 2014.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Amortization of intangible assets was $48.1 million for the nine months ended September 30, 2021, or 9.3% above the nine months ended September 30, 2020. The change was primarily attributable to amortization on newly acquired intangible assets related to the Iotron and BioScience Labs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Interest expense, net decreased $108.6 million, or 64.9%, for the nine months ended September 30, 2021 as compared to the nine months ended September 30, 2020. The decrease was driven largely by the paydown of the Term Loan and Second Lien Notes with IPO proceeds in the fourth quarter of 2020, the redemption of the First Lien Notes in August 2021, and lower interest rates subsequent to the January 2021 Term Loan refinancing. The weighted average interest rate on our outstanding debt was 3.25% and 6.45% at September 30, 2021 and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(Gain)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Foreign exchange loss was $1.4 million for the nine months ended September 30, 2021 as compared to a gain of $5.4 million in the nine months ended September 30, 2020. The foreign exchange loss (gain) in our Consolidated Statements of Operations and Comprehensive Income (Loss) relates primarily to U.S. dollar denominated intercompany indebtedness with certain of our European and Canadian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income, net was $7.3 million for the nine months ended September 30, 2021 compared to $4.4 million for the nine months ended September 30, 2020. The fluctuation was driven by a $1.0 million gain in the fair value of the embedded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derivatives in Nordion’s contracts. We recorded an unrealized gain on embedded derivatives of $0.4 million for the nine months ended September 30, 2021 compared to a $0.6 million loss for the nine months ended September 30, 2020. In addition, we recorded $1.2 million of other income related to the gain on our purchase of the 15% mandatorily redeemable noncontrolling interest of Nelson Labs Fairfield in the second quarter of 2021 as compared to the amount previously accrued.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Provision for income tax increased $45.5 million to a net provision of $35.9 million for the nine months ended September 30, 2021 as compared to a $9.7 million benefit in the nine months ended September 30, 2020. The change was principally attributable to pre-tax income of $117.0 million in the nine months ended September 30, 2021 compared to a pretax loss of $3.8 million for the nine months ended September 30, 2020.</w:t>
      </w:r>
    </w:p>
    <w:p>
      <w:pPr>
        <w:spacing w:after="0" w:line="16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Provision for income taxes for the nine months ended September 30, 2021 differed from the statutory rate primarily due to the impact of the foreign rate differential, GILTI, a net increase in the interest expense valuation allowance, and a discrete item pertaining to an income tax rate change in the United Kingdom. This was partially offset by an additional discrete item in the first quarter of 2021, which reversed the valuation allowance on deferred tax assets related to certain asset retirement obligations. Provision for income taxes for the nine months ended September 30, 2020 differed from the statutory rate primarily due to GILTI, the foreign rate differential, and changes in items that are not expected to have a future tax impact.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income for the nine months ended September 30, 2021 was $81.1 million, as compared to net income of $5.9 million for the nine months ended September 30, 2020. Adjusted Net Income was $181.9 million for the nine months ended September 30, 2021, as compared to $77.1 million for the nine months ended September 30, 2020, due to the factors described above. Adjusted EBITDA was $356.6 million for the nine months ended September 30, 2021, as compared to $306.8 million for the nine months ended September 30, 2020, due to the factors described above. Please see “Non-GAAP Financial Measures” below for a reconciliation of Adjusted Net Income and Adjusted EBITDA to their most directly comparable financial measure calculated and presented in accordance with GAAP.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231F20"/>
        </w:rPr>
        <w:t>To supplement our consolidated financial statements presented in accordance with U.S. Generally Accepted Accounting Principles (“GAAP”), we consider Adjusted Net Income and Adjusted EBITDA, financial measures that are not based on any standardized methodology prescribed by GAAP.</w:t>
      </w:r>
    </w:p>
    <w:p>
      <w:pPr>
        <w:spacing w:after="0" w:line="146"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231F20"/>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231F20"/>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the nearest GAAP equivalent. For example, Adjusted Net Income and Adjusted EBITDA exclude:</w:t>
      </w:r>
    </w:p>
    <w:p>
      <w:pPr>
        <w:spacing w:after="0" w:line="76" w:lineRule="exact"/>
        <w:rPr>
          <w:sz w:val="20"/>
          <w:szCs w:val="20"/>
          <w:color w:val="auto"/>
        </w:rPr>
      </w:pPr>
    </w:p>
    <w:p>
      <w:pPr>
        <w:ind w:left="660" w:right="400" w:hanging="328"/>
        <w:spacing w:after="0" w:line="277" w:lineRule="auto"/>
        <w:tabs>
          <w:tab w:leader="none" w:pos="655"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certain recurring non-cash charges such as depreciation of fixed assets, although these assets may have to be replaced in the future, as well as amortization of acquired intangible assets and asset retirement obligations;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0" w:name="page41"/>
    <w:bookmarkEnd w:id="40"/>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costs of acquiring and integrating businesses, which will continue to be a part of our growth strategy;</w:t>
      </w:r>
    </w:p>
    <w:p>
      <w:pPr>
        <w:spacing w:after="0" w:line="117" w:lineRule="exact"/>
        <w:rPr>
          <w:rFonts w:ascii="Arial" w:cs="Arial" w:eastAsia="Arial" w:hAnsi="Arial"/>
          <w:sz w:val="18"/>
          <w:szCs w:val="18"/>
          <w:color w:val="231F20"/>
        </w:rPr>
      </w:pPr>
    </w:p>
    <w:p>
      <w:pPr>
        <w:ind w:left="660" w:right="300" w:hanging="328"/>
        <w:spacing w:after="0" w:line="263"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75"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impairment charges on long-lived assets and intangible assets;</w:t>
      </w:r>
    </w:p>
    <w:p>
      <w:pPr>
        <w:spacing w:after="0" w:line="117" w:lineRule="exact"/>
        <w:rPr>
          <w:rFonts w:ascii="Arial" w:cs="Arial" w:eastAsia="Arial" w:hAnsi="Arial"/>
          <w:sz w:val="18"/>
          <w:szCs w:val="18"/>
          <w:color w:val="231F20"/>
        </w:rPr>
      </w:pPr>
    </w:p>
    <w:p>
      <w:pPr>
        <w:ind w:left="660" w:right="22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expenses and charges related to the litigation and other activities associated with our EO sterilization facilities in Willowbrook, Illinois, Atlanta, Georgia and Santa Teresa, New Mexico, even though that litigation remains ongoing;</w:t>
      </w:r>
    </w:p>
    <w:p>
      <w:pPr>
        <w:spacing w:after="0" w:line="62" w:lineRule="exact"/>
        <w:rPr>
          <w:rFonts w:ascii="Arial" w:cs="Arial" w:eastAsia="Arial" w:hAnsi="Arial"/>
          <w:sz w:val="18"/>
          <w:szCs w:val="18"/>
          <w:color w:val="231F20"/>
        </w:rPr>
      </w:pPr>
    </w:p>
    <w:p>
      <w:pPr>
        <w:ind w:left="660" w:right="100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in the case of Adjusted EBITDA, interest expense or the cash requirements necessary to service interest or principal payments on our indebtedness; and</w:t>
      </w:r>
    </w:p>
    <w:p>
      <w:pPr>
        <w:spacing w:after="0" w:line="62" w:lineRule="exact"/>
        <w:rPr>
          <w:rFonts w:ascii="Arial" w:cs="Arial" w:eastAsia="Arial" w:hAnsi="Arial"/>
          <w:sz w:val="18"/>
          <w:szCs w:val="18"/>
          <w:color w:val="231F20"/>
        </w:rPr>
      </w:pPr>
    </w:p>
    <w:p>
      <w:pPr>
        <w:ind w:left="660" w:right="460" w:hanging="328"/>
        <w:spacing w:after="0" w:line="277" w:lineRule="auto"/>
        <w:tabs>
          <w:tab w:leader="none" w:pos="655"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In evaluating Adjusted Net Income and Adjusted EBITDA, you should be aware that in the future, we will incur expenses similar to the adjustments in the table below.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presents a reconciliation of net income, the most directly comparable financial measure calculated and presented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GAAP to Adjusted Net Income and Adjusted EBITDA, for each of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
        </w:trPr>
        <w:tc>
          <w:tcPr>
            <w:tcW w:w="6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5,895</w:t>
            </w:r>
          </w:p>
        </w:tc>
      </w:tr>
      <w:tr>
        <w:trPr>
          <w:trHeight w:val="233"/>
        </w:trPr>
        <w:tc>
          <w:tcPr>
            <w:tcW w:w="6100" w:type="dxa"/>
            <w:vAlign w:val="bottom"/>
          </w:tcPr>
          <w:p>
            <w:pPr>
              <w:ind w:left="360"/>
              <w:spacing w:after="0"/>
              <w:rPr>
                <w:sz w:val="20"/>
                <w:szCs w:val="20"/>
                <w:color w:val="auto"/>
              </w:rPr>
            </w:pPr>
            <w:r>
              <w:rPr>
                <w:rFonts w:ascii="Arial" w:cs="Arial" w:eastAsia="Arial" w:hAnsi="Arial"/>
                <w:sz w:val="16"/>
                <w:szCs w:val="16"/>
                <w:color w:val="auto"/>
              </w:rPr>
              <w:t>Amortization of intangibles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21,239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65,299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59,824</w:t>
            </w:r>
          </w:p>
        </w:tc>
      </w:tr>
      <w:tr>
        <w:trPr>
          <w:trHeight w:val="33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r>
              <w:rPr>
                <w:rFonts w:ascii="Arial" w:cs="Arial" w:eastAsia="Arial" w:hAnsi="Arial"/>
                <w:sz w:val="21"/>
                <w:szCs w:val="21"/>
                <w:color w:val="auto"/>
                <w:vertAlign w:val="superscript"/>
              </w:rPr>
              <w:t>(a)</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(Gain) loss on foreign currency and embedded derivatives</w:t>
            </w:r>
            <w:r>
              <w:rPr>
                <w:rFonts w:ascii="Arial" w:cs="Arial" w:eastAsia="Arial" w:hAnsi="Arial"/>
                <w:sz w:val="21"/>
                <w:szCs w:val="21"/>
                <w:color w:val="auto"/>
                <w:vertAlign w:val="superscript"/>
              </w:rPr>
              <w:t>(b)</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1,881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(6,035)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(4,791)</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divestiture related charges, net</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Business optimization project expenses</w:t>
            </w:r>
            <w:r>
              <w:rPr>
                <w:rFonts w:ascii="Arial" w:cs="Arial" w:eastAsia="Arial" w:hAnsi="Arial"/>
                <w:sz w:val="21"/>
                <w:szCs w:val="21"/>
                <w:color w:val="auto"/>
                <w:vertAlign w:val="superscript"/>
              </w:rPr>
              <w:t>(d)</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2,484</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Plant closure expenses</w:t>
            </w:r>
            <w:r>
              <w:rPr>
                <w:rFonts w:ascii="Arial" w:cs="Arial" w:eastAsia="Arial" w:hAnsi="Arial"/>
                <w:sz w:val="21"/>
                <w:szCs w:val="21"/>
                <w:color w:val="auto"/>
                <w:vertAlign w:val="superscript"/>
              </w:rPr>
              <w:t>(e)</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Loss on extinguishment of debt</w:t>
            </w:r>
            <w:r>
              <w:rPr>
                <w:rFonts w:ascii="Arial" w:cs="Arial" w:eastAsia="Arial" w:hAnsi="Arial"/>
                <w:sz w:val="21"/>
                <w:szCs w:val="21"/>
                <w:color w:val="auto"/>
                <w:vertAlign w:val="superscript"/>
              </w:rPr>
              <w:t>(f)</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6,365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20,677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 relating to EO sterilization facilities</w:t>
            </w:r>
            <w:r>
              <w:rPr>
                <w:rFonts w:ascii="Arial" w:cs="Arial" w:eastAsia="Arial" w:hAnsi="Arial"/>
                <w:sz w:val="21"/>
                <w:szCs w:val="21"/>
                <w:color w:val="auto"/>
                <w:vertAlign w:val="superscript"/>
              </w:rPr>
              <w:t>(g)</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9,449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33,492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25,370</w:t>
            </w:r>
          </w:p>
        </w:tc>
      </w:tr>
      <w:tr>
        <w:trPr>
          <w:trHeight w:val="324"/>
        </w:trPr>
        <w:tc>
          <w:tcPr>
            <w:tcW w:w="6100" w:type="dxa"/>
            <w:vAlign w:val="bottom"/>
          </w:tcPr>
          <w:p>
            <w:pPr>
              <w:ind w:left="360"/>
              <w:spacing w:after="0"/>
              <w:rPr>
                <w:sz w:val="20"/>
                <w:szCs w:val="20"/>
                <w:color w:val="auto"/>
              </w:rPr>
            </w:pPr>
            <w:r>
              <w:rPr>
                <w:rFonts w:ascii="Arial" w:cs="Arial" w:eastAsia="Arial" w:hAnsi="Arial"/>
                <w:sz w:val="16"/>
                <w:szCs w:val="16"/>
                <w:color w:val="auto"/>
              </w:rPr>
              <w:t>Accretion of asset retirement obligations</w:t>
            </w:r>
            <w:r>
              <w:rPr>
                <w:rFonts w:ascii="Arial" w:cs="Arial" w:eastAsia="Arial" w:hAnsi="Arial"/>
                <w:sz w:val="21"/>
                <w:szCs w:val="21"/>
                <w:color w:val="auto"/>
                <w:vertAlign w:val="superscript"/>
              </w:rPr>
              <w:t>(h)</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1,476</w:t>
            </w:r>
          </w:p>
        </w:tc>
      </w:tr>
      <w:tr>
        <w:trPr>
          <w:trHeight w:val="32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COVID-19 expenses</w:t>
            </w:r>
            <w:r>
              <w:rPr>
                <w:rFonts w:ascii="Arial" w:cs="Arial" w:eastAsia="Arial" w:hAnsi="Arial"/>
                <w:sz w:val="21"/>
                <w:szCs w:val="21"/>
                <w:color w:val="auto"/>
                <w:vertAlign w:val="superscript"/>
              </w:rPr>
              <w:t>(i)</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r>
      <w:tr>
        <w:trPr>
          <w:trHeight w:val="324"/>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provision (benefit) associated with pre-tax adjustments</w:t>
            </w:r>
            <w:r>
              <w:rPr>
                <w:rFonts w:ascii="Arial" w:cs="Arial" w:eastAsia="Arial" w:hAnsi="Arial"/>
                <w:sz w:val="21"/>
                <w:szCs w:val="21"/>
                <w:color w:val="auto"/>
                <w:vertAlign w:val="superscript"/>
              </w:rPr>
              <w:t>(j)</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(8,494)</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(32,772)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(24,854)</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58,704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21,973</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181,882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77,144</w:t>
            </w:r>
          </w:p>
        </w:tc>
      </w:tr>
      <w:tr>
        <w:trPr>
          <w:trHeight w:val="233"/>
        </w:trPr>
        <w:tc>
          <w:tcPr>
            <w:tcW w:w="6100" w:type="dxa"/>
            <w:vAlign w:val="bottom"/>
          </w:tcPr>
          <w:p>
            <w:pPr>
              <w:ind w:left="36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18,140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55,330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58,585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167,142</w:t>
            </w:r>
          </w:p>
        </w:tc>
      </w:tr>
      <w:tr>
        <w:trPr>
          <w:trHeight w:val="334"/>
        </w:trPr>
        <w:tc>
          <w:tcPr>
            <w:tcW w:w="6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r>
              <w:rPr>
                <w:rFonts w:ascii="Arial" w:cs="Arial" w:eastAsia="Arial" w:hAnsi="Arial"/>
                <w:sz w:val="21"/>
                <w:szCs w:val="21"/>
                <w:color w:val="auto"/>
                <w:vertAlign w:val="superscript"/>
              </w:rPr>
              <w:t>(k)</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47,457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47,334</w:t>
            </w:r>
          </w:p>
        </w:tc>
      </w:tr>
      <w:tr>
        <w:trPr>
          <w:trHeight w:val="324"/>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provision (benefit) applicable to Adjusted Net Income</w:t>
            </w:r>
            <w:r>
              <w:rPr>
                <w:rFonts w:ascii="Arial" w:cs="Arial" w:eastAsia="Arial" w:hAnsi="Arial"/>
                <w:sz w:val="21"/>
                <w:szCs w:val="21"/>
                <w:color w:val="auto"/>
                <w:vertAlign w:val="superscript"/>
              </w:rPr>
              <w:t>(l)</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7,281</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68,630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15,177</w:t>
            </w:r>
          </w:p>
        </w:tc>
      </w:tr>
      <w:tr>
        <w:trPr>
          <w:trHeight w:val="261"/>
        </w:trPr>
        <w:tc>
          <w:tcPr>
            <w:tcW w:w="6100" w:type="dxa"/>
            <w:vAlign w:val="bottom"/>
            <w:tcBorders>
              <w:bottom w:val="single" w:sz="8" w:color="CCEEFF"/>
            </w:tcBorders>
            <w:shd w:val="clear" w:color="auto" w:fill="CCEEFF"/>
          </w:tcPr>
          <w:p>
            <w:pPr>
              <w:ind w:left="20"/>
              <w:spacing w:after="0" w:line="237" w:lineRule="exact"/>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(m)</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116,674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100,485</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356,554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306,797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w:t>
      </w:r>
    </w:p>
    <w:p>
      <w:pPr>
        <w:spacing w:after="0" w:line="23" w:lineRule="exact"/>
        <w:rPr>
          <w:rFonts w:ascii="Arial" w:cs="Arial" w:eastAsia="Arial" w:hAnsi="Arial"/>
          <w:sz w:val="18"/>
          <w:szCs w:val="18"/>
          <w:color w:val="auto"/>
        </w:rPr>
      </w:pPr>
    </w:p>
    <w:p>
      <w:pPr>
        <w:ind w:left="660" w:right="180" w:hanging="652"/>
        <w:spacing w:after="0" w:line="250" w:lineRule="auto"/>
        <w:tabs>
          <w:tab w:leader="none" w:pos="40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8"/>
          <w:szCs w:val="18"/>
          <w:color w:val="auto"/>
        </w:rPr>
      </w:pPr>
    </w:p>
    <w:p>
      <w:pPr>
        <w:ind w:left="660" w:right="40" w:hanging="652"/>
        <w:spacing w:after="0" w:line="252" w:lineRule="auto"/>
        <w:tabs>
          <w:tab w:leader="none" w:pos="3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acquisitions of the noncontrolling interests in our China subsidiaries and BioScience Labs in 2021, Iotron in July 2020, and Nelson Labs Fairfield in 2018 (including the first quarter 2021 gain on the mandatorily redeemable noncontrolling interest as described in Note 4, “Acquisitions”), and certain related integration efforts as a result of those acquisitions, (ii) the earnings impact of fair value adjustments (excluding those recognized within amortization expense) resulting from the businesses acquired, (iii) transition services income and non-cash deferred lease income associated with the terms of the divestiture of the Medical Isotopes business in 2018, and (iv) a $3.4 million gain recognized in the third quarter of 2021 related to the settlement of an insurance claim for Nordion that existed at the time of our acquisition of the business in 2014.</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41" w:name="page42"/>
    <w:bookmarkEnd w:id="41"/>
    <w:p>
      <w:pPr>
        <w:ind w:left="660" w:right="780" w:hanging="652"/>
        <w:spacing w:after="0" w:line="255" w:lineRule="auto"/>
        <w:tabs>
          <w:tab w:leader="none" w:pos="4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 of recent acquisitions, the Sotera Health rebranding, operating structure realignment and other process enhancement projects.</w:t>
      </w:r>
    </w:p>
    <w:p>
      <w:pPr>
        <w:spacing w:after="0" w:line="2" w:lineRule="exact"/>
        <w:rPr>
          <w:rFonts w:ascii="Arial" w:cs="Arial" w:eastAsia="Arial" w:hAnsi="Arial"/>
          <w:sz w:val="18"/>
          <w:szCs w:val="18"/>
          <w:color w:val="auto"/>
        </w:rPr>
      </w:pPr>
    </w:p>
    <w:p>
      <w:pPr>
        <w:ind w:left="660" w:right="500" w:hanging="652"/>
        <w:spacing w:after="0" w:line="250" w:lineRule="auto"/>
        <w:tabs>
          <w:tab w:leader="none" w:pos="3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professional fees, severance and other payroll costs, and other costs including ongoing lease and utility expenses associated with the closure of the Willowbrook, Illinois facility.</w:t>
      </w:r>
    </w:p>
    <w:p>
      <w:pPr>
        <w:ind w:left="660" w:hanging="652"/>
        <w:spacing w:after="0" w:line="250" w:lineRule="auto"/>
        <w:tabs>
          <w:tab w:leader="none" w:pos="3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ind w:left="660" w:right="580" w:hanging="652"/>
        <w:spacing w:after="0" w:line="250" w:lineRule="auto"/>
        <w:tabs>
          <w:tab w:leader="none" w:pos="40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and other related professional fees. See Note 16, “Commitments and Contingencies”.</w:t>
      </w:r>
    </w:p>
    <w:p>
      <w:pPr>
        <w:ind w:left="660" w:right="360" w:hanging="652"/>
        <w:spacing w:after="0" w:line="265" w:lineRule="auto"/>
        <w:tabs>
          <w:tab w:leader="none" w:pos="402"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660" w:hanging="652"/>
        <w:spacing w:after="0" w:line="250" w:lineRule="auto"/>
        <w:tabs>
          <w:tab w:leader="none" w:pos="3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pandemic, including incremental costs to implement workplace health and safety measures. For the nine months ended September 30, 2020, costs also included donations to related charitable causes, and special bonuses for front-line personnel working on-site during lockdown periods.</w:t>
      </w:r>
    </w:p>
    <w:p>
      <w:pPr>
        <w:spacing w:after="0" w:line="1" w:lineRule="exact"/>
        <w:rPr>
          <w:rFonts w:ascii="Arial" w:cs="Arial" w:eastAsia="Arial" w:hAnsi="Arial"/>
          <w:sz w:val="18"/>
          <w:szCs w:val="18"/>
          <w:color w:val="auto"/>
        </w:rPr>
      </w:pPr>
    </w:p>
    <w:p>
      <w:pPr>
        <w:ind w:left="660" w:right="500" w:hanging="652"/>
        <w:spacing w:after="0" w:line="250" w:lineRule="auto"/>
        <w:tabs>
          <w:tab w:leader="none" w:pos="362"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Represents the tax benefit or provision associated with the reconciling items between net income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Arial" w:cs="Arial" w:eastAsia="Arial" w:hAnsi="Arial"/>
          <w:sz w:val="18"/>
          <w:szCs w:val="18"/>
          <w:color w:val="231F20"/>
        </w:rPr>
      </w:pPr>
    </w:p>
    <w:p>
      <w:pPr>
        <w:ind w:left="400" w:hanging="392"/>
        <w:spacing w:after="0"/>
        <w:tabs>
          <w:tab w:leader="none" w:pos="40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Includes depreciation of Co-60 held at gamma irradiation sites.</w:t>
      </w:r>
    </w:p>
    <w:p>
      <w:pPr>
        <w:spacing w:after="0" w:line="9" w:lineRule="exact"/>
        <w:rPr>
          <w:rFonts w:ascii="Arial" w:cs="Arial" w:eastAsia="Arial" w:hAnsi="Arial"/>
          <w:sz w:val="18"/>
          <w:szCs w:val="18"/>
          <w:color w:val="231F20"/>
        </w:rPr>
      </w:pPr>
    </w:p>
    <w:p>
      <w:pPr>
        <w:ind w:left="660" w:right="40" w:hanging="652"/>
        <w:spacing w:after="0" w:line="243" w:lineRule="auto"/>
        <w:tabs>
          <w:tab w:leader="none" w:pos="362"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Represents the difference between income tax provision or benefit as determined under U.S. GAAP and the income tax provision or benefit associated with pre-tax adjustments described in footnote (j).</w:t>
      </w:r>
    </w:p>
    <w:p>
      <w:pPr>
        <w:spacing w:after="0" w:line="1" w:lineRule="exact"/>
        <w:rPr>
          <w:rFonts w:ascii="Arial" w:cs="Arial" w:eastAsia="Arial" w:hAnsi="Arial"/>
          <w:sz w:val="18"/>
          <w:szCs w:val="18"/>
          <w:color w:val="231F20"/>
        </w:rPr>
      </w:pPr>
    </w:p>
    <w:p>
      <w:pPr>
        <w:ind w:left="440" w:hanging="432"/>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$20.8 million and $21.3 million of the adjustments for the three months ended September 30, 2021 and 2020, respectively, and $63.3 million and</w:t>
      </w:r>
    </w:p>
    <w:p>
      <w:pPr>
        <w:spacing w:after="0" w:line="5" w:lineRule="exact"/>
        <w:rPr>
          <w:sz w:val="20"/>
          <w:szCs w:val="20"/>
          <w:color w:val="auto"/>
        </w:rPr>
      </w:pPr>
    </w:p>
    <w:p>
      <w:pPr>
        <w:ind w:left="660" w:right="40"/>
        <w:spacing w:after="0" w:line="233" w:lineRule="auto"/>
        <w:rPr>
          <w:sz w:val="20"/>
          <w:szCs w:val="20"/>
          <w:color w:val="auto"/>
        </w:rPr>
      </w:pPr>
      <w:r>
        <w:rPr>
          <w:rFonts w:ascii="Arial" w:cs="Arial" w:eastAsia="Arial" w:hAnsi="Arial"/>
          <w:sz w:val="18"/>
          <w:szCs w:val="18"/>
          <w:color w:val="auto"/>
        </w:rPr>
        <w:t>$62.0 million of the adjustments for the nine months ended September 30, 2021 and 2020, respectively, are included in cost of revenues, primarily consisting of amortization of intangibles, depreciation, and accretion of asset retirement obligations.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Statements of Operations and Comprehensive Income (Loss). The accounting policies for our reportable segments are the same as those for the consolidated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Sterigenics provides outsourced terminal sterilization and irradiation services for the medical device, pharmaceutical, food safety and advanced applications markets using three major technologies: gamma irradiation, EO processing and E-beam irradiation.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Nordion is a leading global provider of Co-60 used in the sterilization and irradiation processes for the medical device, pharmaceutical, food safety, and high-performance materials industries, as well as in the treatment of cancer. In addition, Nordion is a leading global provider of gamma irradiation systems.</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Results for our Nordion segment are also impacted by Co-60 supplier mix, harvest schedules and product and service mix.</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pharmaceutical industries.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regarding our reportable segments please refer to Note 18, “Segment Information” to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compare segment net revenue and segment income for the three months ended September 30, 2021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78"/>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24"/>
                <w:szCs w:val="24"/>
                <w:color w:val="auto"/>
              </w:rPr>
            </w:pPr>
          </w:p>
        </w:tc>
        <w:tc>
          <w:tcPr>
            <w:tcW w:w="12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145,314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126,302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19,012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28,768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20,268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28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52,082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53,458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79,344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66,682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12,662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16,331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10,261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59.2 %</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280" w:type="dxa"/>
            <w:vAlign w:val="bottom"/>
          </w:tcPr>
          <w:p>
            <w:pPr>
              <w:spacing w:after="0"/>
              <w:rPr>
                <w:sz w:val="21"/>
                <w:szCs w:val="21"/>
                <w:color w:val="auto"/>
              </w:rPr>
            </w:pPr>
          </w:p>
        </w:tc>
        <w:tc>
          <w:tcPr>
            <w:tcW w:w="1280" w:type="dxa"/>
            <w:vAlign w:val="bottom"/>
          </w:tcPr>
          <w:p>
            <w:pPr>
              <w:jc w:val="right"/>
              <w:ind w:right="155"/>
              <w:spacing w:after="0"/>
              <w:rPr>
                <w:sz w:val="20"/>
                <w:szCs w:val="20"/>
                <w:color w:val="auto"/>
              </w:rPr>
            </w:pPr>
            <w:r>
              <w:rPr>
                <w:rFonts w:ascii="Arial" w:cs="Arial" w:eastAsia="Arial" w:hAnsi="Arial"/>
                <w:sz w:val="18"/>
                <w:szCs w:val="18"/>
                <w:b w:val="1"/>
                <w:bCs w:val="1"/>
                <w:color w:val="auto"/>
              </w:rPr>
              <w:t>20,999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23,542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17145</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54.6 %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52.8 %</w:t>
            </w:r>
          </w:p>
        </w:tc>
        <w:tc>
          <w:tcPr>
            <w:tcW w:w="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40.3 %</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44.0 %</w:t>
            </w:r>
          </w:p>
        </w:tc>
        <w:tc>
          <w:tcPr>
            <w:tcW w:w="8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Sterigenics net revenues were $145.3 million for the three months ended September 30, 2021, an increase of $19.0 million, or 15.1%, as compared to the three months ended September 30, 2020. The increase is attributable to an 8.5% growth in organic sales volume, a 3.8% favorable impact from pricing and a 1.7% increase in revenues attributable to an additional month of operations from Iotron, which was acquired on July 31, 2020. Revenue growth was also driven by a 1.1% favorable impact from changes in foreign currency exchange rates.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Nordion net revenues were $28.8 million for the three months ended September 30, 2021, an increase of $8.5 million, or 41.9%, as compared to the three months ended September 30, 2020. The increase reflects a 30.6% impact from higher volumes, a 6.3% impact from favorable pricing, and a 5.0% effect of the strengthening of the Canadian dollar compared to the U.S. dollar for the three months ended September 30, 2021 as compared to the three months ended September 30, 2020.</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Nelson Labs net revenues were $52.1 million for the three months ended September 30, 2021, a decrease of $1.4 million, or 2.6%, as compared to the three months ended September 30, 2020. The decrease was principally driven by an 8.6% decline in personal protective equipment testing. Partially offsetting this decline was a 5.3% revenue contribution from the acquisition of BioScience Labs.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Sterigenics segment income was $79.3 million for the three months ended September 30, 2021, an increase of $12.7 million, or 19.0%, as compared to the three months ended September 30, 2020. The increase in segment income was primarily a result of volume growth and favorable pricing as well as the contribution from the Iotron acquisition.</w:t>
      </w:r>
    </w:p>
    <w:p>
      <w:pPr>
        <w:spacing w:after="0" w:line="18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Nordion segment income was $16.3 million for the three months ended September 30, 2021, an increase of $6.1 million, or 59.2%, as compared to the three months ended September 30, 2020. The increase in segment income was primarily due to the increase in sales volumes of industrial use Co-60 coupled with the favorable impact of pricing and changes in foreign currency exchange rates.</w:t>
      </w:r>
    </w:p>
    <w:p>
      <w:pPr>
        <w:sectPr>
          <w:pgSz w:w="11900" w:h="16838" w:orient="portrait"/>
          <w:cols w:equalWidth="0" w:num="1">
            <w:col w:w="11220"/>
          </w:cols>
          <w:pgMar w:left="320" w:top="1151" w:right="3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type w:val="continuous"/>
        </w:sectPr>
      </w:pPr>
    </w:p>
    <w:bookmarkStart w:id="43" w:name="page44"/>
    <w:bookmarkEnd w:id="43"/>
    <w:p>
      <w:pPr>
        <w:jc w:val="both"/>
        <w:ind w:right="120"/>
        <w:spacing w:after="0" w:line="263" w:lineRule="auto"/>
        <w:rPr>
          <w:sz w:val="20"/>
          <w:szCs w:val="20"/>
          <w:color w:val="auto"/>
        </w:rPr>
      </w:pPr>
      <w:r>
        <w:rPr>
          <w:rFonts w:ascii="Arial" w:cs="Arial" w:eastAsia="Arial" w:hAnsi="Arial"/>
          <w:sz w:val="18"/>
          <w:szCs w:val="18"/>
          <w:color w:val="auto"/>
        </w:rPr>
        <w:t>Nelson Labs segment income was $21.0 million for the three months ended September 30, 2021, a decrease of $2.5 million, or 10.8%, as compared to the three months ended September 30, 2020. The decrease was primarily driven by the reduced demand for testing of personal protective equipment, offset by incremental segment income from the acquisition of BioScience Labs.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September 30, 2021 and 2020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compare segment net revenue and segment income for the nine months ended September 30, 2021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78"/>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(thousands of U.S. dollars)</w:t>
            </w:r>
          </w:p>
        </w:tc>
        <w:tc>
          <w:tcPr>
            <w:tcW w:w="300" w:type="dxa"/>
            <w:vAlign w:val="bottom"/>
          </w:tcPr>
          <w:p>
            <w:pPr>
              <w:spacing w:after="0"/>
              <w:rPr>
                <w:sz w:val="24"/>
                <w:szCs w:val="24"/>
                <w:color w:val="auto"/>
              </w:rPr>
            </w:pPr>
          </w:p>
        </w:tc>
        <w:tc>
          <w:tcPr>
            <w:tcW w:w="12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421,647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363,954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57,693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103,811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86,034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164,771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151,325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227,374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192,803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34,571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61,285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50,692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300" w:type="dxa"/>
            <w:vAlign w:val="bottom"/>
          </w:tcPr>
          <w:p>
            <w:pPr>
              <w:spacing w:after="0"/>
              <w:rPr>
                <w:sz w:val="21"/>
                <w:szCs w:val="21"/>
                <w:color w:val="auto"/>
              </w:rPr>
            </w:pPr>
          </w:p>
        </w:tc>
        <w:tc>
          <w:tcPr>
            <w:tcW w:w="1260" w:type="dxa"/>
            <w:vAlign w:val="bottom"/>
          </w:tcPr>
          <w:p>
            <w:pPr>
              <w:jc w:val="right"/>
              <w:ind w:right="155"/>
              <w:spacing w:after="0"/>
              <w:rPr>
                <w:sz w:val="20"/>
                <w:szCs w:val="20"/>
                <w:color w:val="auto"/>
              </w:rPr>
            </w:pPr>
            <w:r>
              <w:rPr>
                <w:rFonts w:ascii="Arial" w:cs="Arial" w:eastAsia="Arial" w:hAnsi="Arial"/>
                <w:sz w:val="18"/>
                <w:szCs w:val="18"/>
                <w:b w:val="1"/>
                <w:bCs w:val="1"/>
                <w:color w:val="auto"/>
              </w:rPr>
              <w:t>67,895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63,302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17145</wp:posOffset>
            </wp:positionV>
            <wp:extent cx="17830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 margin</w:t>
            </w: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Sterigenics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53.9 %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53.0 %</w:t>
            </w:r>
          </w:p>
        </w:tc>
        <w:tc>
          <w:tcPr>
            <w:tcW w:w="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Nordion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58.9 %</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460"/>
              <w:spacing w:after="0"/>
              <w:rPr>
                <w:sz w:val="20"/>
                <w:szCs w:val="20"/>
                <w:color w:val="auto"/>
              </w:rPr>
            </w:pPr>
            <w:r>
              <w:rPr>
                <w:rFonts w:ascii="Arial" w:cs="Arial" w:eastAsia="Arial" w:hAnsi="Arial"/>
                <w:sz w:val="18"/>
                <w:szCs w:val="18"/>
                <w:color w:val="auto"/>
              </w:rPr>
              <w:t>Nelson Labs</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41.2 %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41.8 %</w:t>
            </w:r>
          </w:p>
        </w:tc>
        <w:tc>
          <w:tcPr>
            <w:tcW w:w="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 by Segment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Sterigenics net revenues were $421.6 million for the nine months ended September 30, 2021, an increase of $57.7 million, or 15.9%, as compared to the nine months ended September 30, 2020. The increase reflects volume growth of 6.4% coupled with a 4.0% increase attributable to the Iotron acquisition. In addition, Sterigenics revenue growth benefited from a 3.7% favorable pricing impact and a 1.8% favorable impact from changes in foreign currency exchanges rates.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Nordion net revenues were $103.8 million for the nine months ended September 30, 2021, an increase of $17.8 million, or 20.7%, as compared to the three months ended September 30, 2020. The increase was attributable to a 7.0% growth in organic sales volume, a 7.0% effect from the strengthening of the Canadian dollar compared to the U.S. dollar for the nine months ended September 30, 2021 as compared to the nine months ended September 30, 2020, and a 6.7% impact from favorable pricing.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Nelson Labs net revenues were $164.8 million for the nine months ended September 30, 2021, an increase of $13.4 million, or 8.9%, as compared to the nine months ended September 30, 2020. Net revenue growth was driven by a 5.2% revenue contribution from the acquisition of BioScience Labs, favorable impacts from pricing of 3.4% and a 1.3% benefit from changes in foreign currency exchange rates. Offsetting these growth factors was a 1.6% decline in revenue related to the testing of personal protective equipment.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Sterigenics segment income was $227.4 million for the nine months ended September 30, 2021, an increase of $34.6 million, or 17.9%, as compared to the nine months ended September 30, 2020. The increase in segment income was primarily a result of volume growth coupled with the contributions of the Iotron acquisition and favorable pricing, as referenced above. This was partially offset by incremental overhead associated with being a public company.</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Nordion segment income was $61.3 million for the nine months ended September 30, 2021, an increase of $10.6 million, or 20.9%, as compared to the nine months ended September 30, 2020. The increase in segment income stemmed from a balanced impact of organic sales volume, favorable customer pricing and a favorable effect of changes in foreign currency exchange rates. This was partially offset by incremental overhead associated with being a public company.</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Nelson Labs segment income was $67.9 million for the nine months ended September 30, 2021, an increase of $4.6 million, or 7.3%, as compared to the nine months ended September 30, 2020, primarily attributed to the incremental contribution of</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4" w:name="page45"/>
    <w:bookmarkEnd w:id="44"/>
    <w:p>
      <w:pPr>
        <w:ind w:right="380"/>
        <w:spacing w:after="0" w:line="277" w:lineRule="auto"/>
        <w:rPr>
          <w:sz w:val="20"/>
          <w:szCs w:val="20"/>
          <w:color w:val="auto"/>
        </w:rPr>
      </w:pPr>
      <w:r>
        <w:rPr>
          <w:rFonts w:ascii="Arial" w:cs="Arial" w:eastAsia="Arial" w:hAnsi="Arial"/>
          <w:sz w:val="18"/>
          <w:szCs w:val="18"/>
          <w:color w:val="auto"/>
        </w:rPr>
        <w:t>BioScience Labs and the benefit of favorable pricing. This increase was partially offset by declines in the testing of personal protective equipment and incremental overhead associated with being a public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84"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As of September 30, 2021, we had $114.9 million of cash and cash equivalents. This is an increase of $12.5 million from the balance at December 31, 2020. Our foreign subsidiaries held cash of approximately $102.2 million at September 30, 2021 and $88.8 million at December 31, 2020. No material restrictions exist to accessing cash held by our foreign subsidiaries notwithstanding any potential tax consequences.</w:t>
      </w:r>
    </w:p>
    <w:p>
      <w:pPr>
        <w:spacing w:after="0" w:line="16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cobalt development projects and information technology enhancements. During the nine months ended September 30, 2021, our capital expenditures amounted to $60.9 million, compared to $33.6 million for the nine months ended September 30, 2020.</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Cash provided by operations in excess of amounts needed may be used to fund potential acquisitions, to repay outstanding debt, or for other general corporate purposes. As of September 30, 2021, there were no outstanding borrowings on the Revolving Credit Facility. Our ability to meet future working capital, capital expenditures and debt service requirements will depend on our future financial performance, which will be affected by a range of macroeconomic, competitive and business factors, including interest rate changes and changes in our industry, many of which are outside of our control. As of September 30, 2021, our interest rate caps limit our cash flow exposure related to LIBOR for approximately 85% of our variable rate borrowings to the facility LIBOR floor of 0.5%. Refer to Note 17, “Financial Instruments and Financial Risk” under the heading “Derivative Instruments” for additional information regarding the interest rate caps used to manage economic risks associated with our variable rate borrowings.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215,194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98,740</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(139,920)</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(115,504)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83,961</w:t>
            </w:r>
          </w:p>
        </w:tc>
      </w:tr>
      <w:tr>
        <w:trPr>
          <w:trHeight w:val="27"/>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r>
      <w:tr>
        <w:trPr>
          <w:trHeight w:val="264"/>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including restricted cash, during the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45,420</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Cash flows provided by operating activities increased $116.5 million to net cash provided of $215.2 million in the nine months ended September 30, 2021 compared to $98.7 million for the nine months ended September 30, 2020. Higher cash flows from operating activities in the nine months ended September 30, 2021 compared to the nine months ended September 30, 2020 were driven by a decrease in cash paid for interest of $110.2 million and an increase in operating income of $36.7 million, offset by an increase in cash paid for income taxes of $22.3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used in investing activities decreased $52.4 million to net cash used of $87.6 million in the nine months ended September 30, 2021 compared to $139.9 million for the nine months ended September 30, 2020. The change was attributable to</w:t>
      </w:r>
    </w:p>
    <w:p>
      <w:pPr>
        <w:sectPr>
          <w:pgSz w:w="11900" w:h="16838" w:orient="portrait"/>
          <w:cols w:equalWidth="0" w:num="1">
            <w:col w:w="11220"/>
          </w:cols>
          <w:pgMar w:left="320" w:top="1151"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type w:val="continuous"/>
        </w:sectPr>
      </w:pPr>
    </w:p>
    <w:bookmarkStart w:id="45" w:name="page46"/>
    <w:bookmarkEnd w:id="45"/>
    <w:p>
      <w:pPr>
        <w:ind w:right="80"/>
        <w:spacing w:after="0" w:line="259" w:lineRule="auto"/>
        <w:rPr>
          <w:sz w:val="20"/>
          <w:szCs w:val="20"/>
          <w:color w:val="auto"/>
        </w:rPr>
      </w:pPr>
      <w:r>
        <w:rPr>
          <w:rFonts w:ascii="Arial" w:cs="Arial" w:eastAsia="Arial" w:hAnsi="Arial"/>
          <w:sz w:val="18"/>
          <w:szCs w:val="18"/>
          <w:color w:val="auto"/>
        </w:rPr>
        <w:t>a decrease of $80.3 million in cash paid for acquisitions, offset by an increase in cash paid for capital expenditures of $27.3 million. During the nine months ended September 30, 2021 we acquired BioScience Labs for a net purchase price of approximately $13.5 million and we completed the acquisition of the remaining 15% ownership of Nelson Labs Fairfield for $12.4 million. During the nine months ended September 30, 2020 we acquired Iotron for a net purchase price of $106.3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nine months ended September 30, 2021, net cash used in financing activities was $115.5 million compared to net cash provided by financing activities of $84.0 million for the nine months ended September 30, 2020. For the nine months ended September 30, 2021, the principal uses of cash in financing activities were $100.0 million for the full redemption of the First Lien Notes, $8.4 million for the acquisition of the noncontrolling interests in our China subsidiaries and $6.7 million of debt issuance costs and prepayment premium incurred in connection with our refinancing of the Senior Secured Credit Facilities and the early redemption of the First Lien Notes, respectively. For the nine months ended September 30, 2020 cash provided by financing activities included a $50.0 million borrowing on our revolving credit facility in March 2020 in response to uncertainty surrounding the onset of the COVID-19 pandemic and the July 2020 issuance of the First Lien Notes to fund the acquisition of Iotron. Offsetting these sources of cash was $61.0 million in repayments on debt, including repayment of the $50.0 million borrowing on our revolving credit facility, and $3.9 million of cash used for the payment debt issuance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December 13, 2019, Sotera Health Holdings, LLC (“SHH”), our wholly owned subsidiary, entered into senior secured first lien credit facilities (the “Senior Secured Credit Facilities”), consisting of both a prepayable senior secured first lien term loan (the “Term Loan”) and a senior secured first lien revolving credit facility (the “Revolving Credit Facility”) pursuant to a first lien credit agreement (the “Credit Agreement”). The Term Loan matures on December 13, 2026, and the Revolving Credit Facility's original maturity date was December 13, 2024. On December 17, 2020, we increased the capacity of our Revolving Credit Facility from $190.0 million to $347.5 million. The Senior Secured Credit Facilities also provide SHH the right at any time and under certain conditions to request incremental term loans or incremental revolving credit commitments based on a formula defined in the Senior Secured Credit Facilities. As of September 30, 2021 and December 31, 2020, total borrowings under the Term Loan were $1,763.1 million in each period, respectively, and there were no borrowings outstanding on the Revolving Credit Facility. The weighted average interest rate on borrowings under the Term Loan for the three months ended September 30, 2021 and September 30, 2020 was 3.25% and 5.50%, respectively, and 3.51% and 5.73% for the nine months ended September 30, 2021 and September 30, 2020, respectively.</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20, 2021, we closed on an amendment repricing our Term Loan. The interest rate spread over the London Interbank Offered Rate (“LIBOR”) on the facility was reduced from 450 basis points to 275 basis points, and the facility’s LIBOR floor was reduced from 100 basis points to 50 basis points. The changes result in an effective reduction in current interest rates of 2.25%. As a result of the repricing, we expect cash interest savings of approximately $40.0 million per year based on the outstanding principal balance as of September 30, 2021. In connection with this amendment, we wrote off $11.3 million of unamortized debt issuance and discount costs and incurred an additional $2.9 million of expense related to debt issuance costs attributable to the refinancing. These costs were recorded to “Loss on extinguishment of debt” in our Consolidated Statements of Operations and Comprehensive Income (Loss).</w:t>
      </w:r>
    </w:p>
    <w:p>
      <w:pPr>
        <w:spacing w:after="0" w:line="195"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As of September 30, 2021 and December 31, 2020, capitalized debt issuance costs totaled $2.8 million and $3.4 million, respectively, and debt discounts totaled $18.2 million and $31.6 million, respectively, related to the Senior Secured Credit Facilities. Such costs are recorded as a reduction of debt on our Consolidated Balance Sheets and amortized as a component of interest expense over the term of the debt agreement.</w:t>
      </w:r>
    </w:p>
    <w:p>
      <w:pPr>
        <w:ind w:right="20"/>
        <w:spacing w:after="0" w:line="251" w:lineRule="auto"/>
        <w:rPr>
          <w:sz w:val="20"/>
          <w:szCs w:val="20"/>
          <w:color w:val="auto"/>
        </w:rPr>
      </w:pPr>
      <w:r>
        <w:rPr>
          <w:rFonts w:ascii="Arial" w:cs="Arial" w:eastAsia="Arial" w:hAnsi="Arial"/>
          <w:sz w:val="18"/>
          <w:szCs w:val="18"/>
          <w:color w:val="auto"/>
        </w:rPr>
        <w:t>On March 26, 2021, we amended the Revolving Credit Facility, to (i) decrease the Applicable Rate (as defined in the Credit Agreement) related to any Revolving Loans (as defined in the Credit Agreement) from a rate per annum that ranged from an alternative base rate (“ABR”) plus 2.50% to ABR plus 3.00% depending on SHH’s Senior Secured First Lien Net Leverage Ratio to ABR plus 1.75%; and in the case of Eurodollar Loans (as defined in the Credit Agreement) from a rate per annum which ranged from the Adjusted LIBOR plus 3.50% to the Adjusted LIBOR plus 4.00% depending on SHH’s Senior Secured First Lien Net Leverage Ratio (as defined in the Credit Agreement), to the Adjusted LIBOR (as defined in the Credit Agreement) plus 2.75% and (ii) extend the maturity date of the Revolving Facility from December 13, 2024 to June 13, 2026. The other material terms of the Credit Agreement are unchanged and the amendment does not change the capacity of our Revolving Credit Facility, which is $347.5 million. No unamortized debt issuance costs associated with the Revolving Credit Facility were written off and direct fees and costs incurred in connection with the amendment were immaterial.</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6" w:name="page47"/>
    <w:bookmarkEnd w:id="46"/>
    <w:p>
      <w:pPr>
        <w:ind w:right="280"/>
        <w:spacing w:after="0" w:line="263" w:lineRule="auto"/>
        <w:rPr>
          <w:sz w:val="20"/>
          <w:szCs w:val="20"/>
          <w:color w:val="auto"/>
        </w:rPr>
      </w:pPr>
      <w:r>
        <w:rPr>
          <w:rFonts w:ascii="Arial" w:cs="Arial" w:eastAsia="Arial" w:hAnsi="Arial"/>
          <w:sz w:val="18"/>
          <w:szCs w:val="18"/>
          <w:color w:val="auto"/>
        </w:rPr>
        <w:t>As of September 30, 2021 and December 31, 2020, there were no borrowings on the Revolving Credit Facility. SHH borrowed $50.0 million on the Revolving Credit Facility during the first quarter of 2020 which was repaid in the second quarter of 2020. The interest rate on the borrowings under the Revolving Credit Facility during 2020 averaged approximately 5.0%.</w:t>
      </w:r>
    </w:p>
    <w:p>
      <w:pPr>
        <w:spacing w:after="0" w:line="18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assets of the borrower and guarantors, subject to permitted liens and other exceptions and exclusions, as outlined in the Senior Secured Credit Facilities.</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September 30, 2021, the Company had $67.6 million of letters of credit issued against the Revolving Credit Facility, resulting in total availability under the Revolving Credit Facility of $279.9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Notes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which were scheduled to mature on December 13, 2026. On August 27, 2021 SHH redeemed in full the $100.0 million aggregate principal amount of the First Lien Notes. In connection with this redemption, the Company paid a $3.0 million early redemption premium, in accordance with the terms of the First Lien Notes Indenture, and wrote off $3.4 million of debt issuance and discount costs. The Company recognized these expenses within “Loss on extinguishment of debt” in our Consolidated Statements of Operations and Comprehensive Income (Loss) for the three and nine months ended September 30, 2021.</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Prior to the redemption, the First Lien Notes bore interest at a rate equal to LIBOR subject to a 1.00% floor plus 6.00% per annum. Interest was payable on a quarterly basis with no principal due until maturity. The weighted average interest rate on the First Lien Notes during 2021 up to the August 27, 2021 redemption date was 7.00%.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Debt Repayments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November 24, 2020, we closed our IPO, in which we sold 53,590,000 shares of our common stock at a price of $23.00 per share, which included the full exercise by the underwriters of their option to purchase up to an additional 6,990,000 shares of common stock. We raised approximately $1.2 billion in net proceeds after deducting underwriters’ discounts and commissions. We used the net proceeds received by us from the IPO to (i) redeem $770.0 million in aggregate principal amount of the Second Lien Senior Secured Notes with an original maturity date of December 13, 2027 (the “Second Lien Notes”), plus accrued and unpaid interest thereon and $15.4 million of redemption premium, (ii) repurchase 1,568,445 shares of our common stock from certain of our executive officers at a purchase price per share equal to the IPO price per share of our common stock less an amount equal to the underwriting discounts and commissions payable thereon and (iii) repay $341.0 million of the outstanding indebtedness under the Term Loan, plus accrued and unpaid interest thereon. In connection with the debt repayments, we wrote off $28.9 million of debt issuance and discount costs and recognized $15.4 million in premiums paid for the early extinguishment of the Second Lien Notes. We recognized these costs within “Loss on extinguishment of debt” in our Consolidated Statements of Operations and Comprehensive Income (Loss) in the fourth quarter of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A comprehensive discussion of the Company’s critical accounting policies and management estimates made in connection with the preparation of the financial statements is included in Item 7 of our Annual Report on Form 10-K for the year ended December 31, 2020. There have been no significant changes in critical accounting policies, management estimates or accounting policies since the year ended December 31, 2020.</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1"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recent accounting pronouncements applicable to our business, see Note 2, “Recent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Market risks are described within “Quantitative and Qualitative Disclosures About Market Risk” in Part II, Item 7A of our 2020 Form 10-K. These market risks have not materially changed for the three and nine months ended September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Company’s “disclosure controls and procedures,” (as defined in Rules 13a-15(e) and 15d-15(e) under the Securities Exchange Act of 1934, as amended (“Exchange Act”)). Based upon their evaluation, the Chief Executive Officer and Chief Financial Officer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CEO and CFO,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and nine months ended September 30, 2021,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herein,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Information regarding our legal proceedings is included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Described in Note 16 of Our Consolidated Financial Statements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Note 16, “Commitments and Contingencies” to our consolidated financial statements for the three and nine months ended September 30, 2021 contained in this Quarterly Report on Form 10-Q includes information on legal proceedings that constitute material contingencies for financial reporting purposes that could have a material effect on our financial condition or results of operations. This item should be read in conjunction with Note 16 for information regarding the following legal proceedings, which information is incorporated into this item by reference:</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FM Global Business Interruption Claim (NRU Outage)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Ethylene Oxide Tort Litigation – Illinois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Ethylene Oxide Tort Litigation – Georgia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Consent Order Allowing Georgia Facility’s Normal Operations &amp; Related Litigation;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Ethylene Oxide Litigation – New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That Are Not Described in Note 16 to Our Consolidated Financial Statements</w:t>
      </w:r>
    </w:p>
    <w:p>
      <w:pPr>
        <w:spacing w:after="0" w:line="121"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In addition to the matters that are identified in Note 16 to our consolidated financial statements for the three and nine months ended September 30, 2021 contained in this Quarterly Report on Form 10-Q, and incorporated into this item by reference, the following matter also constitutes a material pending legal proceeding, other than ordinary course litigation incidental to our business, to which we are or any of our subsidiaries is a party.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Zoetermeer, Holland Criminal Proceedings and Criminal Financial Investigation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(US$0.9 million) may be imposed.</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November 2010, the Public Prosecution Service also started a criminal financial investigation against DEROSS B.V. to determine whether it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(US$0.7 million).</w:t>
      </w:r>
    </w:p>
    <w:p>
      <w:pPr>
        <w:spacing w:after="0" w:line="17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spacing w:after="0" w:line="1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(US$0.2 million).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9" w:name="page50"/>
    <w:bookmarkEnd w:id="49"/>
    <w:p>
      <w:pPr>
        <w:spacing w:after="0" w:line="254" w:lineRule="auto"/>
        <w:rPr>
          <w:sz w:val="20"/>
          <w:szCs w:val="20"/>
          <w:color w:val="auto"/>
        </w:rPr>
      </w:pPr>
      <w:r>
        <w:rPr>
          <w:rFonts w:ascii="Arial" w:cs="Arial" w:eastAsia="Arial" w:hAnsi="Arial"/>
          <w:sz w:val="18"/>
          <w:szCs w:val="18"/>
          <w:color w:val="auto"/>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 September 30, 2021 was approximately US$1.9 million and the cash collateral held by ABN Amro to provide security for the claims was approximately €2.4 million (US$2.8 million) as of September 30, 2021.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spacing w:after="0" w:line="19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2020 Form 10-K. Refer to Part I, Item 1A of our 2020 Form 10-K for a detailed discussion of risk factors affecting us.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in the following Exhibit Index are filed, furnished, or incorporated by reference as part of this Quarterly Report on Form 10-Q.</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120" w:type="dxa"/>
            <w:vAlign w:val="bottom"/>
            <w:gridSpan w:val="3"/>
          </w:tcPr>
          <w:p>
            <w:pPr>
              <w:ind w:left="120"/>
              <w:spacing w:after="0"/>
              <w:rPr>
                <w:sz w:val="20"/>
                <w:szCs w:val="20"/>
                <w:color w:val="auto"/>
              </w:rPr>
            </w:pPr>
            <w:r>
              <w:rPr>
                <w:rFonts w:ascii="Arial" w:cs="Arial" w:eastAsia="Arial" w:hAnsi="Arial"/>
                <w:sz w:val="18"/>
                <w:szCs w:val="18"/>
                <w:b w:val="1"/>
                <w:bCs w:val="1"/>
                <w:color w:val="auto"/>
              </w:rPr>
              <w:t>Incorporated by Reference</w:t>
            </w:r>
          </w:p>
        </w:tc>
        <w:tc>
          <w:tcPr>
            <w:tcW w:w="1640" w:type="dxa"/>
            <w:vAlign w:val="bottom"/>
          </w:tcPr>
          <w:p>
            <w:pPr>
              <w:spacing w:after="0"/>
              <w:rPr>
                <w:sz w:val="20"/>
                <w:szCs w:val="20"/>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ind w:left="180"/>
              <w:spacing w:after="0"/>
              <w:rPr>
                <w:sz w:val="20"/>
                <w:szCs w:val="20"/>
                <w:color w:val="auto"/>
              </w:rPr>
            </w:pPr>
            <w:r>
              <w:rPr>
                <w:rFonts w:ascii="Arial" w:cs="Arial" w:eastAsia="Arial" w:hAnsi="Arial"/>
                <w:sz w:val="18"/>
                <w:szCs w:val="18"/>
                <w:b w:val="1"/>
                <w:bCs w:val="1"/>
                <w:color w:val="auto"/>
              </w:rPr>
              <w:t>Furnished/Filed</w:t>
            </w:r>
          </w:p>
        </w:tc>
      </w:tr>
      <w:tr>
        <w:trPr>
          <w:trHeight w:val="234"/>
        </w:trPr>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 No</w:t>
            </w:r>
          </w:p>
        </w:tc>
        <w:tc>
          <w:tcPr>
            <w:tcW w:w="4480" w:type="dxa"/>
            <w:vAlign w:val="bottom"/>
            <w:gridSpan w:val="5"/>
          </w:tcPr>
          <w:p>
            <w:pPr>
              <w:spacing w:after="0"/>
              <w:rPr>
                <w:sz w:val="20"/>
                <w:szCs w:val="20"/>
                <w:color w:val="auto"/>
              </w:rPr>
            </w:pPr>
            <w:r>
              <w:rPr>
                <w:rFonts w:ascii="Arial" w:cs="Arial" w:eastAsia="Arial" w:hAnsi="Arial"/>
                <w:sz w:val="18"/>
                <w:szCs w:val="18"/>
                <w:b w:val="1"/>
                <w:bCs w:val="1"/>
                <w:color w:val="auto"/>
              </w:rPr>
              <w:t>Description of Exhibits</w:t>
            </w: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Form</w:t>
            </w:r>
          </w:p>
        </w:tc>
        <w:tc>
          <w:tcPr>
            <w:tcW w:w="1120" w:type="dxa"/>
            <w:vAlign w:val="bottom"/>
          </w:tcPr>
          <w:p>
            <w:pPr>
              <w:ind w:left="300"/>
              <w:spacing w:after="0"/>
              <w:rPr>
                <w:sz w:val="20"/>
                <w:szCs w:val="20"/>
                <w:color w:val="auto"/>
              </w:rPr>
            </w:pPr>
            <w:r>
              <w:rPr>
                <w:rFonts w:ascii="Arial" w:cs="Arial" w:eastAsia="Arial" w:hAnsi="Arial"/>
                <w:sz w:val="18"/>
                <w:szCs w:val="18"/>
                <w:b w:val="1"/>
                <w:bCs w:val="1"/>
                <w:color w:val="auto"/>
              </w:rPr>
              <w:t>File No.</w:t>
            </w: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Exhibit  Filing Date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7"/>
        </w:trPr>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1200" w:type="dxa"/>
            <w:vAlign w:val="bottom"/>
          </w:tcPr>
          <w:p>
            <w:pPr>
              <w:jc w:val="right"/>
              <w:ind w:right="770"/>
              <w:spacing w:after="0" w:line="196" w:lineRule="exact"/>
              <w:rPr>
                <w:sz w:val="20"/>
                <w:szCs w:val="20"/>
                <w:color w:val="auto"/>
              </w:rPr>
            </w:pPr>
            <w:r>
              <w:rPr>
                <w:rFonts w:ascii="Arial" w:cs="Arial" w:eastAsia="Arial" w:hAnsi="Arial"/>
                <w:sz w:val="18"/>
                <w:szCs w:val="18"/>
                <w:color w:val="auto"/>
                <w:w w:val="91"/>
              </w:rPr>
              <w:t>31.1</w:t>
            </w:r>
          </w:p>
        </w:tc>
        <w:tc>
          <w:tcPr>
            <w:tcW w:w="100" w:type="dxa"/>
            <w:vAlign w:val="bottom"/>
          </w:tcPr>
          <w:p>
            <w:pPr>
              <w:spacing w:after="0"/>
              <w:rPr>
                <w:sz w:val="17"/>
                <w:szCs w:val="17"/>
                <w:color w:val="auto"/>
              </w:rPr>
            </w:pPr>
          </w:p>
        </w:tc>
        <w:tc>
          <w:tcPr>
            <w:tcW w:w="4480" w:type="dxa"/>
            <w:vAlign w:val="bottom"/>
            <w:gridSpan w:val="5"/>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Certification of Principal Executive Officer pursuant to</w:t>
              </w:r>
            </w:hyperlink>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Exchange Act Rules 13a-14(a) and 15d-14(a), as adopted</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3">
              <w:r>
                <w:rPr>
                  <w:rFonts w:ascii="Arial" w:cs="Arial" w:eastAsia="Arial" w:hAnsi="Arial"/>
                  <w:sz w:val="18"/>
                  <w:szCs w:val="18"/>
                  <w:color w:val="0000FF"/>
                  <w:w w:val="90"/>
                </w:rPr>
                <w:t>pursuant to Section 302 of the Sarbanes-Oxley Act of 2002</w:t>
              </w:r>
            </w:hyperlink>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50"/>
        </w:trPr>
        <w:tc>
          <w:tcPr>
            <w:tcW w:w="1200" w:type="dxa"/>
            <w:vAlign w:val="bottom"/>
          </w:tcPr>
          <w:p>
            <w:pPr>
              <w:jc w:val="right"/>
              <w:ind w:right="770"/>
              <w:spacing w:after="0"/>
              <w:rPr>
                <w:sz w:val="20"/>
                <w:szCs w:val="20"/>
                <w:color w:val="auto"/>
              </w:rPr>
            </w:pPr>
            <w:r>
              <w:rPr>
                <w:rFonts w:ascii="Arial" w:cs="Arial" w:eastAsia="Arial" w:hAnsi="Arial"/>
                <w:sz w:val="18"/>
                <w:szCs w:val="18"/>
                <w:color w:val="auto"/>
                <w:w w:val="91"/>
              </w:rPr>
              <w:t>31.2</w:t>
            </w:r>
          </w:p>
        </w:tc>
        <w:tc>
          <w:tcPr>
            <w:tcW w:w="100" w:type="dxa"/>
            <w:vAlign w:val="bottom"/>
          </w:tcPr>
          <w:p>
            <w:pPr>
              <w:spacing w:after="0"/>
              <w:rPr>
                <w:sz w:val="21"/>
                <w:szCs w:val="21"/>
                <w:color w:val="auto"/>
              </w:rPr>
            </w:pPr>
          </w:p>
        </w:tc>
        <w:tc>
          <w:tcPr>
            <w:tcW w:w="3980" w:type="dxa"/>
            <w:vAlign w:val="bottom"/>
            <w:tcBorders>
              <w:bottom w:val="single" w:sz="8" w:color="0000FF"/>
            </w:tcBorders>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Certification of Principal Financial Officer pursuant to</w:t>
              </w:r>
            </w:hyperlink>
          </w:p>
        </w:tc>
        <w:tc>
          <w:tcPr>
            <w:tcW w:w="500" w:type="dxa"/>
            <w:vAlign w:val="bottom"/>
            <w:gridSpan w:val="4"/>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Exchange Act Rules 13a-14(a) and 15d-14(a), as adopted</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pursuant to Section 302 of the Sarbanes-Oxley Act of 2002</w:t>
              </w:r>
            </w:hyperlink>
          </w:p>
        </w:tc>
        <w:tc>
          <w:tcPr>
            <w:tcW w:w="20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50" w:lineRule="exact"/>
        <w:rPr>
          <w:sz w:val="20"/>
          <w:szCs w:val="20"/>
          <w:color w:val="auto"/>
        </w:rPr>
      </w:pPr>
    </w:p>
    <w:p>
      <w:pPr>
        <w:sectPr>
          <w:pgSz w:w="11900" w:h="16838" w:orient="portrait"/>
          <w:cols w:equalWidth="0" w:num="1">
            <w:col w:w="11240"/>
          </w:cols>
          <w:pgMar w:left="320" w:top="1255"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4280" w:type="dxa"/>
            <w:vAlign w:val="bottom"/>
            <w:gridSpan w:val="4"/>
          </w:tcPr>
          <w:p>
            <w:pPr>
              <w:spacing w:after="0"/>
              <w:rPr>
                <w:rFonts w:ascii="Arial" w:cs="Arial" w:eastAsia="Arial" w:hAnsi="Arial"/>
                <w:sz w:val="18"/>
                <w:szCs w:val="18"/>
                <w:color w:val="0000FF"/>
                <w:w w:val="95"/>
              </w:rPr>
            </w:pPr>
            <w:hyperlink w:anchor="page55">
              <w:r>
                <w:rPr>
                  <w:rFonts w:ascii="Arial" w:cs="Arial" w:eastAsia="Arial" w:hAnsi="Arial"/>
                  <w:sz w:val="18"/>
                  <w:szCs w:val="18"/>
                  <w:color w:val="0000FF"/>
                  <w:w w:val="95"/>
                </w:rPr>
                <w:t>Certifications of Principal Executive Officer and Principal</w:t>
              </w:r>
            </w:hyperlink>
          </w:p>
        </w:tc>
      </w:tr>
      <w:tr>
        <w:trPr>
          <w:trHeight w:val="196"/>
        </w:trPr>
        <w:tc>
          <w:tcPr>
            <w:tcW w:w="128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Financial Officer pursuant to 18 U.S.C. Section 1350, as</w:t>
              </w:r>
            </w:hyperlink>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2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adopted pursuant to Section 906 of the Sarbanes-Oxley Act</w:t>
              </w:r>
            </w:hyperlink>
          </w:p>
        </w:tc>
      </w:tr>
      <w:tr>
        <w:trPr>
          <w:trHeight w:val="196"/>
        </w:trPr>
        <w:tc>
          <w:tcPr>
            <w:tcW w:w="1280" w:type="dxa"/>
            <w:vAlign w:val="bottom"/>
          </w:tcPr>
          <w:p>
            <w:pPr>
              <w:spacing w:after="0"/>
              <w:rPr>
                <w:sz w:val="17"/>
                <w:szCs w:val="17"/>
                <w:color w:val="auto"/>
              </w:rPr>
            </w:pPr>
          </w:p>
        </w:tc>
        <w:tc>
          <w:tcPr>
            <w:tcW w:w="4280" w:type="dxa"/>
            <w:vAlign w:val="bottom"/>
            <w:gridSpan w:val="4"/>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of 2002</w:t>
              </w:r>
            </w:hyperlink>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r>
      <w:tr>
        <w:trPr>
          <w:trHeight w:val="276"/>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4280" w:type="dxa"/>
            <w:vAlign w:val="bottom"/>
            <w:gridSpan w:val="4"/>
          </w:tcPr>
          <w:p>
            <w:pPr>
              <w:spacing w:after="0"/>
              <w:rPr>
                <w:sz w:val="20"/>
                <w:szCs w:val="20"/>
                <w:color w:val="auto"/>
              </w:rPr>
            </w:pPr>
            <w:r>
              <w:rPr>
                <w:rFonts w:ascii="Arial" w:cs="Arial" w:eastAsia="Arial" w:hAnsi="Arial"/>
                <w:sz w:val="18"/>
                <w:szCs w:val="18"/>
                <w:color w:val="auto"/>
                <w:w w:val="99"/>
              </w:rPr>
              <w:t>Inline XBRL Instance Document - The XBRL Instance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w w:val="98"/>
              </w:rPr>
              <w:t>Document does not appear in the Interactive Data File</w:t>
            </w:r>
          </w:p>
        </w:tc>
      </w:tr>
      <w:tr>
        <w:trPr>
          <w:trHeight w:val="216"/>
        </w:trPr>
        <w:tc>
          <w:tcPr>
            <w:tcW w:w="1280" w:type="dxa"/>
            <w:vAlign w:val="bottom"/>
          </w:tcPr>
          <w:p>
            <w:pPr>
              <w:spacing w:after="0"/>
              <w:rPr>
                <w:sz w:val="18"/>
                <w:szCs w:val="18"/>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w w:val="98"/>
              </w:rPr>
              <w:t>because its XBRL tags are embedded within the Inline</w:t>
            </w:r>
          </w:p>
        </w:tc>
      </w:tr>
      <w:tr>
        <w:trPr>
          <w:trHeight w:val="230"/>
        </w:trPr>
        <w:tc>
          <w:tcPr>
            <w:tcW w:w="1280" w:type="dxa"/>
            <w:vAlign w:val="bottom"/>
          </w:tcPr>
          <w:p>
            <w:pPr>
              <w:spacing w:after="0"/>
              <w:rPr>
                <w:sz w:val="20"/>
                <w:szCs w:val="20"/>
                <w:color w:val="auto"/>
              </w:rPr>
            </w:pPr>
          </w:p>
        </w:tc>
        <w:tc>
          <w:tcPr>
            <w:tcW w:w="4280" w:type="dxa"/>
            <w:vAlign w:val="bottom"/>
            <w:gridSpan w:val="4"/>
          </w:tcPr>
          <w:p>
            <w:pPr>
              <w:spacing w:after="0"/>
              <w:rPr>
                <w:sz w:val="20"/>
                <w:szCs w:val="20"/>
                <w:color w:val="auto"/>
              </w:rPr>
            </w:pPr>
            <w:r>
              <w:rPr>
                <w:rFonts w:ascii="Arial" w:cs="Arial" w:eastAsia="Arial" w:hAnsi="Arial"/>
                <w:sz w:val="18"/>
                <w:szCs w:val="18"/>
                <w:color w:val="auto"/>
              </w:rPr>
              <w:t>XBRL document</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sectPr>
          <w:pgSz w:w="11900" w:h="16838" w:orient="portrait"/>
          <w:cols w:equalWidth="0" w:num="2">
            <w:col w:w="9600" w:space="720"/>
            <w:col w:w="920"/>
          </w:cols>
          <w:pgMar w:left="320" w:top="1255"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460" w:type="dxa"/>
            <w:vAlign w:val="bottom"/>
          </w:tcPr>
          <w:p>
            <w:pPr>
              <w:ind w:left="30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r>
        <w:trPr>
          <w:trHeight w:val="270"/>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460" w:type="dxa"/>
            <w:vAlign w:val="bottom"/>
          </w:tcPr>
          <w:p>
            <w:pPr>
              <w:ind w:left="300"/>
              <w:spacing w:after="0"/>
              <w:rPr>
                <w:sz w:val="20"/>
                <w:szCs w:val="20"/>
                <w:color w:val="auto"/>
              </w:rPr>
            </w:pPr>
            <w:r>
              <w:rPr>
                <w:rFonts w:ascii="Arial" w:cs="Arial" w:eastAsia="Arial" w:hAnsi="Arial"/>
                <w:sz w:val="18"/>
                <w:szCs w:val="18"/>
                <w:color w:val="auto"/>
              </w:rPr>
              <w:t>Inline XBRL Taxonomy Label Linkbase Document</w:t>
            </w:r>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460" w:type="dxa"/>
            <w:vAlign w:val="bottom"/>
          </w:tcPr>
          <w:p>
            <w:pPr>
              <w:ind w:left="30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9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Document</w:t>
            </w:r>
          </w:p>
        </w:tc>
      </w:tr>
    </w:tbl>
    <w:p>
      <w:pPr>
        <w:spacing w:after="0" w:line="40" w:lineRule="exact"/>
        <w:rPr>
          <w:sz w:val="20"/>
          <w:szCs w:val="20"/>
          <w:color w:val="auto"/>
        </w:rPr>
      </w:pPr>
    </w:p>
    <w:p>
      <w:pPr>
        <w:ind w:left="1300" w:right="4000" w:hanging="1274"/>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97" w:lineRule="exact"/>
        <w:rPr>
          <w:sz w:val="20"/>
          <w:szCs w:val="20"/>
          <w:color w:val="auto"/>
        </w:rPr>
      </w:pPr>
    </w:p>
    <w:p>
      <w:pPr>
        <w:sectPr>
          <w:pgSz w:w="11900" w:h="16838" w:orient="portrait"/>
          <w:cols w:equalWidth="0" w:num="2">
            <w:col w:w="9660" w:space="720"/>
            <w:col w:w="860"/>
          </w:cols>
          <w:pgMar w:left="320" w:top="1255" w:right="339" w:bottom="1440" w:gutter="0" w:footer="0" w:header="0"/>
          <w:type w:val="continuous"/>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SOTERA HEALTH COMPANY</w:t>
      </w:r>
    </w:p>
    <w:p>
      <w:pPr>
        <w:spacing w:after="0" w:line="320" w:lineRule="exact"/>
        <w:rPr>
          <w:sz w:val="20"/>
          <w:szCs w:val="20"/>
          <w:color w:val="auto"/>
        </w:rPr>
      </w:pPr>
    </w:p>
    <w:tbl>
      <w:tblPr>
        <w:tblLayout w:type="fixed"/>
        <w:tblInd w:w="66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ind w:left="20"/>
              <w:spacing w:after="0"/>
              <w:rPr>
                <w:sz w:val="20"/>
                <w:szCs w:val="20"/>
                <w:color w:val="auto"/>
              </w:rPr>
            </w:pPr>
            <w:r>
              <w:rPr>
                <w:rFonts w:ascii="Arial" w:cs="Arial" w:eastAsia="Arial" w:hAnsi="Arial"/>
                <w:sz w:val="18"/>
                <w:szCs w:val="18"/>
                <w:color w:val="auto"/>
              </w:rPr>
              <w:t>/s/ Scott J. Leffler</w:t>
            </w:r>
          </w:p>
        </w:tc>
      </w:tr>
      <w:tr>
        <w:trPr>
          <w:trHeight w:val="27"/>
        </w:trPr>
        <w:tc>
          <w:tcPr>
            <w:tcW w:w="7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20"/>
              <w:spacing w:after="0"/>
              <w:rPr>
                <w:sz w:val="20"/>
                <w:szCs w:val="20"/>
                <w:color w:val="auto"/>
              </w:rPr>
            </w:pPr>
            <w:r>
              <w:rPr>
                <w:rFonts w:ascii="Arial" w:cs="Arial" w:eastAsia="Arial" w:hAnsi="Arial"/>
                <w:sz w:val="18"/>
                <w:szCs w:val="18"/>
                <w:color w:val="auto"/>
              </w:rPr>
              <w:t>Scott J. Leffler</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760" w:type="dxa"/>
            <w:vAlign w:val="bottom"/>
          </w:tcPr>
          <w:p>
            <w:pPr>
              <w:spacing w:after="0"/>
              <w:rPr>
                <w:sz w:val="23"/>
                <w:szCs w:val="23"/>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EXECUTIVE OFFICER</w:t>
      </w:r>
    </w:p>
    <w:p>
      <w:pPr>
        <w:spacing w:after="0" w:line="243"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Michael B. Petras, Jr., certify that:</w:t>
      </w:r>
    </w:p>
    <w:p>
      <w:pPr>
        <w:spacing w:after="0" w:line="21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Sotera Health Company;</w:t>
      </w:r>
    </w:p>
    <w:p>
      <w:pPr>
        <w:spacing w:after="0" w:line="242" w:lineRule="exact"/>
        <w:rPr>
          <w:rFonts w:ascii="Arial" w:cs="Arial" w:eastAsia="Arial" w:hAnsi="Arial"/>
          <w:sz w:val="20"/>
          <w:szCs w:val="20"/>
          <w:color w:val="auto"/>
        </w:rPr>
      </w:pPr>
    </w:p>
    <w:p>
      <w:pPr>
        <w:ind w:left="340" w:right="160" w:hanging="332"/>
        <w:spacing w:after="0" w:line="250" w:lineRule="auto"/>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ind w:left="340" w:right="220" w:hanging="332"/>
        <w:spacing w:after="0" w:line="369"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40" w:right="100" w:hanging="332"/>
        <w:spacing w:after="0" w:line="275"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91" w:lineRule="exact"/>
        <w:rPr>
          <w:rFonts w:ascii="Arial" w:cs="Arial" w:eastAsia="Arial" w:hAnsi="Arial"/>
          <w:sz w:val="18"/>
          <w:szCs w:val="18"/>
          <w:color w:val="auto"/>
        </w:rPr>
      </w:pPr>
    </w:p>
    <w:p>
      <w:pPr>
        <w:ind w:left="1300" w:right="100" w:hanging="644"/>
        <w:spacing w:after="0" w:line="291"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60" w:hanging="644"/>
        <w:spacing w:after="0" w:line="250" w:lineRule="auto"/>
        <w:tabs>
          <w:tab w:leader="none" w:pos="1288" w:val="left"/>
        </w:tabs>
        <w:numPr>
          <w:ilvl w:val="1"/>
          <w:numId w:val="3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80" w:hanging="644"/>
        <w:spacing w:after="0" w:line="291"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3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760" w:hanging="644"/>
        <w:spacing w:after="0" w:line="260" w:lineRule="auto"/>
        <w:tabs>
          <w:tab w:leader="none" w:pos="1288"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November 10, 2021</w:t>
      </w:r>
    </w:p>
    <w:p>
      <w:pPr>
        <w:spacing w:after="0" w:line="10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3506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Michael B. Petras, Jr.</w:t>
      </w:r>
    </w:p>
    <w:p>
      <w:pPr>
        <w:ind w:left="3900"/>
        <w:spacing w:after="0"/>
        <w:rPr>
          <w:sz w:val="20"/>
          <w:szCs w:val="20"/>
          <w:color w:val="auto"/>
        </w:rPr>
      </w:pPr>
      <w:r>
        <w:rPr>
          <w:rFonts w:ascii="Arial" w:cs="Arial" w:eastAsia="Arial" w:hAnsi="Arial"/>
          <w:sz w:val="20"/>
          <w:szCs w:val="20"/>
          <w:color w:val="auto"/>
        </w:rPr>
        <w:t>Chairman and Chief Executive Officer</w:t>
      </w:r>
    </w:p>
    <w:p>
      <w:pPr>
        <w:ind w:left="390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PRINCIPAL FINANCIAL OFFICER</w:t>
      </w:r>
    </w:p>
    <w:p>
      <w:pPr>
        <w:spacing w:after="0" w:line="243"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PURSUANT TO SECTION 302 OF THE SARBANES-OXLEY ACT OF 2002</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Scott J. Leffler, certify that:</w:t>
      </w:r>
    </w:p>
    <w:p>
      <w:pPr>
        <w:spacing w:after="0" w:line="21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Sotera Health Company;</w:t>
      </w:r>
    </w:p>
    <w:p>
      <w:pPr>
        <w:spacing w:after="0" w:line="242" w:lineRule="exact"/>
        <w:rPr>
          <w:rFonts w:ascii="Arial" w:cs="Arial" w:eastAsia="Arial" w:hAnsi="Arial"/>
          <w:sz w:val="20"/>
          <w:szCs w:val="20"/>
          <w:color w:val="auto"/>
        </w:rPr>
      </w:pPr>
    </w:p>
    <w:p>
      <w:pPr>
        <w:ind w:left="340" w:right="160" w:hanging="332"/>
        <w:spacing w:after="0" w:line="250" w:lineRule="auto"/>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20"/>
          <w:szCs w:val="20"/>
          <w:color w:val="auto"/>
        </w:rPr>
      </w:pPr>
    </w:p>
    <w:p>
      <w:pPr>
        <w:ind w:left="340" w:right="220" w:hanging="332"/>
        <w:spacing w:after="0" w:line="369"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340" w:right="100" w:hanging="332"/>
        <w:spacing w:after="0" w:line="27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91" w:lineRule="exact"/>
        <w:rPr>
          <w:rFonts w:ascii="Arial" w:cs="Arial" w:eastAsia="Arial" w:hAnsi="Arial"/>
          <w:sz w:val="18"/>
          <w:szCs w:val="18"/>
          <w:color w:val="auto"/>
        </w:rPr>
      </w:pPr>
    </w:p>
    <w:p>
      <w:pPr>
        <w:ind w:left="1300" w:right="100" w:hanging="644"/>
        <w:spacing w:after="0" w:line="291" w:lineRule="auto"/>
        <w:tabs>
          <w:tab w:leader="none" w:pos="12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8"/>
          <w:szCs w:val="18"/>
          <w:color w:val="auto"/>
        </w:rPr>
      </w:pPr>
    </w:p>
    <w:p>
      <w:pPr>
        <w:ind w:left="1300" w:right="60" w:hanging="644"/>
        <w:spacing w:after="0" w:line="250" w:lineRule="auto"/>
        <w:tabs>
          <w:tab w:leader="none" w:pos="1288" w:val="left"/>
        </w:tabs>
        <w:numPr>
          <w:ilvl w:val="1"/>
          <w:numId w:val="3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ind w:left="1300" w:right="80" w:hanging="644"/>
        <w:spacing w:after="0" w:line="291" w:lineRule="auto"/>
        <w:tabs>
          <w:tab w:leader="none" w:pos="129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8"/>
          <w:szCs w:val="18"/>
          <w:color w:val="auto"/>
        </w:rPr>
      </w:pPr>
    </w:p>
    <w:p>
      <w:pPr>
        <w:ind w:left="340" w:right="420" w:hanging="332"/>
        <w:spacing w:after="0" w:line="250" w:lineRule="auto"/>
        <w:tabs>
          <w:tab w:leader="none" w:pos="3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7" w:lineRule="exact"/>
        <w:rPr>
          <w:rFonts w:ascii="Arial" w:cs="Arial" w:eastAsia="Arial" w:hAnsi="Arial"/>
          <w:sz w:val="20"/>
          <w:szCs w:val="20"/>
          <w:color w:val="auto"/>
        </w:rPr>
      </w:pPr>
    </w:p>
    <w:p>
      <w:pPr>
        <w:ind w:left="1300" w:right="340" w:hanging="644"/>
        <w:spacing w:after="0" w:line="250" w:lineRule="auto"/>
        <w:tabs>
          <w:tab w:leader="none" w:pos="1290" w:val="left"/>
        </w:tabs>
        <w:numPr>
          <w:ilvl w:val="1"/>
          <w:numId w:val="3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300" w:right="760" w:hanging="644"/>
        <w:spacing w:after="0" w:line="260" w:lineRule="auto"/>
        <w:tabs>
          <w:tab w:leader="none" w:pos="1288"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November 10, 2021</w:t>
      </w:r>
    </w:p>
    <w:p>
      <w:pPr>
        <w:spacing w:after="0" w:line="1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-14605</wp:posOffset>
            </wp:positionV>
            <wp:extent cx="1023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362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Scott J. Leffler</w:t>
      </w:r>
    </w:p>
    <w:p>
      <w:pPr>
        <w:ind w:left="3900"/>
        <w:spacing w:after="0"/>
        <w:rPr>
          <w:sz w:val="20"/>
          <w:szCs w:val="20"/>
          <w:color w:val="auto"/>
        </w:rPr>
      </w:pPr>
      <w:r>
        <w:rPr>
          <w:rFonts w:ascii="Arial" w:cs="Arial" w:eastAsia="Arial" w:hAnsi="Arial"/>
          <w:sz w:val="20"/>
          <w:szCs w:val="20"/>
          <w:color w:val="auto"/>
        </w:rPr>
        <w:t>Chief Financial Officer and Treasurer</w:t>
      </w:r>
    </w:p>
    <w:p>
      <w:pPr>
        <w:ind w:left="3900"/>
        <w:spacing w:after="0"/>
        <w:rPr>
          <w:sz w:val="20"/>
          <w:szCs w:val="20"/>
          <w:color w:val="auto"/>
        </w:rPr>
      </w:pPr>
      <w:r>
        <w:rPr>
          <w:rFonts w:ascii="Arial" w:cs="Arial" w:eastAsia="Arial" w:hAnsi="Arial"/>
          <w:sz w:val="20"/>
          <w:szCs w:val="20"/>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CERTIFICATIONS OF PRINCIPAL EXECUTIVE OFFICER AND PRINCIPAL FINANCIAL OFFICER PURSUANT TO SECTION 906 OF THE SARBANES-OXLEY ACT OF 2002</w:t>
      </w:r>
    </w:p>
    <w:p>
      <w:pPr>
        <w:spacing w:after="0" w:line="196" w:lineRule="exact"/>
        <w:rPr>
          <w:sz w:val="20"/>
          <w:szCs w:val="20"/>
          <w:color w:val="auto"/>
        </w:rPr>
      </w:pPr>
    </w:p>
    <w:p>
      <w:pPr>
        <w:ind w:right="20" w:firstLine="648"/>
        <w:spacing w:after="0" w:line="260" w:lineRule="auto"/>
        <w:rPr>
          <w:sz w:val="20"/>
          <w:szCs w:val="20"/>
          <w:color w:val="auto"/>
        </w:rPr>
      </w:pPr>
      <w:r>
        <w:rPr>
          <w:rFonts w:ascii="Arial" w:cs="Arial" w:eastAsia="Arial" w:hAnsi="Arial"/>
          <w:sz w:val="19"/>
          <w:szCs w:val="19"/>
          <w:color w:val="auto"/>
        </w:rPr>
        <w:t>Pursuant to section 906 of the Sarbanes-Oxley Act of 2002 (subsections (a) and (b) of Section 1350, Chapter 63 of Title 18, United States Code), each of the undersigned officers of Sotera Health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do hereby certify, to each such officer’s knowledge, that the Company’s Quarterly Report on Form 10-Q for the quarter ended September 30, 2021 fully complies with the requirements of Section 13(a) or 15(d) of the Securities Exchange Act of 1934 and information contained in the Form 10-Q fairly presents, in all material respects, the financial condition and results of operations of the Company.</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November 10, 2021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November 10, 2021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3817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Michael B. Petras, Jr.</w:t>
      </w:r>
    </w:p>
    <w:p>
      <w:pPr>
        <w:spacing w:after="0"/>
        <w:rPr>
          <w:sz w:val="20"/>
          <w:szCs w:val="20"/>
          <w:color w:val="auto"/>
        </w:rPr>
      </w:pPr>
      <w:r>
        <w:rPr>
          <w:rFonts w:ascii="Arial" w:cs="Arial" w:eastAsia="Arial" w:hAnsi="Arial"/>
          <w:sz w:val="18"/>
          <w:szCs w:val="18"/>
          <w:color w:val="auto"/>
        </w:rPr>
        <w:t>Title: Chairman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(Principal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Scott J. Leffler</w:t>
      </w:r>
    </w:p>
    <w:p>
      <w:pPr>
        <w:spacing w:after="0" w:line="199" w:lineRule="auto"/>
        <w:rPr>
          <w:sz w:val="20"/>
          <w:szCs w:val="20"/>
          <w:color w:val="auto"/>
        </w:rPr>
      </w:pPr>
      <w:r>
        <w:rPr>
          <w:rFonts w:ascii="Arial" w:cs="Arial" w:eastAsia="Arial" w:hAnsi="Arial"/>
          <w:sz w:val="20"/>
          <w:szCs w:val="20"/>
          <w:color w:val="auto"/>
        </w:rPr>
        <w:t>Scott J. Leffler</w:t>
      </w:r>
    </w:p>
    <w:p>
      <w:pPr>
        <w:spacing w:after="0" w:line="219" w:lineRule="auto"/>
        <w:rPr>
          <w:sz w:val="20"/>
          <w:szCs w:val="20"/>
          <w:color w:val="auto"/>
        </w:rPr>
      </w:pPr>
      <w:r>
        <w:rPr>
          <w:rFonts w:ascii="Arial" w:cs="Arial" w:eastAsia="Arial" w:hAnsi="Arial"/>
          <w:sz w:val="18"/>
          <w:szCs w:val="18"/>
          <w:color w:val="auto"/>
        </w:rPr>
        <w:t>Title: Chief Financial Officer and Treasurer</w:t>
      </w:r>
    </w:p>
    <w:p>
      <w:pPr>
        <w:spacing w:after="0"/>
        <w:rPr>
          <w:sz w:val="20"/>
          <w:szCs w:val="20"/>
          <w:color w:val="auto"/>
        </w:rPr>
      </w:pPr>
      <w:r>
        <w:rPr>
          <w:rFonts w:ascii="Arial" w:cs="Arial" w:eastAsia="Arial" w:hAnsi="Arial"/>
          <w:sz w:val="20"/>
          <w:szCs w:val="20"/>
          <w:i w:val="1"/>
          <w:iCs w:val="1"/>
          <w:color w:val="auto"/>
        </w:rPr>
        <w:t>(Principal Financial Officer)</w:t>
      </w:r>
    </w:p>
    <w:p>
      <w:pPr>
        <w:spacing w:after="0" w:line="186" w:lineRule="exact"/>
        <w:rPr>
          <w:sz w:val="20"/>
          <w:szCs w:val="20"/>
          <w:color w:val="auto"/>
        </w:rPr>
      </w:pPr>
    </w:p>
    <w:p>
      <w:pPr>
        <w:sectPr>
          <w:pgSz w:w="11900" w:h="16838" w:orient="portrait"/>
          <w:cols w:equalWidth="0" w:num="2">
            <w:col w:w="4800" w:space="720"/>
            <w:col w:w="5720"/>
          </w:cols>
          <w:pgMar w:left="320" w:top="121" w:right="339" w:bottom="1440" w:gutter="0" w:footer="0" w:header="0"/>
          <w:type w:val="continuous"/>
        </w:sectPr>
      </w:pPr>
    </w:p>
    <w:p>
      <w:pPr>
        <w:ind w:right="20"/>
        <w:spacing w:after="0" w:line="246" w:lineRule="auto"/>
        <w:rPr>
          <w:sz w:val="20"/>
          <w:szCs w:val="20"/>
          <w:color w:val="auto"/>
        </w:rPr>
      </w:pPr>
      <w:r>
        <w:rPr>
          <w:rFonts w:ascii="Arial" w:cs="Arial" w:eastAsia="Arial" w:hAnsi="Arial"/>
          <w:sz w:val="20"/>
          <w:szCs w:val="20"/>
          <w:color w:val="auto"/>
        </w:rPr>
        <w:t>The foregoing certifications are furnished and are not deemed filed with the Securities and Exchange Commission for purposes of Section 18 of the Securities Exchange Act of 1934, as amended (Exchange Act), and are not deemed to be incorporated by reference into any filing of Sotera Health Company under the Securities Act of 1933, as amended, or the Exchange Act, except to the extent that Sotera Health Company specifically incorporates them by reference.</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13"/>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4"/>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4"/>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lvl w:ilvl="1">
      <w:lvlJc w:val="left"/>
      <w:lvlText w:val="%2"/>
      <w:numFmt w:val="decimal"/>
      <w:start w:val="104"/>
    </w:lvl>
  </w:abstractNum>
  <w:abstractNum w:abstractNumId="30">
    <w:nsid w:val="6CEAF087"/>
    <w:multiLevelType w:val="hybridMultilevel"/>
    <w:lvl w:ilvl="0">
      <w:lvlJc w:val="left"/>
      <w:lvlText w:val="**"/>
      <w:numFmt w:val="bullet"/>
      <w:start w:val="1"/>
    </w:lvl>
    <w:lvl w:ilvl="1">
      <w:lvlJc w:val="left"/>
      <w:lvlText w:val="%2"/>
      <w:numFmt w:val="decimal"/>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2021-11-10T15:28:29Z</dcterms:created>
  <dcterms:modified xsi:type="dcterms:W3CDTF">2021-11-10T15:28:29Z</dcterms:modified>
</cp:coreProperties>
</file>