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19"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March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33" w:lineRule="exact"/>
        <w:rPr>
          <w:sz w:val="24"/>
          <w:szCs w:val="24"/>
          <w:color w:val="auto"/>
        </w:rPr>
      </w:pPr>
    </w:p>
    <w:p>
      <w:pPr>
        <w:ind w:left="460" w:hanging="438"/>
        <w:spacing w:after="0"/>
        <w:tabs>
          <w:tab w:leader="none" w:pos="4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1280"/>
          </w:cols>
          <w:pgMar w:left="300" w:top="211" w:right="319" w:bottom="1440" w:gutter="0" w:footer="0" w:header="0"/>
        </w:sectPr>
      </w:pPr>
    </w:p>
    <w:p>
      <w:pPr>
        <w:spacing w:after="0" w:line="188"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For the transition period from</w:t>
      </w:r>
    </w:p>
    <w:p>
      <w:pPr>
        <w:spacing w:after="0" w:line="90" w:lineRule="exact"/>
        <w:rPr>
          <w:sz w:val="24"/>
          <w:szCs w:val="24"/>
          <w:color w:val="auto"/>
        </w:rPr>
      </w:pPr>
    </w:p>
    <w:p>
      <w:pPr>
        <w:ind w:left="4620"/>
        <w:spacing w:after="0"/>
        <w:rPr>
          <w:sz w:val="20"/>
          <w:szCs w:val="20"/>
          <w:color w:val="auto"/>
        </w:rPr>
      </w:pPr>
      <w:r>
        <w:rPr>
          <w:rFonts w:ascii="Arial" w:cs="Arial" w:eastAsia="Arial" w:hAnsi="Arial"/>
          <w:sz w:val="11"/>
          <w:szCs w:val="11"/>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78740</wp:posOffset>
            </wp:positionV>
            <wp:extent cx="1381760" cy="359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1760" cy="3594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427" w:lineRule="exact"/>
        <w:rPr>
          <w:sz w:val="24"/>
          <w:szCs w:val="24"/>
          <w:color w:val="auto"/>
        </w:rPr>
      </w:pPr>
    </w:p>
    <w:p>
      <w:pPr>
        <w:sectPr>
          <w:pgSz w:w="11900" w:h="16838" w:orient="portrait"/>
          <w:cols w:equalWidth="0" w:num="2">
            <w:col w:w="6660" w:space="0"/>
            <w:col w:w="4620"/>
          </w:cols>
          <w:pgMar w:left="300" w:top="211"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SOTERA HEALTH COMPANY</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680" w:type="dxa"/>
            <w:vAlign w:val="bottom"/>
          </w:tcPr>
          <w:p>
            <w:pPr>
              <w:jc w:val="center"/>
              <w:ind w:left="655"/>
              <w:spacing w:after="0"/>
              <w:rPr>
                <w:sz w:val="20"/>
                <w:szCs w:val="20"/>
                <w:color w:val="auto"/>
              </w:rPr>
            </w:pPr>
            <w:r>
              <w:rPr>
                <w:rFonts w:ascii="Arial" w:cs="Arial" w:eastAsia="Arial" w:hAnsi="Arial"/>
                <w:sz w:val="13"/>
                <w:szCs w:val="13"/>
                <w:b w:val="1"/>
                <w:bCs w:val="1"/>
                <w:color w:val="auto"/>
                <w:w w:val="91"/>
              </w:rPr>
              <w:t>Delaware</w:t>
            </w:r>
          </w:p>
        </w:tc>
        <w:tc>
          <w:tcPr>
            <w:tcW w:w="2200" w:type="dxa"/>
            <w:vAlign w:val="bottom"/>
          </w:tcPr>
          <w:p>
            <w:pPr>
              <w:spacing w:after="0"/>
              <w:rPr>
                <w:sz w:val="14"/>
                <w:szCs w:val="14"/>
                <w:color w:val="auto"/>
              </w:rPr>
            </w:pPr>
          </w:p>
        </w:tc>
        <w:tc>
          <w:tcPr>
            <w:tcW w:w="4380" w:type="dxa"/>
            <w:vAlign w:val="bottom"/>
          </w:tcPr>
          <w:p>
            <w:pPr>
              <w:jc w:val="right"/>
              <w:ind w:right="2335"/>
              <w:spacing w:after="0"/>
              <w:rPr>
                <w:sz w:val="20"/>
                <w:szCs w:val="20"/>
                <w:color w:val="auto"/>
              </w:rPr>
            </w:pPr>
            <w:r>
              <w:rPr>
                <w:rFonts w:ascii="Arial" w:cs="Arial" w:eastAsia="Arial" w:hAnsi="Arial"/>
                <w:sz w:val="13"/>
                <w:szCs w:val="13"/>
                <w:b w:val="1"/>
                <w:bCs w:val="1"/>
                <w:color w:val="auto"/>
              </w:rPr>
              <w:t>47-3531161</w:t>
            </w:r>
          </w:p>
        </w:tc>
      </w:tr>
      <w:tr>
        <w:trPr>
          <w:trHeight w:val="196"/>
        </w:trPr>
        <w:tc>
          <w:tcPr>
            <w:tcW w:w="4680" w:type="dxa"/>
            <w:vAlign w:val="bottom"/>
          </w:tcPr>
          <w:p>
            <w:pPr>
              <w:jc w:val="center"/>
              <w:ind w:left="655"/>
              <w:spacing w:after="0"/>
              <w:rPr>
                <w:sz w:val="20"/>
                <w:szCs w:val="20"/>
                <w:color w:val="auto"/>
              </w:rPr>
            </w:pPr>
            <w:r>
              <w:rPr>
                <w:rFonts w:ascii="Arial" w:cs="Arial" w:eastAsia="Arial" w:hAnsi="Arial"/>
                <w:sz w:val="13"/>
                <w:szCs w:val="13"/>
                <w:color w:val="auto"/>
                <w:w w:val="93"/>
              </w:rPr>
              <w:t>(State or other jurisdiction of incorporation or organization)</w:t>
            </w:r>
          </w:p>
        </w:tc>
        <w:tc>
          <w:tcPr>
            <w:tcW w:w="2200" w:type="dxa"/>
            <w:vAlign w:val="bottom"/>
          </w:tcPr>
          <w:p>
            <w:pPr>
              <w:spacing w:after="0"/>
              <w:rPr>
                <w:sz w:val="17"/>
                <w:szCs w:val="17"/>
                <w:color w:val="auto"/>
              </w:rPr>
            </w:pPr>
          </w:p>
        </w:tc>
        <w:tc>
          <w:tcPr>
            <w:tcW w:w="4380" w:type="dxa"/>
            <w:vAlign w:val="bottom"/>
          </w:tcPr>
          <w:p>
            <w:pPr>
              <w:jc w:val="center"/>
              <w:ind w:right="975"/>
              <w:spacing w:after="0"/>
              <w:rPr>
                <w:sz w:val="20"/>
                <w:szCs w:val="20"/>
                <w:color w:val="auto"/>
              </w:rPr>
            </w:pPr>
            <w:r>
              <w:rPr>
                <w:rFonts w:ascii="Arial" w:cs="Arial" w:eastAsia="Arial" w:hAnsi="Arial"/>
                <w:sz w:val="13"/>
                <w:szCs w:val="13"/>
                <w:color w:val="auto"/>
                <w:w w:val="94"/>
              </w:rPr>
              <w:t>(I.R.S. Employer Identification No.)</w:t>
            </w:r>
          </w:p>
        </w:tc>
      </w:tr>
      <w:tr>
        <w:trPr>
          <w:trHeight w:val="294"/>
        </w:trPr>
        <w:tc>
          <w:tcPr>
            <w:tcW w:w="4680" w:type="dxa"/>
            <w:vAlign w:val="bottom"/>
          </w:tcPr>
          <w:p>
            <w:pPr>
              <w:jc w:val="center"/>
              <w:ind w:left="635"/>
              <w:spacing w:after="0"/>
              <w:rPr>
                <w:sz w:val="20"/>
                <w:szCs w:val="20"/>
                <w:color w:val="auto"/>
              </w:rPr>
            </w:pPr>
            <w:r>
              <w:rPr>
                <w:rFonts w:ascii="Arial" w:cs="Arial" w:eastAsia="Arial" w:hAnsi="Arial"/>
                <w:sz w:val="13"/>
                <w:szCs w:val="13"/>
                <w:b w:val="1"/>
                <w:bCs w:val="1"/>
                <w:color w:val="auto"/>
                <w:w w:val="90"/>
              </w:rPr>
              <w:t>9100 South Hills Blvd, Suite 300</w:t>
            </w:r>
          </w:p>
        </w:tc>
        <w:tc>
          <w:tcPr>
            <w:tcW w:w="22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96"/>
        </w:trPr>
        <w:tc>
          <w:tcPr>
            <w:tcW w:w="4680" w:type="dxa"/>
            <w:vAlign w:val="bottom"/>
          </w:tcPr>
          <w:p>
            <w:pPr>
              <w:jc w:val="center"/>
              <w:ind w:left="655"/>
              <w:spacing w:after="0"/>
              <w:rPr>
                <w:sz w:val="20"/>
                <w:szCs w:val="20"/>
                <w:color w:val="auto"/>
              </w:rPr>
            </w:pPr>
            <w:r>
              <w:rPr>
                <w:rFonts w:ascii="Arial" w:cs="Arial" w:eastAsia="Arial" w:hAnsi="Arial"/>
                <w:sz w:val="13"/>
                <w:szCs w:val="13"/>
                <w:b w:val="1"/>
                <w:bCs w:val="1"/>
                <w:color w:val="auto"/>
                <w:w w:val="90"/>
              </w:rPr>
              <w:t>Broadview Heights, Ohio</w:t>
            </w:r>
          </w:p>
        </w:tc>
        <w:tc>
          <w:tcPr>
            <w:tcW w:w="2200" w:type="dxa"/>
            <w:vAlign w:val="bottom"/>
          </w:tcPr>
          <w:p>
            <w:pPr>
              <w:spacing w:after="0"/>
              <w:rPr>
                <w:sz w:val="17"/>
                <w:szCs w:val="17"/>
                <w:color w:val="auto"/>
              </w:rPr>
            </w:pPr>
          </w:p>
        </w:tc>
        <w:tc>
          <w:tcPr>
            <w:tcW w:w="4380" w:type="dxa"/>
            <w:vAlign w:val="bottom"/>
          </w:tcPr>
          <w:p>
            <w:pPr>
              <w:jc w:val="right"/>
              <w:ind w:right="2475"/>
              <w:spacing w:after="0"/>
              <w:rPr>
                <w:sz w:val="20"/>
                <w:szCs w:val="20"/>
                <w:color w:val="auto"/>
              </w:rPr>
            </w:pPr>
            <w:r>
              <w:rPr>
                <w:rFonts w:ascii="Arial" w:cs="Arial" w:eastAsia="Arial" w:hAnsi="Arial"/>
                <w:sz w:val="13"/>
                <w:szCs w:val="13"/>
                <w:b w:val="1"/>
                <w:bCs w:val="1"/>
                <w:color w:val="auto"/>
              </w:rPr>
              <w:t>44147</w:t>
            </w:r>
          </w:p>
        </w:tc>
      </w:tr>
      <w:tr>
        <w:trPr>
          <w:trHeight w:val="196"/>
        </w:trPr>
        <w:tc>
          <w:tcPr>
            <w:tcW w:w="4680" w:type="dxa"/>
            <w:vAlign w:val="bottom"/>
          </w:tcPr>
          <w:p>
            <w:pPr>
              <w:jc w:val="center"/>
              <w:ind w:left="655"/>
              <w:spacing w:after="0"/>
              <w:rPr>
                <w:sz w:val="20"/>
                <w:szCs w:val="20"/>
                <w:color w:val="auto"/>
              </w:rPr>
            </w:pPr>
            <w:r>
              <w:rPr>
                <w:rFonts w:ascii="Arial" w:cs="Arial" w:eastAsia="Arial" w:hAnsi="Arial"/>
                <w:sz w:val="13"/>
                <w:szCs w:val="13"/>
                <w:color w:val="auto"/>
                <w:w w:val="93"/>
              </w:rPr>
              <w:t>(Address of principal executive offices)</w:t>
            </w:r>
          </w:p>
        </w:tc>
        <w:tc>
          <w:tcPr>
            <w:tcW w:w="2200" w:type="dxa"/>
            <w:vAlign w:val="bottom"/>
          </w:tcPr>
          <w:p>
            <w:pPr>
              <w:spacing w:after="0"/>
              <w:rPr>
                <w:sz w:val="17"/>
                <w:szCs w:val="17"/>
                <w:color w:val="auto"/>
              </w:rPr>
            </w:pPr>
          </w:p>
        </w:tc>
        <w:tc>
          <w:tcPr>
            <w:tcW w:w="4380" w:type="dxa"/>
            <w:vAlign w:val="bottom"/>
          </w:tcPr>
          <w:p>
            <w:pPr>
              <w:jc w:val="center"/>
              <w:ind w:right="975"/>
              <w:spacing w:after="0"/>
              <w:rPr>
                <w:sz w:val="20"/>
                <w:szCs w:val="20"/>
                <w:color w:val="auto"/>
              </w:rPr>
            </w:pPr>
            <w:r>
              <w:rPr>
                <w:rFonts w:ascii="Arial" w:cs="Arial" w:eastAsia="Arial" w:hAnsi="Arial"/>
                <w:sz w:val="13"/>
                <w:szCs w:val="13"/>
                <w:color w:val="auto"/>
                <w:w w:val="94"/>
              </w:rPr>
              <w:t>(Zip Code)</w:t>
            </w:r>
          </w:p>
        </w:tc>
      </w:tr>
      <w:tr>
        <w:trPr>
          <w:trHeight w:val="294"/>
        </w:trPr>
        <w:tc>
          <w:tcPr>
            <w:tcW w:w="4680" w:type="dxa"/>
            <w:vAlign w:val="bottom"/>
          </w:tcPr>
          <w:p>
            <w:pPr>
              <w:jc w:val="center"/>
              <w:ind w:left="655"/>
              <w:spacing w:after="0"/>
              <w:rPr>
                <w:sz w:val="20"/>
                <w:szCs w:val="20"/>
                <w:color w:val="auto"/>
              </w:rPr>
            </w:pPr>
            <w:r>
              <w:rPr>
                <w:rFonts w:ascii="Arial" w:cs="Arial" w:eastAsia="Arial" w:hAnsi="Arial"/>
                <w:sz w:val="13"/>
                <w:szCs w:val="13"/>
                <w:color w:val="auto"/>
                <w:w w:val="90"/>
              </w:rPr>
              <w:t>Registrant’s telephone number, including area code</w:t>
            </w:r>
          </w:p>
        </w:tc>
        <w:tc>
          <w:tcPr>
            <w:tcW w:w="2200" w:type="dxa"/>
            <w:vAlign w:val="bottom"/>
          </w:tcPr>
          <w:p>
            <w:pPr>
              <w:spacing w:after="0"/>
              <w:rPr>
                <w:sz w:val="24"/>
                <w:szCs w:val="24"/>
                <w:color w:val="auto"/>
              </w:rPr>
            </w:pPr>
          </w:p>
        </w:tc>
        <w:tc>
          <w:tcPr>
            <w:tcW w:w="4380" w:type="dxa"/>
            <w:vAlign w:val="bottom"/>
          </w:tcPr>
          <w:p>
            <w:pPr>
              <w:jc w:val="right"/>
              <w:ind w:right="2095"/>
              <w:spacing w:after="0"/>
              <w:rPr>
                <w:sz w:val="20"/>
                <w:szCs w:val="20"/>
                <w:color w:val="auto"/>
              </w:rPr>
            </w:pPr>
            <w:r>
              <w:rPr>
                <w:rFonts w:ascii="Arial" w:cs="Arial" w:eastAsia="Arial" w:hAnsi="Arial"/>
                <w:sz w:val="13"/>
                <w:szCs w:val="13"/>
                <w:b w:val="1"/>
                <w:bCs w:val="1"/>
                <w:color w:val="auto"/>
              </w:rPr>
              <w:t>(440)  262-1409</w:t>
            </w:r>
          </w:p>
        </w:tc>
      </w:tr>
      <w:tr>
        <w:trPr>
          <w:trHeight w:val="337"/>
        </w:trPr>
        <w:tc>
          <w:tcPr>
            <w:tcW w:w="468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2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91"/>
        </w:trPr>
        <w:tc>
          <w:tcPr>
            <w:tcW w:w="46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7"/>
              </w:rPr>
              <w:t>Title of each class</w:t>
            </w:r>
          </w:p>
        </w:tc>
        <w:tc>
          <w:tcPr>
            <w:tcW w:w="22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1"/>
              </w:rPr>
              <w:t>Trading Symbol(s)</w:t>
            </w:r>
          </w:p>
        </w:tc>
        <w:tc>
          <w:tcPr>
            <w:tcW w:w="43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9"/>
        </w:trPr>
        <w:tc>
          <w:tcPr>
            <w:tcW w:w="4680" w:type="dxa"/>
            <w:vAlign w:val="bottom"/>
          </w:tcPr>
          <w:p>
            <w:pPr>
              <w:jc w:val="center"/>
              <w:ind w:right="75"/>
              <w:spacing w:after="0"/>
              <w:rPr>
                <w:sz w:val="20"/>
                <w:szCs w:val="20"/>
                <w:color w:val="auto"/>
              </w:rPr>
            </w:pPr>
            <w:r>
              <w:rPr>
                <w:rFonts w:ascii="Arial" w:cs="Arial" w:eastAsia="Arial" w:hAnsi="Arial"/>
                <w:sz w:val="13"/>
                <w:szCs w:val="13"/>
                <w:b w:val="1"/>
                <w:bCs w:val="1"/>
                <w:color w:val="auto"/>
                <w:w w:val="90"/>
              </w:rPr>
              <w:t>Common Stock, $0.01 par value per share</w:t>
            </w:r>
          </w:p>
        </w:tc>
        <w:tc>
          <w:tcPr>
            <w:tcW w:w="2200" w:type="dxa"/>
            <w:vAlign w:val="bottom"/>
          </w:tcPr>
          <w:p>
            <w:pPr>
              <w:jc w:val="center"/>
              <w:ind w:right="235"/>
              <w:spacing w:after="0"/>
              <w:rPr>
                <w:sz w:val="20"/>
                <w:szCs w:val="20"/>
                <w:color w:val="auto"/>
              </w:rPr>
            </w:pPr>
            <w:r>
              <w:rPr>
                <w:rFonts w:ascii="Arial" w:cs="Arial" w:eastAsia="Arial" w:hAnsi="Arial"/>
                <w:sz w:val="13"/>
                <w:szCs w:val="13"/>
                <w:b w:val="1"/>
                <w:bCs w:val="1"/>
                <w:color w:val="auto"/>
                <w:w w:val="94"/>
              </w:rPr>
              <w:t>SHC</w:t>
            </w:r>
          </w:p>
        </w:tc>
        <w:tc>
          <w:tcPr>
            <w:tcW w:w="4380" w:type="dxa"/>
            <w:vAlign w:val="bottom"/>
          </w:tcPr>
          <w:p>
            <w:pPr>
              <w:jc w:val="center"/>
              <w:ind w:right="95"/>
              <w:spacing w:after="0"/>
              <w:rPr>
                <w:sz w:val="20"/>
                <w:szCs w:val="20"/>
                <w:color w:val="auto"/>
              </w:rPr>
            </w:pPr>
            <w:r>
              <w:rPr>
                <w:rFonts w:ascii="Arial" w:cs="Arial" w:eastAsia="Arial" w:hAnsi="Arial"/>
                <w:sz w:val="13"/>
                <w:szCs w:val="13"/>
                <w:b w:val="1"/>
                <w:bCs w:val="1"/>
                <w:color w:val="auto"/>
                <w:w w:val="95"/>
              </w:rPr>
              <w:t>The Nasdaq Stock Market LLC</w:t>
            </w:r>
          </w:p>
        </w:tc>
      </w:tr>
    </w:tbl>
    <w:p>
      <w:pPr>
        <w:spacing w:after="0" w:line="227"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14" w:lineRule="exact"/>
        <w:rPr>
          <w:sz w:val="24"/>
          <w:szCs w:val="24"/>
          <w:color w:val="auto"/>
        </w:rPr>
      </w:pPr>
    </w:p>
    <w:p>
      <w:pPr>
        <w:ind w:right="4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24" w:lineRule="exact"/>
        <w:rPr>
          <w:sz w:val="24"/>
          <w:szCs w:val="24"/>
          <w:color w:val="auto"/>
        </w:rPr>
      </w:pPr>
    </w:p>
    <w:p>
      <w:pPr>
        <w:ind w:right="360"/>
        <w:spacing w:after="0" w:line="26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20" w:type="dxa"/>
        <w:tblCellMar>
          <w:top w:w="0" w:type="dxa"/>
          <w:left w:w="0" w:type="dxa"/>
          <w:bottom w:w="0" w:type="dxa"/>
          <w:right w:w="0" w:type="dxa"/>
        </w:tblCellMar>
      </w:tblPr>
      <w:tr>
        <w:trPr>
          <w:trHeight w:val="196"/>
        </w:trPr>
        <w:tc>
          <w:tcPr>
            <w:tcW w:w="2260" w:type="dxa"/>
            <w:vAlign w:val="bottom"/>
          </w:tcPr>
          <w:p>
            <w:pPr>
              <w:jc w:val="center"/>
              <w:ind w:right="1035"/>
              <w:spacing w:after="0"/>
              <w:rPr>
                <w:sz w:val="20"/>
                <w:szCs w:val="20"/>
                <w:color w:val="auto"/>
              </w:rPr>
            </w:pPr>
            <w:r>
              <w:rPr>
                <w:rFonts w:ascii="Arial" w:cs="Arial" w:eastAsia="Arial" w:hAnsi="Arial"/>
                <w:sz w:val="13"/>
                <w:szCs w:val="13"/>
                <w:color w:val="auto"/>
                <w:w w:val="90"/>
              </w:rPr>
              <w:t>Large accelerated filer</w:t>
            </w:r>
          </w:p>
        </w:tc>
        <w:tc>
          <w:tcPr>
            <w:tcW w:w="222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jc w:val="center"/>
              <w:spacing w:after="0"/>
              <w:rPr>
                <w:sz w:val="20"/>
                <w:szCs w:val="20"/>
                <w:color w:val="auto"/>
              </w:rPr>
            </w:pPr>
            <w:r>
              <w:rPr>
                <w:rFonts w:ascii="Arial" w:cs="Arial" w:eastAsia="Arial" w:hAnsi="Arial"/>
                <w:sz w:val="13"/>
                <w:szCs w:val="13"/>
                <w:color w:val="auto"/>
                <w:w w:val="94"/>
              </w:rPr>
              <w:t>Accelerated filer</w:t>
            </w:r>
          </w:p>
        </w:tc>
        <w:tc>
          <w:tcPr>
            <w:tcW w:w="11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6"/>
        </w:trPr>
        <w:tc>
          <w:tcPr>
            <w:tcW w:w="2260" w:type="dxa"/>
            <w:vAlign w:val="bottom"/>
          </w:tcPr>
          <w:p>
            <w:pPr>
              <w:jc w:val="center"/>
              <w:ind w:right="1035"/>
              <w:spacing w:after="0"/>
              <w:rPr>
                <w:sz w:val="20"/>
                <w:szCs w:val="20"/>
                <w:color w:val="auto"/>
              </w:rPr>
            </w:pPr>
            <w:r>
              <w:rPr>
                <w:rFonts w:ascii="Arial" w:cs="Arial" w:eastAsia="Arial" w:hAnsi="Arial"/>
                <w:sz w:val="13"/>
                <w:szCs w:val="13"/>
                <w:color w:val="auto"/>
                <w:w w:val="93"/>
              </w:rPr>
              <w:t>Non-accelerated filer</w:t>
            </w:r>
          </w:p>
        </w:tc>
        <w:tc>
          <w:tcPr>
            <w:tcW w:w="222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jc w:val="center"/>
              <w:spacing w:after="0"/>
              <w:rPr>
                <w:sz w:val="20"/>
                <w:szCs w:val="20"/>
                <w:color w:val="auto"/>
              </w:rPr>
            </w:pPr>
            <w:r>
              <w:rPr>
                <w:rFonts w:ascii="Arial" w:cs="Arial" w:eastAsia="Arial" w:hAnsi="Arial"/>
                <w:sz w:val="13"/>
                <w:szCs w:val="13"/>
                <w:color w:val="auto"/>
                <w:w w:val="92"/>
              </w:rPr>
              <w:t>Smaller reporting company</w:t>
            </w:r>
          </w:p>
        </w:tc>
        <w:tc>
          <w:tcPr>
            <w:tcW w:w="11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5"/>
        </w:trPr>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3"/>
                <w:szCs w:val="13"/>
                <w:color w:val="auto"/>
                <w:w w:val="93"/>
              </w:rPr>
              <w:t>Emerging growth company</w:t>
            </w:r>
          </w:p>
        </w:tc>
        <w:tc>
          <w:tcPr>
            <w:tcW w:w="11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11" w:lineRule="exact"/>
        <w:rPr>
          <w:sz w:val="24"/>
          <w:szCs w:val="24"/>
          <w:color w:val="auto"/>
        </w:rPr>
      </w:pPr>
    </w:p>
    <w:p>
      <w:pPr>
        <w:ind w:right="8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69" w:lineRule="exact"/>
        <w:rPr>
          <w:sz w:val="24"/>
          <w:szCs w:val="24"/>
          <w:color w:val="auto"/>
        </w:rPr>
      </w:pPr>
    </w:p>
    <w:p>
      <w:pPr>
        <w:spacing w:after="0"/>
        <w:rPr>
          <w:sz w:val="20"/>
          <w:szCs w:val="20"/>
          <w:color w:val="auto"/>
        </w:rPr>
      </w:pPr>
      <w:r>
        <w:rPr>
          <w:rFonts w:ascii="Arial" w:cs="Arial" w:eastAsia="Arial" w:hAnsi="Arial"/>
          <w:sz w:val="13"/>
          <w:szCs w:val="13"/>
          <w:color w:val="auto"/>
        </w:rPr>
        <w:t>As of May 6, 2021, there were 282,869,957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462915</wp:posOffset>
            </wp:positionV>
            <wp:extent cx="718439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type w:val="continuous"/>
        </w:sectPr>
      </w:pPr>
    </w:p>
    <w:bookmarkStart w:id="1" w:name="page2"/>
    <w:bookmarkEnd w:id="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SOTERA HEALTH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TABLE OF CONTENTS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CCEEFF"/>
          </w:tcPr>
          <w:p>
            <w:pPr>
              <w:spacing w:after="0"/>
              <w:rPr>
                <w:sz w:val="14"/>
                <w:szCs w:val="14"/>
                <w:color w:val="auto"/>
              </w:rPr>
            </w:pPr>
          </w:p>
        </w:tc>
        <w:tc>
          <w:tcPr>
            <w:tcW w:w="8460" w:type="dxa"/>
            <w:vAlign w:val="bottom"/>
            <w:gridSpan w:val="13"/>
            <w:shd w:val="clear" w:color="auto" w:fill="CCEEFF"/>
          </w:tcPr>
          <w:p>
            <w:pPr>
              <w:spacing w:after="0"/>
              <w:rPr>
                <w:rFonts w:ascii="Arial" w:cs="Arial" w:eastAsia="Arial" w:hAnsi="Arial"/>
                <w:sz w:val="15"/>
                <w:szCs w:val="15"/>
                <w:b w:val="1"/>
                <w:bCs w:val="1"/>
                <w:color w:val="0000FF"/>
              </w:rPr>
            </w:pPr>
            <w:hyperlink w:anchor="page4">
              <w:r>
                <w:rPr>
                  <w:rFonts w:ascii="Arial" w:cs="Arial" w:eastAsia="Arial" w:hAnsi="Arial"/>
                  <w:sz w:val="15"/>
                  <w:szCs w:val="15"/>
                  <w:b w:val="1"/>
                  <w:bCs w:val="1"/>
                  <w:color w:val="0000FF"/>
                </w:rPr>
                <w:t>Part I—FINANCIAL INFORMATION</w:t>
              </w:r>
            </w:hyperlink>
          </w:p>
        </w:tc>
        <w:tc>
          <w:tcPr>
            <w:tcW w:w="2800" w:type="dxa"/>
            <w:vAlign w:val="bottom"/>
            <w:gridSpan w:val="4"/>
            <w:shd w:val="clear" w:color="auto" w:fill="CCEEFF"/>
          </w:tcPr>
          <w:p>
            <w:pPr>
              <w:jc w:val="right"/>
              <w:ind w:right="20"/>
              <w:spacing w:after="0"/>
              <w:rPr>
                <w:rFonts w:ascii="Arial" w:cs="Arial" w:eastAsia="Arial" w:hAnsi="Arial"/>
                <w:sz w:val="15"/>
                <w:szCs w:val="15"/>
                <w:color w:val="0000FF"/>
              </w:rPr>
            </w:pPr>
            <w:hyperlink w:anchor="page4">
              <w:r>
                <w:rPr>
                  <w:rFonts w:ascii="Arial" w:cs="Arial" w:eastAsia="Arial" w:hAnsi="Arial"/>
                  <w:sz w:val="15"/>
                  <w:szCs w:val="15"/>
                  <w:color w:val="0000FF"/>
                </w:rPr>
                <w:t>5</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2440" w:type="dxa"/>
            <w:vAlign w:val="bottom"/>
            <w:gridSpan w:val="10"/>
          </w:tcPr>
          <w:p>
            <w:pPr>
              <w:ind w:left="180"/>
              <w:spacing w:after="0" w:line="164" w:lineRule="exact"/>
              <w:rPr>
                <w:rFonts w:ascii="Arial" w:cs="Arial" w:eastAsia="Arial" w:hAnsi="Arial"/>
                <w:sz w:val="15"/>
                <w:szCs w:val="15"/>
                <w:color w:val="0000FF"/>
              </w:rPr>
            </w:pPr>
            <w:hyperlink w:anchor="page5">
              <w:r>
                <w:rPr>
                  <w:rFonts w:ascii="Arial" w:cs="Arial" w:eastAsia="Arial" w:hAnsi="Arial"/>
                  <w:sz w:val="15"/>
                  <w:szCs w:val="15"/>
                  <w:color w:val="0000FF"/>
                </w:rPr>
                <w:t>Item 1. Financial Statements</w:t>
              </w:r>
            </w:hyperlink>
          </w:p>
        </w:tc>
        <w:tc>
          <w:tcPr>
            <w:tcW w:w="6020" w:type="dxa"/>
            <w:vAlign w:val="bottom"/>
            <w:gridSpan w:val="3"/>
          </w:tcPr>
          <w:p>
            <w:pPr>
              <w:spacing w:after="0"/>
              <w:rPr>
                <w:sz w:val="14"/>
                <w:szCs w:val="14"/>
                <w:color w:val="auto"/>
              </w:rPr>
            </w:pPr>
          </w:p>
        </w:tc>
        <w:tc>
          <w:tcPr>
            <w:tcW w:w="2800" w:type="dxa"/>
            <w:vAlign w:val="bottom"/>
            <w:gridSpan w:val="4"/>
          </w:tcPr>
          <w:p>
            <w:pPr>
              <w:jc w:val="right"/>
              <w:ind w:right="20"/>
              <w:spacing w:after="0" w:line="164" w:lineRule="exact"/>
              <w:rPr>
                <w:rFonts w:ascii="Arial" w:cs="Arial" w:eastAsia="Arial" w:hAnsi="Arial"/>
                <w:sz w:val="15"/>
                <w:szCs w:val="15"/>
                <w:color w:val="0000FF"/>
              </w:rPr>
            </w:pPr>
            <w:hyperlink w:anchor="page5">
              <w:r>
                <w:rPr>
                  <w:rFonts w:ascii="Arial" w:cs="Arial" w:eastAsia="Arial" w:hAnsi="Arial"/>
                  <w:sz w:val="15"/>
                  <w:szCs w:val="15"/>
                  <w:color w:val="0000FF"/>
                </w:rPr>
                <w:t>5</w:t>
              </w:r>
            </w:hyperlink>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20" w:type="dxa"/>
            <w:vAlign w:val="bottom"/>
            <w:shd w:val="clear" w:color="auto" w:fill="CCEEFF"/>
          </w:tcPr>
          <w:p>
            <w:pPr>
              <w:spacing w:after="0"/>
              <w:rPr>
                <w:sz w:val="14"/>
                <w:szCs w:val="14"/>
                <w:color w:val="auto"/>
              </w:rPr>
            </w:pPr>
          </w:p>
        </w:tc>
        <w:tc>
          <w:tcPr>
            <w:tcW w:w="8460" w:type="dxa"/>
            <w:vAlign w:val="bottom"/>
            <w:gridSpan w:val="13"/>
            <w:shd w:val="clear" w:color="auto" w:fill="CCEEFF"/>
          </w:tcPr>
          <w:p>
            <w:pPr>
              <w:ind w:left="180"/>
              <w:spacing w:after="0" w:line="164" w:lineRule="exact"/>
              <w:rPr>
                <w:rFonts w:ascii="Arial" w:cs="Arial" w:eastAsia="Arial" w:hAnsi="Arial"/>
                <w:sz w:val="15"/>
                <w:szCs w:val="15"/>
                <w:color w:val="0000FF"/>
              </w:rPr>
            </w:pPr>
            <w:hyperlink w:anchor="page29">
              <w:r>
                <w:rPr>
                  <w:rFonts w:ascii="Arial" w:cs="Arial" w:eastAsia="Arial" w:hAnsi="Arial"/>
                  <w:sz w:val="15"/>
                  <w:szCs w:val="15"/>
                  <w:color w:val="0000FF"/>
                </w:rPr>
                <w:t>Item 2. Management’s Discussion and Analysis of Financial Condition and Results of Operations</w:t>
              </w:r>
            </w:hyperlink>
          </w:p>
        </w:tc>
        <w:tc>
          <w:tcPr>
            <w:tcW w:w="2780" w:type="dxa"/>
            <w:vAlign w:val="bottom"/>
            <w:gridSpan w:val="3"/>
            <w:shd w:val="clear" w:color="auto" w:fill="CCEEFF"/>
          </w:tcPr>
          <w:p>
            <w:pPr>
              <w:jc w:val="right"/>
              <w:spacing w:after="0" w:line="164" w:lineRule="exact"/>
              <w:rPr>
                <w:rFonts w:ascii="Arial" w:cs="Arial" w:eastAsia="Arial" w:hAnsi="Arial"/>
                <w:sz w:val="15"/>
                <w:szCs w:val="15"/>
                <w:color w:val="0000FF"/>
              </w:rPr>
            </w:pPr>
            <w:hyperlink w:anchor="page29">
              <w:r>
                <w:rPr>
                  <w:rFonts w:ascii="Arial" w:cs="Arial" w:eastAsia="Arial" w:hAnsi="Arial"/>
                  <w:sz w:val="15"/>
                  <w:szCs w:val="15"/>
                  <w:color w:val="0000FF"/>
                </w:rPr>
                <w:t>30</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600" w:type="dxa"/>
            <w:vAlign w:val="bottom"/>
            <w:gridSpan w:val="2"/>
          </w:tcPr>
          <w:p>
            <w:pPr>
              <w:ind w:left="180"/>
              <w:spacing w:after="0" w:line="164" w:lineRule="exact"/>
              <w:rPr>
                <w:rFonts w:ascii="Arial" w:cs="Arial" w:eastAsia="Arial" w:hAnsi="Arial"/>
                <w:sz w:val="15"/>
                <w:szCs w:val="15"/>
                <w:color w:val="0000FF"/>
                <w:w w:val="87"/>
              </w:rPr>
            </w:pPr>
            <w:hyperlink w:anchor="page41">
              <w:r>
                <w:rPr>
                  <w:rFonts w:ascii="Arial" w:cs="Arial" w:eastAsia="Arial" w:hAnsi="Arial"/>
                  <w:sz w:val="15"/>
                  <w:szCs w:val="15"/>
                  <w:color w:val="0000FF"/>
                  <w:w w:val="87"/>
                </w:rPr>
                <w:t>Item 3.</w:t>
              </w:r>
            </w:hyperlink>
          </w:p>
        </w:tc>
        <w:tc>
          <w:tcPr>
            <w:tcW w:w="7860" w:type="dxa"/>
            <w:vAlign w:val="bottom"/>
            <w:gridSpan w:val="11"/>
          </w:tcPr>
          <w:p>
            <w:pPr>
              <w:ind w:left="20"/>
              <w:spacing w:after="0" w:line="164" w:lineRule="exact"/>
              <w:rPr>
                <w:rFonts w:ascii="Arial" w:cs="Arial" w:eastAsia="Arial" w:hAnsi="Arial"/>
                <w:sz w:val="15"/>
                <w:szCs w:val="15"/>
                <w:color w:val="0000FF"/>
              </w:rPr>
            </w:pPr>
            <w:hyperlink w:anchor="page41">
              <w:r>
                <w:rPr>
                  <w:rFonts w:ascii="Arial" w:cs="Arial" w:eastAsia="Arial" w:hAnsi="Arial"/>
                  <w:sz w:val="15"/>
                  <w:szCs w:val="15"/>
                  <w:color w:val="0000FF"/>
                </w:rPr>
                <w:t>Quantitative and Qualitative Disclosures About Market Risk</w:t>
              </w:r>
            </w:hyperlink>
          </w:p>
        </w:tc>
        <w:tc>
          <w:tcPr>
            <w:tcW w:w="2780" w:type="dxa"/>
            <w:vAlign w:val="bottom"/>
            <w:gridSpan w:val="3"/>
          </w:tcPr>
          <w:p>
            <w:pPr>
              <w:jc w:val="right"/>
              <w:spacing w:after="0" w:line="164" w:lineRule="exact"/>
              <w:rPr>
                <w:rFonts w:ascii="Arial" w:cs="Arial" w:eastAsia="Arial" w:hAnsi="Arial"/>
                <w:sz w:val="15"/>
                <w:szCs w:val="15"/>
                <w:color w:val="0000FF"/>
              </w:rPr>
            </w:pPr>
            <w:hyperlink w:anchor="page41">
              <w:r>
                <w:rPr>
                  <w:rFonts w:ascii="Arial" w:cs="Arial" w:eastAsia="Arial" w:hAnsi="Arial"/>
                  <w:sz w:val="15"/>
                  <w:szCs w:val="15"/>
                  <w:color w:val="0000FF"/>
                </w:rPr>
                <w:t>41</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line="164" w:lineRule="exact"/>
              <w:rPr>
                <w:rFonts w:ascii="Arial" w:cs="Arial" w:eastAsia="Arial" w:hAnsi="Arial"/>
                <w:sz w:val="15"/>
                <w:szCs w:val="15"/>
                <w:color w:val="0000FF"/>
                <w:w w:val="87"/>
              </w:rPr>
            </w:pPr>
            <w:hyperlink w:anchor="page41">
              <w:r>
                <w:rPr>
                  <w:rFonts w:ascii="Arial" w:cs="Arial" w:eastAsia="Arial" w:hAnsi="Arial"/>
                  <w:sz w:val="15"/>
                  <w:szCs w:val="15"/>
                  <w:color w:val="0000FF"/>
                  <w:w w:val="87"/>
                </w:rPr>
                <w:t>Item 4.</w:t>
              </w:r>
            </w:hyperlink>
          </w:p>
        </w:tc>
        <w:tc>
          <w:tcPr>
            <w:tcW w:w="7860" w:type="dxa"/>
            <w:vAlign w:val="bottom"/>
            <w:gridSpan w:val="11"/>
            <w:shd w:val="clear" w:color="auto" w:fill="CCEEFF"/>
          </w:tcPr>
          <w:p>
            <w:pPr>
              <w:ind w:left="20"/>
              <w:spacing w:after="0" w:line="164" w:lineRule="exact"/>
              <w:rPr>
                <w:rFonts w:ascii="Arial" w:cs="Arial" w:eastAsia="Arial" w:hAnsi="Arial"/>
                <w:sz w:val="15"/>
                <w:szCs w:val="15"/>
                <w:color w:val="0000FF"/>
              </w:rPr>
            </w:pPr>
            <w:hyperlink w:anchor="page41">
              <w:r>
                <w:rPr>
                  <w:rFonts w:ascii="Arial" w:cs="Arial" w:eastAsia="Arial" w:hAnsi="Arial"/>
                  <w:sz w:val="15"/>
                  <w:szCs w:val="15"/>
                  <w:color w:val="0000FF"/>
                </w:rPr>
                <w:t>Controls and Procedures</w:t>
              </w:r>
            </w:hyperlink>
          </w:p>
        </w:tc>
        <w:tc>
          <w:tcPr>
            <w:tcW w:w="2780" w:type="dxa"/>
            <w:vAlign w:val="bottom"/>
            <w:gridSpan w:val="3"/>
            <w:shd w:val="clear" w:color="auto" w:fill="CCEEFF"/>
          </w:tcPr>
          <w:p>
            <w:pPr>
              <w:jc w:val="right"/>
              <w:spacing w:after="0" w:line="164" w:lineRule="exact"/>
              <w:rPr>
                <w:rFonts w:ascii="Arial" w:cs="Arial" w:eastAsia="Arial" w:hAnsi="Arial"/>
                <w:sz w:val="15"/>
                <w:szCs w:val="15"/>
                <w:color w:val="0000FF"/>
              </w:rPr>
            </w:pPr>
            <w:hyperlink w:anchor="page41">
              <w:r>
                <w:rPr>
                  <w:rFonts w:ascii="Arial" w:cs="Arial" w:eastAsia="Arial" w:hAnsi="Arial"/>
                  <w:sz w:val="15"/>
                  <w:szCs w:val="15"/>
                  <w:color w:val="0000FF"/>
                </w:rPr>
                <w:t>41</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8460" w:type="dxa"/>
            <w:vAlign w:val="bottom"/>
            <w:gridSpan w:val="13"/>
          </w:tcPr>
          <w:p>
            <w:pPr>
              <w:spacing w:after="0" w:line="164" w:lineRule="exact"/>
              <w:rPr>
                <w:rFonts w:ascii="Arial" w:cs="Arial" w:eastAsia="Arial" w:hAnsi="Arial"/>
                <w:sz w:val="15"/>
                <w:szCs w:val="15"/>
                <w:b w:val="1"/>
                <w:bCs w:val="1"/>
                <w:color w:val="0000FF"/>
              </w:rPr>
            </w:pPr>
            <w:hyperlink w:anchor="page41">
              <w:r>
                <w:rPr>
                  <w:rFonts w:ascii="Arial" w:cs="Arial" w:eastAsia="Arial" w:hAnsi="Arial"/>
                  <w:sz w:val="15"/>
                  <w:szCs w:val="15"/>
                  <w:b w:val="1"/>
                  <w:bCs w:val="1"/>
                  <w:color w:val="0000FF"/>
                </w:rPr>
                <w:t>Part II—OTHER INFORMATION</w:t>
              </w:r>
            </w:hyperlink>
          </w:p>
        </w:tc>
        <w:tc>
          <w:tcPr>
            <w:tcW w:w="2780" w:type="dxa"/>
            <w:vAlign w:val="bottom"/>
            <w:gridSpan w:val="3"/>
          </w:tcPr>
          <w:p>
            <w:pPr>
              <w:jc w:val="right"/>
              <w:spacing w:after="0" w:line="164" w:lineRule="exact"/>
              <w:rPr>
                <w:rFonts w:ascii="Arial" w:cs="Arial" w:eastAsia="Arial" w:hAnsi="Arial"/>
                <w:sz w:val="15"/>
                <w:szCs w:val="15"/>
                <w:color w:val="0000FF"/>
              </w:rPr>
            </w:pPr>
            <w:hyperlink w:anchor="page41">
              <w:r>
                <w:rPr>
                  <w:rFonts w:ascii="Arial" w:cs="Arial" w:eastAsia="Arial" w:hAnsi="Arial"/>
                  <w:sz w:val="15"/>
                  <w:szCs w:val="15"/>
                  <w:color w:val="0000FF"/>
                </w:rPr>
                <w:t>42</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line="164" w:lineRule="exact"/>
              <w:rPr>
                <w:rFonts w:ascii="Arial" w:cs="Arial" w:eastAsia="Arial" w:hAnsi="Arial"/>
                <w:sz w:val="15"/>
                <w:szCs w:val="15"/>
                <w:color w:val="0000FF"/>
                <w:w w:val="87"/>
              </w:rPr>
            </w:pPr>
            <w:hyperlink w:anchor="page42">
              <w:r>
                <w:rPr>
                  <w:rFonts w:ascii="Arial" w:cs="Arial" w:eastAsia="Arial" w:hAnsi="Arial"/>
                  <w:sz w:val="15"/>
                  <w:szCs w:val="15"/>
                  <w:color w:val="0000FF"/>
                  <w:w w:val="87"/>
                </w:rPr>
                <w:t>Item 1.</w:t>
              </w:r>
            </w:hyperlink>
          </w:p>
        </w:tc>
        <w:tc>
          <w:tcPr>
            <w:tcW w:w="7860" w:type="dxa"/>
            <w:vAlign w:val="bottom"/>
            <w:gridSpan w:val="11"/>
            <w:shd w:val="clear" w:color="auto" w:fill="CCEEFF"/>
          </w:tcPr>
          <w:p>
            <w:pPr>
              <w:ind w:left="20"/>
              <w:spacing w:after="0" w:line="164" w:lineRule="exact"/>
              <w:rPr>
                <w:rFonts w:ascii="Arial" w:cs="Arial" w:eastAsia="Arial" w:hAnsi="Arial"/>
                <w:sz w:val="15"/>
                <w:szCs w:val="15"/>
                <w:color w:val="0000FF"/>
              </w:rPr>
            </w:pPr>
            <w:hyperlink w:anchor="page42">
              <w:r>
                <w:rPr>
                  <w:rFonts w:ascii="Arial" w:cs="Arial" w:eastAsia="Arial" w:hAnsi="Arial"/>
                  <w:sz w:val="15"/>
                  <w:szCs w:val="15"/>
                  <w:color w:val="0000FF"/>
                </w:rPr>
                <w:t>Legal Proceedings.</w:t>
              </w:r>
            </w:hyperlink>
          </w:p>
        </w:tc>
        <w:tc>
          <w:tcPr>
            <w:tcW w:w="2780" w:type="dxa"/>
            <w:vAlign w:val="bottom"/>
            <w:gridSpan w:val="3"/>
            <w:shd w:val="clear" w:color="auto" w:fill="CCEEFF"/>
          </w:tcPr>
          <w:p>
            <w:pPr>
              <w:jc w:val="right"/>
              <w:spacing w:after="0" w:line="164" w:lineRule="exact"/>
              <w:rPr>
                <w:rFonts w:ascii="Arial" w:cs="Arial" w:eastAsia="Arial" w:hAnsi="Arial"/>
                <w:sz w:val="15"/>
                <w:szCs w:val="15"/>
                <w:color w:val="0000FF"/>
              </w:rPr>
            </w:pPr>
            <w:hyperlink w:anchor="page42">
              <w:r>
                <w:rPr>
                  <w:rFonts w:ascii="Arial" w:cs="Arial" w:eastAsia="Arial" w:hAnsi="Arial"/>
                  <w:sz w:val="15"/>
                  <w:szCs w:val="15"/>
                  <w:color w:val="0000FF"/>
                </w:rPr>
                <w:t>42</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8460" w:type="dxa"/>
            <w:vAlign w:val="bottom"/>
            <w:gridSpan w:val="13"/>
          </w:tcPr>
          <w:p>
            <w:pPr>
              <w:ind w:left="180"/>
              <w:spacing w:after="0" w:line="164" w:lineRule="exact"/>
              <w:rPr>
                <w:rFonts w:ascii="Arial" w:cs="Arial" w:eastAsia="Arial" w:hAnsi="Arial"/>
                <w:sz w:val="15"/>
                <w:szCs w:val="15"/>
                <w:color w:val="0000FF"/>
              </w:rPr>
            </w:pPr>
            <w:hyperlink w:anchor="page43">
              <w:r>
                <w:rPr>
                  <w:rFonts w:ascii="Arial" w:cs="Arial" w:eastAsia="Arial" w:hAnsi="Arial"/>
                  <w:sz w:val="15"/>
                  <w:szCs w:val="15"/>
                  <w:color w:val="0000FF"/>
                </w:rPr>
                <w:t>Item 1A. Risk Factors.</w:t>
              </w:r>
            </w:hyperlink>
          </w:p>
        </w:tc>
        <w:tc>
          <w:tcPr>
            <w:tcW w:w="2780" w:type="dxa"/>
            <w:vAlign w:val="bottom"/>
            <w:gridSpan w:val="3"/>
          </w:tcPr>
          <w:p>
            <w:pPr>
              <w:jc w:val="right"/>
              <w:spacing w:after="0" w:line="164" w:lineRule="exact"/>
              <w:rPr>
                <w:rFonts w:ascii="Arial" w:cs="Arial" w:eastAsia="Arial" w:hAnsi="Arial"/>
                <w:sz w:val="15"/>
                <w:szCs w:val="15"/>
                <w:color w:val="0000FF"/>
              </w:rPr>
            </w:pPr>
            <w:hyperlink w:anchor="page43">
              <w:r>
                <w:rPr>
                  <w:rFonts w:ascii="Arial" w:cs="Arial" w:eastAsia="Arial" w:hAnsi="Arial"/>
                  <w:sz w:val="15"/>
                  <w:szCs w:val="15"/>
                  <w:color w:val="0000FF"/>
                </w:rPr>
                <w:t>43</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line="164" w:lineRule="exact"/>
              <w:rPr>
                <w:rFonts w:ascii="Arial" w:cs="Arial" w:eastAsia="Arial" w:hAnsi="Arial"/>
                <w:sz w:val="15"/>
                <w:szCs w:val="15"/>
                <w:color w:val="0000FF"/>
                <w:w w:val="87"/>
              </w:rPr>
            </w:pPr>
            <w:hyperlink w:anchor="page43">
              <w:r>
                <w:rPr>
                  <w:rFonts w:ascii="Arial" w:cs="Arial" w:eastAsia="Arial" w:hAnsi="Arial"/>
                  <w:sz w:val="15"/>
                  <w:szCs w:val="15"/>
                  <w:color w:val="0000FF"/>
                  <w:w w:val="87"/>
                </w:rPr>
                <w:t>Item 6.</w:t>
              </w:r>
            </w:hyperlink>
          </w:p>
        </w:tc>
        <w:tc>
          <w:tcPr>
            <w:tcW w:w="7860" w:type="dxa"/>
            <w:vAlign w:val="bottom"/>
            <w:gridSpan w:val="11"/>
            <w:shd w:val="clear" w:color="auto" w:fill="CCEEFF"/>
          </w:tcPr>
          <w:p>
            <w:pPr>
              <w:ind w:left="20"/>
              <w:spacing w:after="0" w:line="164" w:lineRule="exact"/>
              <w:rPr>
                <w:rFonts w:ascii="Arial" w:cs="Arial" w:eastAsia="Arial" w:hAnsi="Arial"/>
                <w:sz w:val="15"/>
                <w:szCs w:val="15"/>
                <w:color w:val="0000FF"/>
              </w:rPr>
            </w:pPr>
            <w:hyperlink w:anchor="page43">
              <w:r>
                <w:rPr>
                  <w:rFonts w:ascii="Arial" w:cs="Arial" w:eastAsia="Arial" w:hAnsi="Arial"/>
                  <w:sz w:val="15"/>
                  <w:szCs w:val="15"/>
                  <w:color w:val="0000FF"/>
                </w:rPr>
                <w:t>Exhibits.</w:t>
              </w:r>
            </w:hyperlink>
          </w:p>
        </w:tc>
        <w:tc>
          <w:tcPr>
            <w:tcW w:w="2780" w:type="dxa"/>
            <w:vAlign w:val="bottom"/>
            <w:gridSpan w:val="3"/>
            <w:shd w:val="clear" w:color="auto" w:fill="CCEEFF"/>
          </w:tcPr>
          <w:p>
            <w:pPr>
              <w:jc w:val="right"/>
              <w:spacing w:after="0" w:line="164" w:lineRule="exact"/>
              <w:rPr>
                <w:rFonts w:ascii="Arial" w:cs="Arial" w:eastAsia="Arial" w:hAnsi="Arial"/>
                <w:sz w:val="15"/>
                <w:szCs w:val="15"/>
                <w:color w:val="0000FF"/>
              </w:rPr>
            </w:pPr>
            <w:hyperlink w:anchor="page43">
              <w:r>
                <w:rPr>
                  <w:rFonts w:ascii="Arial" w:cs="Arial" w:eastAsia="Arial" w:hAnsi="Arial"/>
                  <w:sz w:val="15"/>
                  <w:szCs w:val="15"/>
                  <w:color w:val="0000FF"/>
                </w:rPr>
                <w:t>44</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8460" w:type="dxa"/>
            <w:vAlign w:val="bottom"/>
            <w:gridSpan w:val="13"/>
          </w:tcPr>
          <w:p>
            <w:pPr>
              <w:ind w:left="180"/>
              <w:spacing w:after="0" w:line="164" w:lineRule="exact"/>
              <w:rPr>
                <w:rFonts w:ascii="Arial" w:cs="Arial" w:eastAsia="Arial" w:hAnsi="Arial"/>
                <w:sz w:val="15"/>
                <w:szCs w:val="15"/>
                <w:b w:val="1"/>
                <w:bCs w:val="1"/>
                <w:color w:val="0000FF"/>
              </w:rPr>
            </w:pPr>
            <w:hyperlink w:anchor="page44">
              <w:r>
                <w:rPr>
                  <w:rFonts w:ascii="Arial" w:cs="Arial" w:eastAsia="Arial" w:hAnsi="Arial"/>
                  <w:sz w:val="15"/>
                  <w:szCs w:val="15"/>
                  <w:b w:val="1"/>
                  <w:bCs w:val="1"/>
                  <w:color w:val="0000FF"/>
                </w:rPr>
                <w:t>SIGNATURES</w:t>
              </w:r>
            </w:hyperlink>
          </w:p>
        </w:tc>
        <w:tc>
          <w:tcPr>
            <w:tcW w:w="2780" w:type="dxa"/>
            <w:vAlign w:val="bottom"/>
            <w:gridSpan w:val="3"/>
          </w:tcPr>
          <w:p>
            <w:pPr>
              <w:jc w:val="right"/>
              <w:spacing w:after="0" w:line="164" w:lineRule="exact"/>
              <w:rPr>
                <w:rFonts w:ascii="Arial" w:cs="Arial" w:eastAsia="Arial" w:hAnsi="Arial"/>
                <w:sz w:val="15"/>
                <w:szCs w:val="15"/>
                <w:color w:val="0000FF"/>
              </w:rPr>
            </w:pPr>
            <w:hyperlink w:anchor="page44">
              <w:r>
                <w:rPr>
                  <w:rFonts w:ascii="Arial" w:cs="Arial" w:eastAsia="Arial" w:hAnsi="Arial"/>
                  <w:sz w:val="15"/>
                  <w:szCs w:val="15"/>
                  <w:color w:val="0000FF"/>
                </w:rPr>
                <w:t>45</w:t>
              </w:r>
            </w:hyperlink>
          </w:p>
        </w:tc>
        <w:tc>
          <w:tcPr>
            <w:tcW w:w="20" w:type="dxa"/>
            <w:vAlign w:val="bottom"/>
          </w:tcPr>
          <w:p>
            <w:pPr>
              <w:spacing w:after="0"/>
              <w:rPr>
                <w:sz w:val="14"/>
                <w:szCs w:val="14"/>
                <w:color w:val="auto"/>
              </w:rPr>
            </w:pPr>
          </w:p>
        </w:tc>
      </w:tr>
      <w:tr>
        <w:trPr>
          <w:trHeight w:val="852"/>
        </w:trPr>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80"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auto"/>
        </w:rPr>
        <w:t>This Quarterly Report on Form 10-Q includes “forward-looking statements” within the meaning of the Private Securities Litigation Reform Act of 1995. Forward looking statements are often characterized by the use of the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3" w:lineRule="exact"/>
        <w:rPr>
          <w:sz w:val="20"/>
          <w:szCs w:val="20"/>
          <w:color w:val="auto"/>
        </w:rPr>
      </w:pPr>
    </w:p>
    <w:p>
      <w:pPr>
        <w:ind w:left="800" w:right="20" w:hanging="271"/>
        <w:spacing w:after="0" w:line="242" w:lineRule="auto"/>
        <w:tabs>
          <w:tab w:leader="none" w:pos="796"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disruption in the availability of, or increases in the price of, ethylene oxide (“EO”), cobalt-60 (“Co-60”) or our other direct materials, services and supplies, including as a result of current geopolitical instability arising from U.S. relations with Russia and related sanctions;</w:t>
      </w: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adverse changes in industry trends;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adverse changes in environmental, health and safety regulations;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accidents resulting from the safety risks associated with the use and disposal of potentially hazardous materials such as EO and Co-60;</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accidents resulting from the safety risks associated with the transportation of potentially hazardous materials such as EO and Co-60;</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liability claims relating to health risks associated with the use of EO and Co-60;</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current and future legal proceedings;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intensity of competition we face;</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market changes that impact our long-term supply contracts with variable price clauses;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allegations of our failure to properly perform our services and any potential product liability claims, recalls, penalties and reputational harm;</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regulatory requirements to which we are subject, and any failures to receive or maintain, or delays in receiving, required clearance or approvals;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business continuity hazards and other risks associated with our operations, including our reliance on the use and sale of products and services from a single location;</w:t>
      </w:r>
    </w:p>
    <w:p>
      <w:pPr>
        <w:spacing w:after="0" w:line="24" w:lineRule="exact"/>
        <w:rPr>
          <w:rFonts w:ascii="Arial" w:cs="Arial" w:eastAsia="Arial" w:hAnsi="Arial"/>
          <w:sz w:val="13"/>
          <w:szCs w:val="13"/>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COVID-19 pandemic;</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increase capacity at existing facilities and build new facilities in a timely and cost-effective manner;</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renew the long-term leases for our facilities at the end of their terms;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risks of doing business internationally;</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instability in global and regional economic and political conditions;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failure to retain key personnel and attract talent;</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significant regulatory oversight to which our import and export operations are subject, and any failure to comply with applicable regulations;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cyber security breaches and data leaks as a result of our dependence on information technology systems;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risks of pursuing strategic transactions, including acquisitions, and our ability to find suitable acquisition targets or integrate strategic acquisitions successfully into our business;</w:t>
      </w:r>
    </w:p>
    <w:p>
      <w:pPr>
        <w:spacing w:after="0" w:line="24" w:lineRule="exact"/>
        <w:rPr>
          <w:rFonts w:ascii="Arial" w:cs="Arial" w:eastAsia="Arial" w:hAnsi="Arial"/>
          <w:sz w:val="13"/>
          <w:szCs w:val="13"/>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effective internal controls over financial reporting;</w:t>
      </w:r>
    </w:p>
    <w:p>
      <w:pPr>
        <w:spacing w:after="0" w:line="1" w:lineRule="exact"/>
        <w:rPr>
          <w:rFonts w:ascii="Arial" w:cs="Arial" w:eastAsia="Arial" w:hAnsi="Arial"/>
          <w:sz w:val="15"/>
          <w:szCs w:val="15"/>
          <w:color w:val="auto"/>
        </w:rPr>
      </w:pPr>
    </w:p>
    <w:p>
      <w:pPr>
        <w:ind w:left="800" w:right="380" w:hanging="271"/>
        <w:spacing w:after="0" w:line="242" w:lineRule="auto"/>
        <w:tabs>
          <w:tab w:leader="none" w:pos="7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reliance on intellectual property to maintain our competitive position and the risk of claims from third parties that we infringe or misappropriate their intellectual property rights;</w:t>
      </w: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data privacy and security laws and regulations to which we are subject, and any ineffective compliance efforts with such laws and regulations;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profitability in the future;</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impairment charges on our goodwill and other intangible assets with indefinite lives;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unionization efforts and labor regulations in certain countries in which we operate;</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variety of laws involving the cannabis industry to which we are subject, and any failure to comply with those laws;</w:t>
      </w:r>
    </w:p>
    <w:p>
      <w:pPr>
        <w:spacing w:after="0" w:line="1" w:lineRule="exact"/>
        <w:rPr>
          <w:rFonts w:ascii="Arial" w:cs="Arial" w:eastAsia="Arial" w:hAnsi="Arial"/>
          <w:sz w:val="15"/>
          <w:szCs w:val="15"/>
          <w:color w:val="auto"/>
        </w:rPr>
      </w:pP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risk of government or private civil antitrust actions;</w:t>
      </w:r>
    </w:p>
    <w:p>
      <w:pPr>
        <w:spacing w:after="0" w:line="1" w:lineRule="exact"/>
        <w:rPr>
          <w:rFonts w:ascii="Arial" w:cs="Arial" w:eastAsia="Arial" w:hAnsi="Arial"/>
          <w:sz w:val="15"/>
          <w:szCs w:val="15"/>
          <w:color w:val="auto"/>
        </w:rPr>
      </w:pPr>
    </w:p>
    <w:p>
      <w:pPr>
        <w:ind w:left="800" w:right="120" w:hanging="271"/>
        <w:spacing w:after="0" w:line="242" w:lineRule="auto"/>
        <w:tabs>
          <w:tab w:leader="none" w:pos="796" w:val="left"/>
        </w:tabs>
        <w:numPr>
          <w:ilvl w:val="0"/>
          <w:numId w:val="3"/>
        </w:numPr>
        <w:rPr>
          <w:rFonts w:ascii="Arial" w:cs="Arial" w:eastAsia="Arial" w:hAnsi="Arial"/>
          <w:sz w:val="15"/>
          <w:szCs w:val="15"/>
          <w:color w:val="auto"/>
        </w:rPr>
      </w:pPr>
      <w:r>
        <w:rPr>
          <w:rFonts w:ascii="Arial" w:cs="Arial" w:eastAsia="Arial" w:hAnsi="Arial"/>
          <w:sz w:val="15"/>
          <w:szCs w:val="15"/>
          <w:color w:val="auto"/>
        </w:rPr>
        <w:t>adverse changes to our tax positions in U.S. or non-U.S. jurisdictions, the interpretation and application of recent U.S. tax legislation or other changes in U.S. or non-U.S. taxation of our operations;</w:t>
      </w:r>
    </w:p>
    <w:p>
      <w:pPr>
        <w:ind w:left="800" w:right="20" w:hanging="271"/>
        <w:spacing w:after="0" w:line="242" w:lineRule="auto"/>
        <w:tabs>
          <w:tab w:leader="none" w:pos="7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substantial leverage could adversely affect our ability to raise additional capital, limit our ability to react to changes in the economy or our industry and prevent us from meeting our obligations under our existing and future indebtedness; and</w:t>
      </w:r>
    </w:p>
    <w:p>
      <w:pPr>
        <w:ind w:left="780" w:hanging="251"/>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generate sufficient cash flows or access sufficient additional capital to meet our debt obligations or to fund our other liquidity needs.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7184390"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25"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2020 (the “2020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31" w:lineRule="exact"/>
        <w:rPr>
          <w:sz w:val="20"/>
          <w:szCs w:val="20"/>
          <w:color w:val="auto"/>
        </w:rPr>
      </w:pPr>
    </w:p>
    <w:p>
      <w:pPr>
        <w:ind w:right="480"/>
        <w:spacing w:after="0" w:line="257" w:lineRule="auto"/>
        <w:rPr>
          <w:sz w:val="20"/>
          <w:szCs w:val="20"/>
          <w:color w:val="auto"/>
        </w:rPr>
      </w:pPr>
      <w:r>
        <w:rPr>
          <w:rFonts w:ascii="Arial" w:cs="Arial" w:eastAsia="Arial" w:hAnsi="Arial"/>
          <w:sz w:val="15"/>
          <w:szCs w:val="15"/>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718439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I—FINANCIAL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89"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Sotera Health Company</w:t>
      </w:r>
    </w:p>
    <w:p>
      <w:pPr>
        <w:spacing w:after="0" w:line="89"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As of</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March 31, 2021</w:t>
            </w:r>
          </w:p>
        </w:tc>
        <w:tc>
          <w:tcPr>
            <w:tcW w:w="180" w:type="dxa"/>
            <w:vAlign w:val="bottom"/>
          </w:tcPr>
          <w:p>
            <w:pPr>
              <w:spacing w:after="0"/>
              <w:rPr>
                <w:sz w:val="15"/>
                <w:szCs w:val="15"/>
                <w:color w:val="auto"/>
              </w:rPr>
            </w:pPr>
          </w:p>
        </w:tc>
        <w:tc>
          <w:tcPr>
            <w:tcW w:w="1260" w:type="dxa"/>
            <w:vAlign w:val="bottom"/>
          </w:tcPr>
          <w:p>
            <w:pPr>
              <w:jc w:val="right"/>
              <w:ind w:right="182"/>
              <w:spacing w:after="0"/>
              <w:rPr>
                <w:sz w:val="20"/>
                <w:szCs w:val="20"/>
                <w:color w:val="auto"/>
              </w:rPr>
            </w:pPr>
            <w:r>
              <w:rPr>
                <w:rFonts w:ascii="Arial" w:cs="Arial" w:eastAsia="Arial" w:hAnsi="Arial"/>
                <w:sz w:val="12"/>
                <w:szCs w:val="12"/>
                <w:b w:val="1"/>
                <w:bCs w:val="1"/>
                <w:color w:val="auto"/>
                <w:w w:val="92"/>
              </w:rPr>
              <w:t>December 31, 2020</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2"/>
                <w:szCs w:val="12"/>
                <w:b w:val="1"/>
                <w:bCs w:val="1"/>
                <w:i w:val="1"/>
                <w:iCs w:val="1"/>
                <w:color w:val="auto"/>
                <w:w w:val="86"/>
              </w:rPr>
              <w:t>(Unaudited)</w:t>
            </w: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Cash and cash equivalents</w:t>
            </w: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108,009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102,447</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Restricted cash short-term</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Accounts receivable, net of allowance for uncollectible accounts of $603 and $708, respectively</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96,393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91,735</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Inventories, net</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33,375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34,093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69,758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64,964</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Income taxes receivable</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20,825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21,769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2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328,367</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315,015</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Property, plant, and equipment, net</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611,620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609,814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lease assets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47,117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45,963</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8,088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8,424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Investment in unconsolidated affiliate</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9,227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13,457</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9,281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9,304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intangible assets, net</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656,572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643,366</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Goodwill</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1,106,728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1,115,936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2,777,000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2,761,279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Arial" w:cs="Arial" w:eastAsia="Arial" w:hAnsi="Arial"/>
                <w:sz w:val="12"/>
                <w:szCs w:val="12"/>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57,174</w:t>
            </w:r>
          </w:p>
        </w:tc>
        <w:tc>
          <w:tcPr>
            <w:tcW w:w="80" w:type="dxa"/>
            <w:vAlign w:val="bottom"/>
          </w:tcPr>
          <w:p>
            <w:pPr>
              <w:spacing w:after="0"/>
              <w:rPr>
                <w:sz w:val="13"/>
                <w:szCs w:val="13"/>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52,400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Accrued liabilities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56,373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60,518</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Deferred revenue</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5,958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6,056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Current portion of finance lease obligations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1,173</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Current portion of operating lease obligations</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9,631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9,383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Current portion of asset retirement obligations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391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Income taxes payable</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7,384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10,448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138,019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140,598</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Long-term debt, less current portion</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1,837,580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1,824,789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Finance lease obligations, less current portion</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33,432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34,939</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Operating lease obligations, less current portion</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39,806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38,941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Noncurrent asset retirement obligations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45,633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45,013</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Deferred lease income</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21,362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21,255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Post-retirement obligations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46,959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48,223</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Mandatorily redeemable noncontrolling interest</w:t>
            </w:r>
          </w:p>
        </w:tc>
        <w:tc>
          <w:tcPr>
            <w:tcW w:w="20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13,625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18,795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17,506</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129,670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121,816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2,311,256</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2,306,705</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See Commitments and contingencies note</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Equity:</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Common stock, with $0.01 par value, 1,200,000 shares authorized; 285,990 shares issued at March 31, 2021 and December 31, 2020, respectively</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2,860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2,860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340" w:type="dxa"/>
            <w:vAlign w:val="bottom"/>
            <w:shd w:val="clear" w:color="auto" w:fill="CCEEFF"/>
          </w:tcPr>
          <w:p>
            <w:pPr>
              <w:ind w:left="280"/>
              <w:spacing w:after="0" w:line="137" w:lineRule="exact"/>
              <w:rPr>
                <w:sz w:val="20"/>
                <w:szCs w:val="20"/>
                <w:color w:val="auto"/>
              </w:rPr>
            </w:pPr>
            <w:r>
              <w:rPr>
                <w:rFonts w:ascii="Arial" w:cs="Arial" w:eastAsia="Arial" w:hAnsi="Arial"/>
                <w:sz w:val="12"/>
                <w:szCs w:val="12"/>
                <w:color w:val="auto"/>
              </w:rPr>
              <w:t>Preferred stock, with $0.01 par value, 120,000 authorized; no shares issued at March 31, 2021 and</w:t>
            </w:r>
          </w:p>
        </w:tc>
        <w:tc>
          <w:tcPr>
            <w:tcW w:w="2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December 31, 2020, respectively</w:t>
            </w:r>
          </w:p>
        </w:tc>
        <w:tc>
          <w:tcPr>
            <w:tcW w:w="2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Treasury stock, at cost (3,090 and 2,742 shares at March 31, 2021 and December 31, 2020, respectively)</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(34,000)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(34,000)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Additional paid-in capital</w:t>
            </w:r>
          </w:p>
        </w:tc>
        <w:tc>
          <w:tcPr>
            <w:tcW w:w="2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1,169,852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1,166,412</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Retained deficit</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(578,286)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(589,128)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Accumulated other comprehensive loss</w:t>
            </w: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(97,162)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(93,842)</w:t>
            </w:r>
          </w:p>
        </w:tc>
        <w:tc>
          <w:tcPr>
            <w:tcW w:w="0" w:type="dxa"/>
            <w:vAlign w:val="bottom"/>
          </w:tcPr>
          <w:p>
            <w:pPr>
              <w:spacing w:after="0"/>
              <w:rPr>
                <w:sz w:val="1"/>
                <w:szCs w:val="1"/>
                <w:color w:val="auto"/>
              </w:rPr>
            </w:pPr>
          </w:p>
        </w:tc>
      </w:tr>
      <w:tr>
        <w:trPr>
          <w:trHeight w:val="145"/>
        </w:trPr>
        <w:tc>
          <w:tcPr>
            <w:tcW w:w="8340" w:type="dxa"/>
            <w:vAlign w:val="bottom"/>
          </w:tcPr>
          <w:p>
            <w:pPr>
              <w:ind w:left="20"/>
              <w:spacing w:after="0"/>
              <w:rPr>
                <w:sz w:val="20"/>
                <w:szCs w:val="20"/>
                <w:color w:val="auto"/>
              </w:rPr>
            </w:pPr>
            <w:r>
              <w:rPr>
                <w:rFonts w:ascii="Arial" w:cs="Arial" w:eastAsia="Arial" w:hAnsi="Arial"/>
                <w:sz w:val="12"/>
                <w:szCs w:val="12"/>
                <w:color w:val="auto"/>
              </w:rPr>
              <w:t>Total equity attributable to Sotera Health Company</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463,264</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452,302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Noncontrolling interests</w:t>
            </w: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2,480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2,272</w:t>
            </w:r>
          </w:p>
        </w:tc>
        <w:tc>
          <w:tcPr>
            <w:tcW w:w="0" w:type="dxa"/>
            <w:vAlign w:val="bottom"/>
          </w:tcPr>
          <w:p>
            <w:pPr>
              <w:spacing w:after="0"/>
              <w:rPr>
                <w:sz w:val="1"/>
                <w:szCs w:val="1"/>
                <w:color w:val="auto"/>
              </w:rPr>
            </w:pPr>
          </w:p>
        </w:tc>
      </w:tr>
      <w:tr>
        <w:trPr>
          <w:trHeight w:val="145"/>
        </w:trPr>
        <w:tc>
          <w:tcPr>
            <w:tcW w:w="8340" w:type="dxa"/>
            <w:vAlign w:val="bottom"/>
          </w:tcPr>
          <w:p>
            <w:pPr>
              <w:ind w:left="20"/>
              <w:spacing w:after="0"/>
              <w:rPr>
                <w:sz w:val="20"/>
                <w:szCs w:val="20"/>
                <w:color w:val="auto"/>
              </w:rPr>
            </w:pPr>
            <w:r>
              <w:rPr>
                <w:rFonts w:ascii="Arial" w:cs="Arial" w:eastAsia="Arial" w:hAnsi="Arial"/>
                <w:sz w:val="12"/>
                <w:szCs w:val="12"/>
                <w:color w:val="auto"/>
              </w:rPr>
              <w:t>Total equity</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465,744</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454,574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liabilities and equity</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2,777,000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2,761,279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57" w:right="31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Sotera Health Company</w:t>
      </w:r>
    </w:p>
    <w:p>
      <w:pPr>
        <w:spacing w:after="0" w:line="89"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auto"/>
        </w:rPr>
        <w:t>Consolidated Statements of Operations and Comprehensive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r>
      <w:tr>
        <w:trPr>
          <w:trHeight w:val="187"/>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87"/>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3"/>
          </w:tcPr>
          <w:p>
            <w:pPr>
              <w:jc w:val="right"/>
              <w:ind w:right="555"/>
              <w:spacing w:after="0"/>
              <w:rPr>
                <w:sz w:val="20"/>
                <w:szCs w:val="20"/>
                <w:color w:val="auto"/>
              </w:rPr>
            </w:pPr>
            <w:r>
              <w:rPr>
                <w:rFonts w:ascii="Arial" w:cs="Arial" w:eastAsia="Arial" w:hAnsi="Arial"/>
                <w:sz w:val="13"/>
                <w:szCs w:val="13"/>
                <w:b w:val="1"/>
                <w:bCs w:val="1"/>
                <w:i w:val="1"/>
                <w:iCs w:val="1"/>
                <w:color w:val="auto"/>
              </w:rPr>
              <w:t>(Unaudited)</w:t>
            </w:r>
          </w:p>
        </w:tc>
        <w:tc>
          <w:tcPr>
            <w:tcW w:w="520" w:type="dxa"/>
            <w:vAlign w:val="bottom"/>
          </w:tcPr>
          <w:p>
            <w:pPr>
              <w:spacing w:after="0"/>
              <w:rPr>
                <w:sz w:val="16"/>
                <w:szCs w:val="16"/>
                <w:color w:val="auto"/>
              </w:rPr>
            </w:pPr>
          </w:p>
        </w:tc>
      </w:tr>
      <w:tr>
        <w:trPr>
          <w:trHeight w:val="20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188"/>
        </w:trPr>
        <w:tc>
          <w:tcPr>
            <w:tcW w:w="8340" w:type="dxa"/>
            <w:vAlign w:val="bottom"/>
          </w:tcPr>
          <w:p>
            <w:pPr>
              <w:ind w:left="360"/>
              <w:spacing w:after="0"/>
              <w:rPr>
                <w:sz w:val="20"/>
                <w:szCs w:val="20"/>
                <w:color w:val="auto"/>
              </w:rPr>
            </w:pPr>
            <w:r>
              <w:rPr>
                <w:rFonts w:ascii="Arial" w:cs="Arial" w:eastAsia="Arial" w:hAnsi="Arial"/>
                <w:sz w:val="13"/>
                <w:szCs w:val="13"/>
                <w:color w:val="auto"/>
              </w:rPr>
              <w:t>Service</w:t>
            </w:r>
          </w:p>
        </w:tc>
        <w:tc>
          <w:tcPr>
            <w:tcW w:w="900" w:type="dxa"/>
            <w:vAlign w:val="bottom"/>
          </w:tcPr>
          <w:p>
            <w:pPr>
              <w:jc w:val="right"/>
              <w:ind w:right="755"/>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7"/>
              </w:rPr>
              <w:t>188,698</w:t>
            </w:r>
          </w:p>
        </w:tc>
        <w:tc>
          <w:tcPr>
            <w:tcW w:w="80" w:type="dxa"/>
            <w:vAlign w:val="bottom"/>
          </w:tcPr>
          <w:p>
            <w:pPr>
              <w:spacing w:after="0"/>
              <w:rPr>
                <w:sz w:val="16"/>
                <w:szCs w:val="16"/>
                <w:color w:val="auto"/>
              </w:rPr>
            </w:pPr>
          </w:p>
        </w:tc>
        <w:tc>
          <w:tcPr>
            <w:tcW w:w="920" w:type="dxa"/>
            <w:vAlign w:val="bottom"/>
          </w:tcPr>
          <w:p>
            <w:pPr>
              <w:jc w:val="right"/>
              <w:ind w:right="775"/>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167,405</w:t>
            </w:r>
          </w:p>
        </w:tc>
      </w:tr>
      <w:tr>
        <w:trPr>
          <w:trHeight w:val="196"/>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Product</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23,450</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20,795</w:t>
            </w:r>
          </w:p>
        </w:tc>
      </w:tr>
      <w:tr>
        <w:trPr>
          <w:trHeight w:val="187"/>
        </w:trPr>
        <w:tc>
          <w:tcPr>
            <w:tcW w:w="8340" w:type="dxa"/>
            <w:vAlign w:val="bottom"/>
          </w:tcPr>
          <w:p>
            <w:pPr>
              <w:ind w:left="20"/>
              <w:spacing w:after="0"/>
              <w:rPr>
                <w:sz w:val="20"/>
                <w:szCs w:val="20"/>
                <w:color w:val="auto"/>
              </w:rPr>
            </w:pPr>
            <w:r>
              <w:rPr>
                <w:rFonts w:ascii="Arial" w:cs="Arial" w:eastAsia="Arial" w:hAnsi="Arial"/>
                <w:sz w:val="13"/>
                <w:szCs w:val="13"/>
                <w:color w:val="auto"/>
              </w:rPr>
              <w:t>Total net revenues</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7"/>
              </w:rPr>
              <w:t>212,148</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188,200</w:t>
            </w:r>
          </w:p>
        </w:tc>
      </w:tr>
      <w:tr>
        <w:trPr>
          <w:trHeight w:val="20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 of revenues: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188"/>
        </w:trPr>
        <w:tc>
          <w:tcPr>
            <w:tcW w:w="8340" w:type="dxa"/>
            <w:vAlign w:val="bottom"/>
          </w:tcPr>
          <w:p>
            <w:pPr>
              <w:ind w:left="360"/>
              <w:spacing w:after="0"/>
              <w:rPr>
                <w:sz w:val="20"/>
                <w:szCs w:val="20"/>
                <w:color w:val="auto"/>
              </w:rPr>
            </w:pPr>
            <w:r>
              <w:rPr>
                <w:rFonts w:ascii="Arial" w:cs="Arial" w:eastAsia="Arial" w:hAnsi="Arial"/>
                <w:sz w:val="13"/>
                <w:szCs w:val="13"/>
                <w:color w:val="auto"/>
              </w:rPr>
              <w:t>Service</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85,036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83,069</w:t>
            </w:r>
          </w:p>
        </w:tc>
      </w:tr>
      <w:tr>
        <w:trPr>
          <w:trHeight w:val="196"/>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Product</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11,740</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8,614</w:t>
            </w:r>
          </w:p>
        </w:tc>
      </w:tr>
      <w:tr>
        <w:trPr>
          <w:trHeight w:val="18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cost of revenues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96,776</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91,683</w:t>
            </w: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115,372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96,517</w:t>
            </w:r>
          </w:p>
        </w:tc>
      </w:tr>
      <w:tr>
        <w:trPr>
          <w:trHeight w:val="188"/>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4"/>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Selling, general and administrative expenses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52,465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37,053</w:t>
            </w:r>
          </w:p>
        </w:tc>
      </w:tr>
      <w:tr>
        <w:trPr>
          <w:trHeight w:val="188"/>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Amortization of intangible assets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16,543</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w:t>
            </w:r>
          </w:p>
        </w:tc>
      </w:tr>
      <w:tr>
        <w:trPr>
          <w:trHeight w:val="187"/>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69,008</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51,652</w:t>
            </w:r>
          </w:p>
        </w:tc>
      </w:tr>
      <w:tr>
        <w:trPr>
          <w:trHeight w:val="187"/>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46,364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44,865</w:t>
            </w:r>
          </w:p>
        </w:tc>
      </w:tr>
      <w:tr>
        <w:trPr>
          <w:trHeight w:val="20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net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21,282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56,562</w:t>
            </w:r>
          </w:p>
        </w:tc>
      </w:tr>
      <w:tr>
        <w:trPr>
          <w:trHeight w:val="188"/>
        </w:trPr>
        <w:tc>
          <w:tcPr>
            <w:tcW w:w="834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14,312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exchange loss (gain)</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r>
      <w:tr>
        <w:trPr>
          <w:trHeight w:val="18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 net</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(3,890)</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3,150</w:t>
            </w: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14,082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(14,220)</w:t>
            </w:r>
          </w:p>
        </w:tc>
      </w:tr>
      <w:tr>
        <w:trPr>
          <w:trHeight w:val="18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(benefit) for income taxes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3,017</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(12,234)</w:t>
            </w: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11,065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r>
      <w:tr>
        <w:trPr>
          <w:trHeight w:val="18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Less: Net income (loss) attributable to noncontrolling interests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223</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Sotera Health Company</w:t>
            </w: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10,842</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(1,964)</w:t>
            </w: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 income net of tax:</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4"/>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Pension and post-retirement benefits (net of taxes of $84 and $(744), respectively)</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w:t>
            </w:r>
          </w:p>
        </w:tc>
      </w:tr>
      <w:tr>
        <w:trPr>
          <w:trHeight w:val="188"/>
        </w:trPr>
        <w:tc>
          <w:tcPr>
            <w:tcW w:w="8340" w:type="dxa"/>
            <w:vAlign w:val="bottom"/>
          </w:tcPr>
          <w:p>
            <w:pPr>
              <w:ind w:left="360"/>
              <w:spacing w:after="0"/>
              <w:rPr>
                <w:sz w:val="20"/>
                <w:szCs w:val="20"/>
                <w:color w:val="auto"/>
              </w:rPr>
            </w:pPr>
            <w:r>
              <w:rPr>
                <w:rFonts w:ascii="Arial" w:cs="Arial" w:eastAsia="Arial" w:hAnsi="Arial"/>
                <w:sz w:val="13"/>
                <w:szCs w:val="13"/>
                <w:color w:val="auto"/>
              </w:rPr>
              <w:t>Interest rate swaps (net of taxes of $0 and $1,234, respectively)</w:t>
            </w:r>
          </w:p>
        </w:tc>
        <w:tc>
          <w:tcPr>
            <w:tcW w:w="9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(3,479)</w:t>
            </w:r>
          </w:p>
        </w:tc>
      </w:tr>
      <w:tr>
        <w:trPr>
          <w:trHeight w:val="196"/>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Foreign currency translation</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(3,086)</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(72,967)</w:t>
            </w:r>
          </w:p>
        </w:tc>
      </w:tr>
      <w:tr>
        <w:trPr>
          <w:trHeight w:val="187"/>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 (loss)</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7,730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(76,225)</w:t>
            </w:r>
          </w:p>
        </w:tc>
      </w:t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comprehensive income (loss) attributable to noncontrolling interests</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95"/>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 (loss) attributable to Sotera Health Company</w:t>
            </w:r>
          </w:p>
        </w:tc>
        <w:tc>
          <w:tcPr>
            <w:tcW w:w="900" w:type="dxa"/>
            <w:vAlign w:val="bottom"/>
            <w:tcBorders>
              <w:bottom w:val="single" w:sz="8" w:color="auto"/>
            </w:tcBorders>
          </w:tcPr>
          <w:p>
            <w:pPr>
              <w:jc w:val="right"/>
              <w:ind w:right="755"/>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7,522</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ind w:right="775"/>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(76,203)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58"/>
        </w:trPr>
        <w:tc>
          <w:tcPr>
            <w:tcW w:w="834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b w:val="1"/>
                <w:bCs w:val="1"/>
                <w:color w:val="auto"/>
              </w:rPr>
              <w:t>Earnings (loss) per share:</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88"/>
        </w:trPr>
        <w:tc>
          <w:tcPr>
            <w:tcW w:w="8340" w:type="dxa"/>
            <w:vAlign w:val="bottom"/>
          </w:tcPr>
          <w:p>
            <w:pPr>
              <w:ind w:left="360"/>
              <w:spacing w:after="0"/>
              <w:rPr>
                <w:sz w:val="20"/>
                <w:szCs w:val="20"/>
                <w:color w:val="auto"/>
              </w:rPr>
            </w:pPr>
            <w:r>
              <w:rPr>
                <w:rFonts w:ascii="Arial" w:cs="Arial" w:eastAsia="Arial" w:hAnsi="Arial"/>
                <w:sz w:val="13"/>
                <w:szCs w:val="13"/>
                <w:color w:val="auto"/>
              </w:rPr>
              <w:t>Basic</w:t>
            </w:r>
          </w:p>
        </w:tc>
        <w:tc>
          <w:tcPr>
            <w:tcW w:w="900" w:type="dxa"/>
            <w:vAlign w:val="bottom"/>
          </w:tcPr>
          <w:p>
            <w:pPr>
              <w:jc w:val="right"/>
              <w:ind w:right="755"/>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0.04</w:t>
            </w:r>
          </w:p>
        </w:tc>
        <w:tc>
          <w:tcPr>
            <w:tcW w:w="80" w:type="dxa"/>
            <w:vAlign w:val="bottom"/>
          </w:tcPr>
          <w:p>
            <w:pPr>
              <w:spacing w:after="0"/>
              <w:rPr>
                <w:sz w:val="16"/>
                <w:szCs w:val="16"/>
                <w:color w:val="auto"/>
              </w:rPr>
            </w:pPr>
          </w:p>
        </w:tc>
        <w:tc>
          <w:tcPr>
            <w:tcW w:w="920" w:type="dxa"/>
            <w:vAlign w:val="bottom"/>
          </w:tcPr>
          <w:p>
            <w:pPr>
              <w:jc w:val="right"/>
              <w:ind w:right="775"/>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(0.01)</w:t>
            </w:r>
          </w:p>
        </w:tc>
      </w:tr>
      <w:tr>
        <w:trPr>
          <w:trHeight w:val="204"/>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Diluted</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r>
      <w:tr>
        <w:trPr>
          <w:trHeight w:val="188"/>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Weighted average number of shares outstanding:</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4"/>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Basic</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278,827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232,400</w:t>
            </w:r>
          </w:p>
        </w:tc>
      </w:tr>
      <w:tr>
        <w:trPr>
          <w:trHeight w:val="179"/>
        </w:trPr>
        <w:tc>
          <w:tcPr>
            <w:tcW w:w="8340" w:type="dxa"/>
            <w:vAlign w:val="bottom"/>
          </w:tcPr>
          <w:p>
            <w:pPr>
              <w:ind w:left="360"/>
              <w:spacing w:after="0"/>
              <w:rPr>
                <w:sz w:val="20"/>
                <w:szCs w:val="20"/>
                <w:color w:val="auto"/>
              </w:rPr>
            </w:pPr>
            <w:r>
              <w:rPr>
                <w:rFonts w:ascii="Arial" w:cs="Arial" w:eastAsia="Arial" w:hAnsi="Arial"/>
                <w:sz w:val="13"/>
                <w:szCs w:val="13"/>
                <w:color w:val="auto"/>
              </w:rPr>
              <w:t>Diluted</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7"/>
              </w:rPr>
              <w:t>278,968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232,400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57" w:right="31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Sotera Health Company</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420" w:type="dxa"/>
            <w:vAlign w:val="bottom"/>
            <w:gridSpan w:val="4"/>
          </w:tcPr>
          <w:p>
            <w:pPr>
              <w:jc w:val="right"/>
              <w:ind w:right="102"/>
              <w:spacing w:after="0"/>
              <w:rPr>
                <w:sz w:val="20"/>
                <w:szCs w:val="20"/>
                <w:color w:val="auto"/>
              </w:rPr>
            </w:pPr>
            <w:r>
              <w:rPr>
                <w:rFonts w:ascii="Arial" w:cs="Arial" w:eastAsia="Arial" w:hAnsi="Arial"/>
                <w:sz w:val="12"/>
                <w:szCs w:val="12"/>
                <w:b w:val="1"/>
                <w:bCs w:val="1"/>
                <w:color w:val="auto"/>
              </w:rPr>
              <w:t>Three Months Ended March 31,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Pr>
          <w:p>
            <w:pPr>
              <w:spacing w:after="0"/>
              <w:rPr>
                <w:sz w:val="12"/>
                <w:szCs w:val="12"/>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b w:val="1"/>
                <w:bCs w:val="1"/>
                <w:color w:val="auto"/>
              </w:rPr>
              <w:t>2020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3"/>
          </w:tcPr>
          <w:p>
            <w:pPr>
              <w:jc w:val="right"/>
              <w:ind w:right="602"/>
              <w:spacing w:after="0"/>
              <w:rPr>
                <w:sz w:val="20"/>
                <w:szCs w:val="20"/>
                <w:color w:val="auto"/>
              </w:rPr>
            </w:pPr>
            <w:r>
              <w:rPr>
                <w:rFonts w:ascii="Arial" w:cs="Arial" w:eastAsia="Arial" w:hAnsi="Arial"/>
                <w:sz w:val="12"/>
                <w:szCs w:val="12"/>
                <w:b w:val="1"/>
                <w:bCs w:val="1"/>
                <w:i w:val="1"/>
                <w:iCs w:val="1"/>
                <w:color w:val="auto"/>
              </w:rPr>
              <w:t>(Unaudited)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920" w:type="dxa"/>
            <w:vAlign w:val="bottom"/>
          </w:tcPr>
          <w:p>
            <w:pPr>
              <w:jc w:val="right"/>
              <w:ind w:right="805"/>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11,065</w:t>
            </w:r>
          </w:p>
        </w:tc>
        <w:tc>
          <w:tcPr>
            <w:tcW w:w="80" w:type="dxa"/>
            <w:vAlign w:val="bottom"/>
          </w:tcPr>
          <w:p>
            <w:pPr>
              <w:spacing w:after="0"/>
              <w:rPr>
                <w:sz w:val="13"/>
                <w:szCs w:val="13"/>
                <w:color w:val="auto"/>
              </w:rPr>
            </w:pP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(1,986)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Depreciation</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15,379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16,110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Amortization of intangible assets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22,282</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19,913</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Loss on extinguishment of debt</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14,312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Deferred income taxes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(3,637)</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(6,683)</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Share-based compensation expense</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3,449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1,725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Accretion of asset retirement obligations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551</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Unrealized foreign exchange (gains) / losses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2,354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(4,876)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Unrealized (gain) / loss on embedded derivative instruments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(853)</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4,819</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Gain (loss) on interest rate swap</w:t>
            </w:r>
          </w:p>
        </w:tc>
        <w:tc>
          <w:tcPr>
            <w:tcW w:w="9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(4,713)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Amortization of debt issuance costs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1,663</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2,977</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Other</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(2,843)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(2,306)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Changes in operating assets and liabilities: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540"/>
              <w:spacing w:after="0"/>
              <w:rPr>
                <w:sz w:val="20"/>
                <w:szCs w:val="20"/>
                <w:color w:val="auto"/>
              </w:rPr>
            </w:pPr>
            <w:r>
              <w:rPr>
                <w:rFonts w:ascii="Arial" w:cs="Arial" w:eastAsia="Arial" w:hAnsi="Arial"/>
                <w:sz w:val="12"/>
                <w:szCs w:val="12"/>
                <w:color w:val="auto"/>
              </w:rPr>
              <w:t>Accounts receivable</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(4,134)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Inventories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1,099</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(1,553)</w:t>
            </w:r>
          </w:p>
        </w:tc>
        <w:tc>
          <w:tcPr>
            <w:tcW w:w="0" w:type="dxa"/>
            <w:vAlign w:val="bottom"/>
          </w:tcPr>
          <w:p>
            <w:pPr>
              <w:spacing w:after="0"/>
              <w:rPr>
                <w:sz w:val="1"/>
                <w:szCs w:val="1"/>
                <w:color w:val="auto"/>
              </w:rPr>
            </w:pPr>
          </w:p>
        </w:tc>
      </w:tr>
      <w:tr>
        <w:trPr>
          <w:trHeight w:val="154"/>
        </w:trPr>
        <w:tc>
          <w:tcPr>
            <w:tcW w:w="8340" w:type="dxa"/>
            <w:vAlign w:val="bottom"/>
          </w:tcPr>
          <w:p>
            <w:pPr>
              <w:ind w:left="540"/>
              <w:spacing w:after="0"/>
              <w:rPr>
                <w:sz w:val="20"/>
                <w:szCs w:val="20"/>
                <w:color w:val="auto"/>
              </w:rPr>
            </w:pPr>
            <w:r>
              <w:rPr>
                <w:rFonts w:ascii="Arial" w:cs="Arial" w:eastAsia="Arial" w:hAnsi="Arial"/>
                <w:sz w:val="12"/>
                <w:szCs w:val="12"/>
                <w:color w:val="auto"/>
              </w:rPr>
              <w:t>Other current assets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(2,324)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(1,404)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Accounts payable</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6,625</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154"/>
        </w:trPr>
        <w:tc>
          <w:tcPr>
            <w:tcW w:w="8340" w:type="dxa"/>
            <w:vAlign w:val="bottom"/>
          </w:tcPr>
          <w:p>
            <w:pPr>
              <w:ind w:left="540"/>
              <w:spacing w:after="0"/>
              <w:rPr>
                <w:sz w:val="20"/>
                <w:szCs w:val="20"/>
                <w:color w:val="auto"/>
              </w:rPr>
            </w:pPr>
            <w:r>
              <w:rPr>
                <w:rFonts w:ascii="Arial" w:cs="Arial" w:eastAsia="Arial" w:hAnsi="Arial"/>
                <w:sz w:val="12"/>
                <w:szCs w:val="12"/>
                <w:color w:val="auto"/>
              </w:rPr>
              <w:t>Accrued liabilities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(5,542)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Income taxes payable / receivable</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(4,518)</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(8,132)</w:t>
            </w:r>
          </w:p>
        </w:tc>
        <w:tc>
          <w:tcPr>
            <w:tcW w:w="0" w:type="dxa"/>
            <w:vAlign w:val="bottom"/>
          </w:tcPr>
          <w:p>
            <w:pPr>
              <w:spacing w:after="0"/>
              <w:rPr>
                <w:sz w:val="1"/>
                <w:szCs w:val="1"/>
                <w:color w:val="auto"/>
              </w:rPr>
            </w:pPr>
          </w:p>
        </w:tc>
      </w:tr>
      <w:tr>
        <w:trPr>
          <w:trHeight w:val="154"/>
        </w:trPr>
        <w:tc>
          <w:tcPr>
            <w:tcW w:w="8340" w:type="dxa"/>
            <w:vAlign w:val="bottom"/>
          </w:tcPr>
          <w:p>
            <w:pPr>
              <w:ind w:left="540"/>
              <w:spacing w:after="0"/>
              <w:rPr>
                <w:sz w:val="20"/>
                <w:szCs w:val="20"/>
                <w:color w:val="auto"/>
              </w:rPr>
            </w:pPr>
            <w:r>
              <w:rPr>
                <w:rFonts w:ascii="Arial" w:cs="Arial" w:eastAsia="Arial" w:hAnsi="Arial"/>
                <w:sz w:val="12"/>
                <w:szCs w:val="12"/>
                <w:color w:val="auto"/>
              </w:rPr>
              <w:t>Other liabilities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1,513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Other long-term assets</w:t>
            </w:r>
          </w:p>
        </w:tc>
        <w:tc>
          <w:tcPr>
            <w:tcW w:w="9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(282)</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889</w:t>
            </w:r>
          </w:p>
        </w:tc>
        <w:tc>
          <w:tcPr>
            <w:tcW w:w="0" w:type="dxa"/>
            <w:vAlign w:val="bottom"/>
          </w:tcPr>
          <w:p>
            <w:pPr>
              <w:spacing w:after="0"/>
              <w:rPr>
                <w:sz w:val="1"/>
                <w:szCs w:val="1"/>
                <w:color w:val="auto"/>
              </w:rPr>
            </w:pPr>
          </w:p>
        </w:tc>
      </w:tr>
      <w:tr>
        <w:trPr>
          <w:trHeight w:val="145"/>
        </w:trPr>
        <w:tc>
          <w:tcPr>
            <w:tcW w:w="8340" w:type="dxa"/>
            <w:vAlign w:val="bottom"/>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9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56,159</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Purchases of property, plant and equipment</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(20,942)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(12,989)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 of mandatorily redeemable noncontrolling interest in Nelson Laboratories Fairfield, Inc.</w:t>
            </w: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(12,425)</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Purchase of BioScience Laboratories, LLC, net of cash acquired</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(13,152)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w:t>
            </w:r>
          </w:p>
        </w:tc>
        <w:tc>
          <w:tcPr>
            <w:tcW w:w="9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(46,519)</w:t>
            </w: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(12,989)</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revolving credit facility</w:t>
            </w:r>
          </w:p>
        </w:tc>
        <w:tc>
          <w:tcPr>
            <w:tcW w:w="9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Payments of debt issuance costs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(3,435)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Payments on long-term borrowings</w:t>
            </w:r>
          </w:p>
        </w:tc>
        <w:tc>
          <w:tcPr>
            <w:tcW w:w="9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Other</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(348)</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financing activities</w:t>
            </w:r>
          </w:p>
        </w:tc>
        <w:tc>
          <w:tcPr>
            <w:tcW w:w="9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(3,783)</w:t>
            </w: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49,307</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(295)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increase in cash and cash equivalents, including restricted cash</w:t>
            </w:r>
          </w:p>
        </w:tc>
        <w:tc>
          <w:tcPr>
            <w:tcW w:w="9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5,562</w:t>
            </w: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42,162</w:t>
            </w:r>
          </w:p>
        </w:tc>
        <w:tc>
          <w:tcPr>
            <w:tcW w:w="0" w:type="dxa"/>
            <w:vAlign w:val="bottom"/>
          </w:tcPr>
          <w:p>
            <w:pPr>
              <w:spacing w:after="0"/>
              <w:rPr>
                <w:sz w:val="1"/>
                <w:szCs w:val="1"/>
                <w:color w:val="auto"/>
              </w:rPr>
            </w:pPr>
          </w:p>
        </w:tc>
      </w:tr>
      <w:tr>
        <w:trPr>
          <w:trHeight w:val="154"/>
        </w:trPr>
        <w:tc>
          <w:tcPr>
            <w:tcW w:w="8340" w:type="dxa"/>
            <w:vAlign w:val="bottom"/>
          </w:tcPr>
          <w:p>
            <w:pPr>
              <w:ind w:left="20"/>
              <w:spacing w:after="0"/>
              <w:rPr>
                <w:sz w:val="20"/>
                <w:szCs w:val="20"/>
                <w:color w:val="auto"/>
              </w:rPr>
            </w:pPr>
            <w:r>
              <w:rPr>
                <w:rFonts w:ascii="Arial" w:cs="Arial" w:eastAsia="Arial" w:hAnsi="Arial"/>
                <w:sz w:val="12"/>
                <w:szCs w:val="12"/>
                <w:color w:val="auto"/>
              </w:rPr>
              <w:t>Cash and cash equivalents, including restricted cash, at beginning of period</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102,454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63,025</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including restricted cash, at end of period</w:t>
            </w:r>
          </w:p>
        </w:tc>
        <w:tc>
          <w:tcPr>
            <w:tcW w:w="92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108,016</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Arial" w:cs="Arial" w:eastAsia="Arial" w:hAnsi="Arial"/>
                <w:sz w:val="12"/>
                <w:szCs w:val="12"/>
                <w:b w:val="1"/>
                <w:bCs w:val="1"/>
                <w:color w:val="auto"/>
              </w:rPr>
              <w:t>Supplemental disclosures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3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Cash paid during the period for interest</w:t>
            </w:r>
          </w:p>
        </w:tc>
        <w:tc>
          <w:tcPr>
            <w:tcW w:w="92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19,745</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63,570</w:t>
            </w:r>
          </w:p>
        </w:tc>
        <w:tc>
          <w:tcPr>
            <w:tcW w:w="0" w:type="dxa"/>
            <w:vAlign w:val="bottom"/>
          </w:tcPr>
          <w:p>
            <w:pPr>
              <w:spacing w:after="0"/>
              <w:rPr>
                <w:sz w:val="1"/>
                <w:szCs w:val="1"/>
                <w:color w:val="auto"/>
              </w:rPr>
            </w:pPr>
          </w:p>
        </w:tc>
      </w:tr>
      <w:tr>
        <w:trPr>
          <w:trHeight w:val="154"/>
        </w:trPr>
        <w:tc>
          <w:tcPr>
            <w:tcW w:w="8340" w:type="dxa"/>
            <w:vAlign w:val="bottom"/>
          </w:tcPr>
          <w:p>
            <w:pPr>
              <w:ind w:left="280"/>
              <w:spacing w:after="0"/>
              <w:rPr>
                <w:sz w:val="20"/>
                <w:szCs w:val="20"/>
                <w:color w:val="auto"/>
              </w:rPr>
            </w:pPr>
            <w:r>
              <w:rPr>
                <w:rFonts w:ascii="Arial" w:cs="Arial" w:eastAsia="Arial" w:hAnsi="Arial"/>
                <w:sz w:val="12"/>
                <w:szCs w:val="12"/>
                <w:color w:val="auto"/>
              </w:rPr>
              <w:t>Cash paid during the period for income taxes, net of tax refunds received</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11,561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Equipment purchases included in accounts payable</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7,389</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5,100</w:t>
            </w:r>
          </w:p>
        </w:tc>
        <w:tc>
          <w:tcPr>
            <w:tcW w:w="0" w:type="dxa"/>
            <w:vAlign w:val="bottom"/>
          </w:tcPr>
          <w:p>
            <w:pPr>
              <w:spacing w:after="0"/>
              <w:rPr>
                <w:sz w:val="1"/>
                <w:szCs w:val="1"/>
                <w:color w:val="auto"/>
              </w:rPr>
            </w:pPr>
          </w:p>
        </w:tc>
      </w:tr>
      <w:tr>
        <w:trPr>
          <w:trHeight w:val="20"/>
        </w:trPr>
        <w:tc>
          <w:tcPr>
            <w:tcW w:w="83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57" w:right="31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Sotera Health Company</w:t>
      </w:r>
    </w:p>
    <w:p>
      <w:pPr>
        <w:spacing w:after="0" w:line="89" w:lineRule="exact"/>
        <w:rPr>
          <w:sz w:val="20"/>
          <w:szCs w:val="20"/>
          <w:color w:val="auto"/>
        </w:rPr>
      </w:pPr>
    </w:p>
    <w:p>
      <w:pPr>
        <w:jc w:val="right"/>
        <w:ind w:right="4300"/>
        <w:spacing w:after="0"/>
        <w:rPr>
          <w:sz w:val="20"/>
          <w:szCs w:val="20"/>
          <w:color w:val="auto"/>
        </w:rPr>
      </w:pPr>
      <w:r>
        <w:rPr>
          <w:rFonts w:ascii="Arial" w:cs="Arial" w:eastAsia="Arial" w:hAnsi="Arial"/>
          <w:sz w:val="15"/>
          <w:szCs w:val="15"/>
          <w:b w:val="1"/>
          <w:bCs w:val="1"/>
          <w:color w:val="auto"/>
        </w:rPr>
        <w:t>Consolidated Statements of Equity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(Unaudited)</w:t>
      </w:r>
    </w:p>
    <w:p>
      <w:pPr>
        <w:sectPr>
          <w:pgSz w:w="11900" w:h="16838" w:orient="portrait"/>
          <w:cols w:equalWidth="0" w:num="1">
            <w:col w:w="11280"/>
          </w:cols>
          <w:pgMar w:left="300" w:top="125" w:right="319" w:bottom="1440" w:gutter="0" w:footer="0" w:header="0"/>
        </w:sect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14"/>
        </w:trPr>
        <w:tc>
          <w:tcPr>
            <w:tcW w:w="2780" w:type="dxa"/>
            <w:vAlign w:val="bottom"/>
          </w:tcPr>
          <w:p>
            <w:pPr>
              <w:spacing w:after="0"/>
              <w:rPr>
                <w:sz w:val="9"/>
                <w:szCs w:val="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6"/>
              </w:rPr>
              <w:t>Shares</w:t>
            </w:r>
          </w:p>
        </w:tc>
        <w:tc>
          <w:tcPr>
            <w:tcW w:w="200" w:type="dxa"/>
            <w:vAlign w:val="bottom"/>
          </w:tcPr>
          <w:p>
            <w:pPr>
              <w:spacing w:after="0"/>
              <w:rPr>
                <w:sz w:val="9"/>
                <w:szCs w:val="9"/>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9"/>
                <w:szCs w:val="9"/>
                <w:color w:val="auto"/>
              </w:rPr>
            </w:pPr>
          </w:p>
        </w:tc>
        <w:tc>
          <w:tcPr>
            <w:tcW w:w="780" w:type="dxa"/>
            <w:vAlign w:val="bottom"/>
          </w:tcPr>
          <w:p>
            <w:pPr>
              <w:jc w:val="center"/>
              <w:ind w:right="147"/>
              <w:spacing w:after="0"/>
              <w:rPr>
                <w:sz w:val="20"/>
                <w:szCs w:val="20"/>
                <w:color w:val="auto"/>
              </w:rPr>
            </w:pPr>
            <w:r>
              <w:rPr>
                <w:rFonts w:ascii="Arial" w:cs="Arial" w:eastAsia="Arial" w:hAnsi="Arial"/>
                <w:sz w:val="9"/>
                <w:szCs w:val="9"/>
                <w:b w:val="1"/>
                <w:bCs w:val="1"/>
                <w:color w:val="auto"/>
                <w:w w:val="88"/>
              </w:rPr>
              <w:t>Amount</w:t>
            </w:r>
          </w:p>
        </w:tc>
        <w:tc>
          <w:tcPr>
            <w:tcW w:w="140" w:type="dxa"/>
            <w:vAlign w:val="bottom"/>
          </w:tcPr>
          <w:p>
            <w:pPr>
              <w:spacing w:after="0"/>
              <w:rPr>
                <w:sz w:val="9"/>
                <w:szCs w:val="9"/>
                <w:color w:val="auto"/>
              </w:rPr>
            </w:pPr>
          </w:p>
        </w:tc>
      </w:tr>
      <w:tr>
        <w:trPr>
          <w:trHeight w:val="50"/>
        </w:trPr>
        <w:tc>
          <w:tcPr>
            <w:tcW w:w="27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137"/>
        </w:trPr>
        <w:tc>
          <w:tcPr>
            <w:tcW w:w="278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7"/>
              </w:rPr>
              <w:t>Common</w:t>
            </w:r>
          </w:p>
        </w:tc>
        <w:tc>
          <w:tcPr>
            <w:tcW w:w="20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7"/>
              </w:rPr>
              <w:t>Common</w:t>
            </w:r>
          </w:p>
        </w:tc>
        <w:tc>
          <w:tcPr>
            <w:tcW w:w="200" w:type="dxa"/>
            <w:vAlign w:val="bottom"/>
          </w:tcPr>
          <w:p>
            <w:pPr>
              <w:spacing w:after="0"/>
              <w:rPr>
                <w:sz w:val="11"/>
                <w:szCs w:val="11"/>
                <w:color w:val="auto"/>
              </w:rPr>
            </w:pPr>
          </w:p>
        </w:tc>
        <w:tc>
          <w:tcPr>
            <w:tcW w:w="780" w:type="dxa"/>
            <w:vAlign w:val="bottom"/>
          </w:tcPr>
          <w:p>
            <w:pPr>
              <w:jc w:val="center"/>
              <w:ind w:right="147"/>
              <w:spacing w:after="0"/>
              <w:rPr>
                <w:sz w:val="20"/>
                <w:szCs w:val="20"/>
                <w:color w:val="auto"/>
              </w:rPr>
            </w:pPr>
            <w:r>
              <w:rPr>
                <w:rFonts w:ascii="Arial" w:cs="Arial" w:eastAsia="Arial" w:hAnsi="Arial"/>
                <w:sz w:val="9"/>
                <w:szCs w:val="9"/>
                <w:b w:val="1"/>
                <w:bCs w:val="1"/>
                <w:color w:val="auto"/>
                <w:w w:val="89"/>
              </w:rPr>
              <w:t>Treasury</w:t>
            </w:r>
          </w:p>
        </w:tc>
        <w:tc>
          <w:tcPr>
            <w:tcW w:w="140" w:type="dxa"/>
            <w:vAlign w:val="bottom"/>
          </w:tcPr>
          <w:p>
            <w:pPr>
              <w:spacing w:after="0"/>
              <w:rPr>
                <w:sz w:val="11"/>
                <w:szCs w:val="11"/>
                <w:color w:val="auto"/>
              </w:rPr>
            </w:pPr>
          </w:p>
        </w:tc>
      </w:tr>
      <w:tr>
        <w:trPr>
          <w:trHeight w:val="128"/>
        </w:trPr>
        <w:tc>
          <w:tcPr>
            <w:tcW w:w="278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9"/>
              </w:rPr>
              <w:t>Stock</w:t>
            </w:r>
          </w:p>
        </w:tc>
        <w:tc>
          <w:tcPr>
            <w:tcW w:w="20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9"/>
              </w:rPr>
              <w:t>Stock</w:t>
            </w:r>
          </w:p>
        </w:tc>
        <w:tc>
          <w:tcPr>
            <w:tcW w:w="200" w:type="dxa"/>
            <w:vAlign w:val="bottom"/>
          </w:tcPr>
          <w:p>
            <w:pPr>
              <w:spacing w:after="0"/>
              <w:rPr>
                <w:sz w:val="11"/>
                <w:szCs w:val="11"/>
                <w:color w:val="auto"/>
              </w:rPr>
            </w:pPr>
          </w:p>
        </w:tc>
        <w:tc>
          <w:tcPr>
            <w:tcW w:w="780" w:type="dxa"/>
            <w:vAlign w:val="bottom"/>
          </w:tcPr>
          <w:p>
            <w:pPr>
              <w:jc w:val="center"/>
              <w:ind w:right="167"/>
              <w:spacing w:after="0"/>
              <w:rPr>
                <w:sz w:val="20"/>
                <w:szCs w:val="20"/>
                <w:color w:val="auto"/>
              </w:rPr>
            </w:pPr>
            <w:r>
              <w:rPr>
                <w:rFonts w:ascii="Arial" w:cs="Arial" w:eastAsia="Arial" w:hAnsi="Arial"/>
                <w:sz w:val="9"/>
                <w:szCs w:val="9"/>
                <w:b w:val="1"/>
                <w:bCs w:val="1"/>
                <w:color w:val="auto"/>
                <w:w w:val="81"/>
              </w:rPr>
              <w:t>Stock</w:t>
            </w:r>
          </w:p>
        </w:tc>
        <w:tc>
          <w:tcPr>
            <w:tcW w:w="140" w:type="dxa"/>
            <w:vAlign w:val="bottom"/>
          </w:tcPr>
          <w:p>
            <w:pPr>
              <w:spacing w:after="0"/>
              <w:rPr>
                <w:sz w:val="11"/>
                <w:szCs w:val="11"/>
                <w:color w:val="auto"/>
              </w:rPr>
            </w:pPr>
          </w:p>
        </w:tc>
      </w:tr>
      <w:tr>
        <w:trPr>
          <w:trHeight w:val="153"/>
        </w:trPr>
        <w:tc>
          <w:tcPr>
            <w:tcW w:w="2780" w:type="dxa"/>
            <w:vAlign w:val="bottom"/>
          </w:tcPr>
          <w:p>
            <w:pPr>
              <w:spacing w:after="0"/>
              <w:rPr>
                <w:sz w:val="20"/>
                <w:szCs w:val="20"/>
                <w:color w:val="auto"/>
              </w:rPr>
            </w:pPr>
            <w:r>
              <w:rPr>
                <w:rFonts w:ascii="Arial" w:cs="Arial" w:eastAsia="Arial" w:hAnsi="Arial"/>
                <w:sz w:val="12"/>
                <w:szCs w:val="12"/>
                <w:b w:val="1"/>
                <w:bCs w:val="1"/>
                <w:color w:val="auto"/>
              </w:rPr>
              <w:t>Balance at December 31, 2019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232,400</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2,324</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ind w:left="6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74"/>
        </w:trPr>
        <w:tc>
          <w:tcPr>
            <w:tcW w:w="2780" w:type="dxa"/>
            <w:vAlign w:val="bottom"/>
          </w:tcPr>
          <w:p>
            <w:pPr>
              <w:spacing w:after="0"/>
              <w:rPr>
                <w:sz w:val="20"/>
                <w:szCs w:val="20"/>
                <w:color w:val="auto"/>
              </w:rPr>
            </w:pPr>
            <w:r>
              <w:rPr>
                <w:rFonts w:ascii="Arial" w:cs="Arial" w:eastAsia="Arial" w:hAnsi="Arial"/>
                <w:sz w:val="12"/>
                <w:szCs w:val="12"/>
                <w:color w:val="auto"/>
              </w:rPr>
              <w:t>Share-based compensation plans</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w w:val="87"/>
              </w:rPr>
              <w:t>Pension and post-retirement plan adjustments, net of tax</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rPr>
              <w:t>Foreign currency translation</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rPr>
              <w:t>Interest rate swaps</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20"/>
        </w:trPr>
        <w:tc>
          <w:tcPr>
            <w:tcW w:w="2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5"/>
        </w:trPr>
        <w:tc>
          <w:tcPr>
            <w:tcW w:w="2780" w:type="dxa"/>
            <w:vAlign w:val="bottom"/>
          </w:tcPr>
          <w:p>
            <w:pPr>
              <w:spacing w:after="0"/>
              <w:rPr>
                <w:sz w:val="20"/>
                <w:szCs w:val="20"/>
                <w:color w:val="auto"/>
              </w:rPr>
            </w:pPr>
            <w:r>
              <w:rPr>
                <w:rFonts w:ascii="Arial" w:cs="Arial" w:eastAsia="Arial" w:hAnsi="Arial"/>
                <w:sz w:val="12"/>
                <w:szCs w:val="12"/>
                <w:b w:val="1"/>
                <w:bCs w:val="1"/>
                <w:color w:val="auto"/>
              </w:rPr>
              <w:t>Balance at March 31,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232,400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2,324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0"/>
        </w:trPr>
        <w:tc>
          <w:tcPr>
            <w:tcW w:w="2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3"/>
        </w:trPr>
        <w:tc>
          <w:tcPr>
            <w:tcW w:w="278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6"/>
              </w:rPr>
              <w:t>Shares</w:t>
            </w:r>
          </w:p>
        </w:tc>
        <w:tc>
          <w:tcPr>
            <w:tcW w:w="20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24"/>
                <w:szCs w:val="24"/>
                <w:color w:val="auto"/>
              </w:rPr>
            </w:pPr>
          </w:p>
        </w:tc>
        <w:tc>
          <w:tcPr>
            <w:tcW w:w="780" w:type="dxa"/>
            <w:vAlign w:val="bottom"/>
          </w:tcPr>
          <w:p>
            <w:pPr>
              <w:jc w:val="center"/>
              <w:ind w:right="147"/>
              <w:spacing w:after="0"/>
              <w:rPr>
                <w:sz w:val="20"/>
                <w:szCs w:val="20"/>
                <w:color w:val="auto"/>
              </w:rPr>
            </w:pPr>
            <w:r>
              <w:rPr>
                <w:rFonts w:ascii="Arial" w:cs="Arial" w:eastAsia="Arial" w:hAnsi="Arial"/>
                <w:sz w:val="9"/>
                <w:szCs w:val="9"/>
                <w:b w:val="1"/>
                <w:bCs w:val="1"/>
                <w:color w:val="auto"/>
                <w:w w:val="88"/>
              </w:rPr>
              <w:t>Amount</w:t>
            </w:r>
          </w:p>
        </w:tc>
        <w:tc>
          <w:tcPr>
            <w:tcW w:w="140" w:type="dxa"/>
            <w:vAlign w:val="bottom"/>
          </w:tcPr>
          <w:p>
            <w:pPr>
              <w:spacing w:after="0"/>
              <w:rPr>
                <w:sz w:val="24"/>
                <w:szCs w:val="24"/>
                <w:color w:val="auto"/>
              </w:rPr>
            </w:pPr>
          </w:p>
        </w:tc>
      </w:tr>
      <w:tr>
        <w:trPr>
          <w:trHeight w:val="61"/>
        </w:trPr>
        <w:tc>
          <w:tcPr>
            <w:tcW w:w="27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137"/>
        </w:trPr>
        <w:tc>
          <w:tcPr>
            <w:tcW w:w="278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7"/>
              </w:rPr>
              <w:t>Common</w:t>
            </w:r>
          </w:p>
        </w:tc>
        <w:tc>
          <w:tcPr>
            <w:tcW w:w="20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7"/>
              </w:rPr>
              <w:t>Common</w:t>
            </w:r>
          </w:p>
        </w:tc>
        <w:tc>
          <w:tcPr>
            <w:tcW w:w="200" w:type="dxa"/>
            <w:vAlign w:val="bottom"/>
          </w:tcPr>
          <w:p>
            <w:pPr>
              <w:spacing w:after="0"/>
              <w:rPr>
                <w:sz w:val="11"/>
                <w:szCs w:val="11"/>
                <w:color w:val="auto"/>
              </w:rPr>
            </w:pPr>
          </w:p>
        </w:tc>
        <w:tc>
          <w:tcPr>
            <w:tcW w:w="780" w:type="dxa"/>
            <w:vAlign w:val="bottom"/>
          </w:tcPr>
          <w:p>
            <w:pPr>
              <w:jc w:val="center"/>
              <w:ind w:right="147"/>
              <w:spacing w:after="0"/>
              <w:rPr>
                <w:sz w:val="20"/>
                <w:szCs w:val="20"/>
                <w:color w:val="auto"/>
              </w:rPr>
            </w:pPr>
            <w:r>
              <w:rPr>
                <w:rFonts w:ascii="Arial" w:cs="Arial" w:eastAsia="Arial" w:hAnsi="Arial"/>
                <w:sz w:val="9"/>
                <w:szCs w:val="9"/>
                <w:b w:val="1"/>
                <w:bCs w:val="1"/>
                <w:color w:val="auto"/>
                <w:w w:val="89"/>
              </w:rPr>
              <w:t>Treasury</w:t>
            </w:r>
          </w:p>
        </w:tc>
        <w:tc>
          <w:tcPr>
            <w:tcW w:w="140" w:type="dxa"/>
            <w:vAlign w:val="bottom"/>
          </w:tcPr>
          <w:p>
            <w:pPr>
              <w:spacing w:after="0"/>
              <w:rPr>
                <w:sz w:val="11"/>
                <w:szCs w:val="11"/>
                <w:color w:val="auto"/>
              </w:rPr>
            </w:pPr>
          </w:p>
        </w:tc>
      </w:tr>
      <w:tr>
        <w:trPr>
          <w:trHeight w:val="128"/>
        </w:trPr>
        <w:tc>
          <w:tcPr>
            <w:tcW w:w="278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9"/>
              </w:rPr>
              <w:t>Stock</w:t>
            </w:r>
          </w:p>
        </w:tc>
        <w:tc>
          <w:tcPr>
            <w:tcW w:w="20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9"/>
              </w:rPr>
              <w:t>Stock</w:t>
            </w:r>
          </w:p>
        </w:tc>
        <w:tc>
          <w:tcPr>
            <w:tcW w:w="200" w:type="dxa"/>
            <w:vAlign w:val="bottom"/>
          </w:tcPr>
          <w:p>
            <w:pPr>
              <w:spacing w:after="0"/>
              <w:rPr>
                <w:sz w:val="11"/>
                <w:szCs w:val="11"/>
                <w:color w:val="auto"/>
              </w:rPr>
            </w:pPr>
          </w:p>
        </w:tc>
        <w:tc>
          <w:tcPr>
            <w:tcW w:w="780" w:type="dxa"/>
            <w:vAlign w:val="bottom"/>
          </w:tcPr>
          <w:p>
            <w:pPr>
              <w:jc w:val="center"/>
              <w:ind w:right="167"/>
              <w:spacing w:after="0"/>
              <w:rPr>
                <w:sz w:val="20"/>
                <w:szCs w:val="20"/>
                <w:color w:val="auto"/>
              </w:rPr>
            </w:pPr>
            <w:r>
              <w:rPr>
                <w:rFonts w:ascii="Arial" w:cs="Arial" w:eastAsia="Arial" w:hAnsi="Arial"/>
                <w:sz w:val="9"/>
                <w:szCs w:val="9"/>
                <w:b w:val="1"/>
                <w:bCs w:val="1"/>
                <w:color w:val="auto"/>
                <w:w w:val="81"/>
              </w:rPr>
              <w:t>Stock</w:t>
            </w:r>
          </w:p>
        </w:tc>
        <w:tc>
          <w:tcPr>
            <w:tcW w:w="140" w:type="dxa"/>
            <w:vAlign w:val="bottom"/>
          </w:tcPr>
          <w:p>
            <w:pPr>
              <w:spacing w:after="0"/>
              <w:rPr>
                <w:sz w:val="11"/>
                <w:szCs w:val="11"/>
                <w:color w:val="auto"/>
              </w:rPr>
            </w:pPr>
          </w:p>
        </w:tc>
      </w:tr>
      <w:tr>
        <w:trPr>
          <w:trHeight w:val="153"/>
        </w:trPr>
        <w:tc>
          <w:tcPr>
            <w:tcW w:w="2780" w:type="dxa"/>
            <w:vAlign w:val="bottom"/>
          </w:tcPr>
          <w:p>
            <w:pPr>
              <w:spacing w:after="0"/>
              <w:rPr>
                <w:sz w:val="20"/>
                <w:szCs w:val="20"/>
                <w:color w:val="auto"/>
              </w:rPr>
            </w:pPr>
            <w:r>
              <w:rPr>
                <w:rFonts w:ascii="Arial" w:cs="Arial" w:eastAsia="Arial" w:hAnsi="Arial"/>
                <w:sz w:val="12"/>
                <w:szCs w:val="12"/>
                <w:b w:val="1"/>
                <w:bCs w:val="1"/>
                <w:color w:val="auto"/>
              </w:rPr>
              <w:t>Balance at December 31,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283,248</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2,860</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ind w:left="360"/>
              <w:spacing w:after="0"/>
              <w:rPr>
                <w:sz w:val="20"/>
                <w:szCs w:val="20"/>
                <w:color w:val="auto"/>
              </w:rPr>
            </w:pPr>
            <w:r>
              <w:rPr>
                <w:rFonts w:ascii="Arial" w:cs="Arial" w:eastAsia="Arial" w:hAnsi="Arial"/>
                <w:sz w:val="12"/>
                <w:szCs w:val="12"/>
                <w:b w:val="1"/>
                <w:bCs w:val="1"/>
                <w:color w:val="auto"/>
                <w:w w:val="89"/>
              </w:rPr>
              <w:t>(34,000)</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74"/>
        </w:trPr>
        <w:tc>
          <w:tcPr>
            <w:tcW w:w="2780" w:type="dxa"/>
            <w:vAlign w:val="bottom"/>
          </w:tcPr>
          <w:p>
            <w:pPr>
              <w:spacing w:after="0"/>
              <w:rPr>
                <w:sz w:val="20"/>
                <w:szCs w:val="20"/>
                <w:color w:val="auto"/>
              </w:rPr>
            </w:pPr>
            <w:r>
              <w:rPr>
                <w:rFonts w:ascii="Arial" w:cs="Arial" w:eastAsia="Arial" w:hAnsi="Arial"/>
                <w:sz w:val="12"/>
                <w:szCs w:val="12"/>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2"/>
                <w:szCs w:val="12"/>
                <w:color w:val="auto"/>
              </w:rPr>
              <w:t>(348)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w w:val="87"/>
              </w:rPr>
              <w:t>Pension and post-retirement plan adjustments, net of tax</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rPr>
              <w:t>Foreign currency translation</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174"/>
        </w:trPr>
        <w:tc>
          <w:tcPr>
            <w:tcW w:w="278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r>
      <w:tr>
        <w:trPr>
          <w:trHeight w:val="20"/>
        </w:trPr>
        <w:tc>
          <w:tcPr>
            <w:tcW w:w="2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5"/>
        </w:trPr>
        <w:tc>
          <w:tcPr>
            <w:tcW w:w="2780" w:type="dxa"/>
            <w:vAlign w:val="bottom"/>
          </w:tcPr>
          <w:p>
            <w:pPr>
              <w:spacing w:after="0"/>
              <w:rPr>
                <w:sz w:val="20"/>
                <w:szCs w:val="20"/>
                <w:color w:val="auto"/>
              </w:rPr>
            </w:pPr>
            <w:r>
              <w:rPr>
                <w:rFonts w:ascii="Arial" w:cs="Arial" w:eastAsia="Arial" w:hAnsi="Arial"/>
                <w:sz w:val="12"/>
                <w:szCs w:val="12"/>
                <w:b w:val="1"/>
                <w:bCs w:val="1"/>
                <w:color w:val="auto"/>
              </w:rPr>
              <w:t>Balance at March 31,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282,900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2,860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89"/>
              </w:rPr>
              <w:t>(34,000)</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0"/>
        </w:trPr>
        <w:tc>
          <w:tcPr>
            <w:tcW w:w="2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-2017395</wp:posOffset>
            </wp:positionV>
            <wp:extent cx="7158990" cy="11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-1795780</wp:posOffset>
            </wp:positionV>
            <wp:extent cx="7158990" cy="11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-1574800</wp:posOffset>
            </wp:positionV>
            <wp:extent cx="7158990" cy="110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-2245360</wp:posOffset>
            </wp:positionV>
            <wp:extent cx="7158990"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1174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-586740</wp:posOffset>
            </wp:positionV>
            <wp:extent cx="7158990" cy="110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-365760</wp:posOffset>
            </wp:positionV>
            <wp:extent cx="7158990" cy="110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7158990" cy="131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1314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-814705</wp:posOffset>
            </wp:positionV>
            <wp:extent cx="7158990" cy="11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11747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4"/>
        </w:trPr>
        <w:tc>
          <w:tcPr>
            <w:tcW w:w="780" w:type="dxa"/>
            <w:vAlign w:val="bottom"/>
            <w:vMerge w:val="restart"/>
          </w:tcPr>
          <w:p>
            <w:pPr>
              <w:jc w:val="center"/>
              <w:ind w:right="327"/>
              <w:spacing w:after="0"/>
              <w:rPr>
                <w:sz w:val="20"/>
                <w:szCs w:val="20"/>
                <w:color w:val="auto"/>
              </w:rPr>
            </w:pPr>
            <w:r>
              <w:rPr>
                <w:rFonts w:ascii="Arial" w:cs="Arial" w:eastAsia="Arial" w:hAnsi="Arial"/>
                <w:sz w:val="9"/>
                <w:szCs w:val="9"/>
                <w:b w:val="1"/>
                <w:bCs w:val="1"/>
                <w:color w:val="auto"/>
                <w:w w:val="90"/>
              </w:rPr>
              <w:t>Additional</w:t>
            </w:r>
          </w:p>
        </w:tc>
        <w:tc>
          <w:tcPr>
            <w:tcW w:w="16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9"/>
              </w:rPr>
              <w:t>Retained</w:t>
            </w:r>
          </w:p>
        </w:tc>
        <w:tc>
          <w:tcPr>
            <w:tcW w:w="160" w:type="dxa"/>
            <w:vAlign w:val="bottom"/>
          </w:tcPr>
          <w:p>
            <w:pPr>
              <w:spacing w:after="0"/>
              <w:rPr>
                <w:sz w:val="9"/>
                <w:szCs w:val="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Accumulated</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7"/>
              </w:rPr>
              <w:t>Earnings /</w:t>
            </w:r>
          </w:p>
        </w:tc>
        <w:tc>
          <w:tcPr>
            <w:tcW w:w="160" w:type="dxa"/>
            <w:vAlign w:val="bottom"/>
          </w:tcPr>
          <w:p>
            <w:pPr>
              <w:spacing w:after="0"/>
              <w:rPr>
                <w:sz w:val="9"/>
                <w:szCs w:val="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Other</w:t>
            </w: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87"/>
              </w:rPr>
              <w:t>Noncontrolling</w:t>
            </w:r>
          </w:p>
        </w:tc>
        <w:tc>
          <w:tcPr>
            <w:tcW w:w="220" w:type="dxa"/>
            <w:vAlign w:val="bottom"/>
          </w:tcPr>
          <w:p>
            <w:pPr>
              <w:spacing w:after="0"/>
              <w:rPr>
                <w:sz w:val="9"/>
                <w:szCs w:val="9"/>
                <w:color w:val="auto"/>
              </w:rPr>
            </w:pPr>
          </w:p>
        </w:tc>
        <w:tc>
          <w:tcPr>
            <w:tcW w:w="760" w:type="dxa"/>
            <w:vAlign w:val="bottom"/>
            <w:vMerge w:val="restart"/>
          </w:tcPr>
          <w:p>
            <w:pPr>
              <w:jc w:val="center"/>
              <w:ind w:right="165"/>
              <w:spacing w:after="0"/>
              <w:rPr>
                <w:sz w:val="20"/>
                <w:szCs w:val="20"/>
                <w:color w:val="auto"/>
              </w:rPr>
            </w:pPr>
            <w:r>
              <w:rPr>
                <w:rFonts w:ascii="Arial" w:cs="Arial" w:eastAsia="Arial" w:hAnsi="Arial"/>
                <w:sz w:val="9"/>
                <w:szCs w:val="9"/>
                <w:b w:val="1"/>
                <w:bCs w:val="1"/>
                <w:color w:val="auto"/>
                <w:w w:val="83"/>
              </w:rPr>
              <w:t>Total</w:t>
            </w:r>
          </w:p>
        </w:tc>
        <w:tc>
          <w:tcPr>
            <w:tcW w:w="0" w:type="dxa"/>
            <w:vAlign w:val="bottom"/>
          </w:tcPr>
          <w:p>
            <w:pPr>
              <w:spacing w:after="0"/>
              <w:rPr>
                <w:sz w:val="1"/>
                <w:szCs w:val="1"/>
                <w:color w:val="auto"/>
              </w:rPr>
            </w:pPr>
          </w:p>
        </w:tc>
      </w:tr>
      <w:tr>
        <w:trPr>
          <w:trHeight w:val="98"/>
        </w:trPr>
        <w:tc>
          <w:tcPr>
            <w:tcW w:w="780" w:type="dxa"/>
            <w:vAlign w:val="bottom"/>
          </w:tcPr>
          <w:p>
            <w:pPr>
              <w:jc w:val="center"/>
              <w:ind w:right="327"/>
              <w:spacing w:after="0" w:line="98" w:lineRule="exact"/>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8"/>
                <w:szCs w:val="8"/>
                <w:color w:val="auto"/>
              </w:rPr>
            </w:pPr>
          </w:p>
        </w:tc>
        <w:tc>
          <w:tcPr>
            <w:tcW w:w="90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87"/>
              </w:rPr>
              <w:t>(Accumulated</w:t>
            </w:r>
          </w:p>
        </w:tc>
        <w:tc>
          <w:tcPr>
            <w:tcW w:w="160" w:type="dxa"/>
            <w:vAlign w:val="bottom"/>
          </w:tcPr>
          <w:p>
            <w:pPr>
              <w:spacing w:after="0"/>
              <w:rPr>
                <w:sz w:val="8"/>
                <w:szCs w:val="8"/>
                <w:color w:val="auto"/>
              </w:rPr>
            </w:pPr>
          </w:p>
        </w:tc>
        <w:tc>
          <w:tcPr>
            <w:tcW w:w="96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85"/>
              </w:rPr>
              <w:t>Comprehensive</w:t>
            </w: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80" w:type="dxa"/>
            <w:vAlign w:val="bottom"/>
          </w:tcPr>
          <w:p>
            <w:pPr>
              <w:jc w:val="center"/>
              <w:ind w:right="327"/>
              <w:spacing w:after="0"/>
              <w:rPr>
                <w:sz w:val="20"/>
                <w:szCs w:val="20"/>
                <w:color w:val="auto"/>
              </w:rPr>
            </w:pPr>
            <w:r>
              <w:rPr>
                <w:rFonts w:ascii="Arial" w:cs="Arial" w:eastAsia="Arial" w:hAnsi="Arial"/>
                <w:sz w:val="9"/>
                <w:szCs w:val="9"/>
                <w:b w:val="1"/>
                <w:bCs w:val="1"/>
                <w:color w:val="auto"/>
                <w:w w:val="93"/>
              </w:rPr>
              <w:t>Capital</w:t>
            </w:r>
          </w:p>
        </w:tc>
        <w:tc>
          <w:tcPr>
            <w:tcW w:w="16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5"/>
              </w:rPr>
              <w:t>Deficit)</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5"/>
              </w:rPr>
              <w:t>(Loss) Income</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5"/>
              </w:rPr>
              <w:t>Interests</w:t>
            </w:r>
          </w:p>
        </w:tc>
        <w:tc>
          <w:tcPr>
            <w:tcW w:w="220" w:type="dxa"/>
            <w:vAlign w:val="bottom"/>
          </w:tcPr>
          <w:p>
            <w:pPr>
              <w:spacing w:after="0"/>
              <w:rPr>
                <w:sz w:val="10"/>
                <w:szCs w:val="10"/>
                <w:color w:val="auto"/>
              </w:rPr>
            </w:pPr>
          </w:p>
        </w:tc>
        <w:tc>
          <w:tcPr>
            <w:tcW w:w="760" w:type="dxa"/>
            <w:vAlign w:val="bottom"/>
          </w:tcPr>
          <w:p>
            <w:pPr>
              <w:jc w:val="center"/>
              <w:ind w:right="16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53"/>
        </w:trPr>
        <w:tc>
          <w:tcPr>
            <w:tcW w:w="780" w:type="dxa"/>
            <w:vAlign w:val="bottom"/>
          </w:tcPr>
          <w:p>
            <w:pPr>
              <w:jc w:val="right"/>
              <w:ind w:right="67"/>
              <w:spacing w:after="0"/>
              <w:rPr>
                <w:sz w:val="20"/>
                <w:szCs w:val="20"/>
                <w:color w:val="auto"/>
              </w:rPr>
            </w:pPr>
            <w:r>
              <w:rPr>
                <w:rFonts w:ascii="Arial" w:cs="Arial" w:eastAsia="Arial" w:hAnsi="Arial"/>
                <w:sz w:val="12"/>
                <w:szCs w:val="12"/>
                <w:b w:val="1"/>
                <w:bCs w:val="1"/>
                <w:color w:val="auto"/>
              </w:rPr>
              <w:t>—</w:t>
            </w:r>
          </w:p>
        </w:tc>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(550,511)</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(94,387)</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1,442</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(641,132)</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1,725</w:t>
            </w: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1,725</w:t>
            </w:r>
          </w:p>
        </w:tc>
        <w:tc>
          <w:tcPr>
            <w:tcW w:w="0" w:type="dxa"/>
            <w:vAlign w:val="bottom"/>
          </w:tcPr>
          <w:p>
            <w:pPr>
              <w:spacing w:after="0"/>
              <w:rPr>
                <w:sz w:val="1"/>
                <w:szCs w:val="1"/>
                <w:color w:val="auto"/>
              </w:rPr>
            </w:pPr>
          </w:p>
        </w:tc>
      </w:tr>
      <w:tr>
        <w:trPr>
          <w:trHeight w:val="348"/>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2,207</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(72,967)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(72,967)</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(3,479)</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(1,986)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780" w:type="dxa"/>
            <w:vAlign w:val="bottom"/>
          </w:tcPr>
          <w:p>
            <w:pPr>
              <w:jc w:val="right"/>
              <w:ind w:right="67"/>
              <w:spacing w:after="0"/>
              <w:rPr>
                <w:sz w:val="20"/>
                <w:szCs w:val="20"/>
                <w:color w:val="auto"/>
              </w:rPr>
            </w:pPr>
            <w:r>
              <w:rPr>
                <w:rFonts w:ascii="Arial" w:cs="Arial" w:eastAsia="Arial" w:hAnsi="Arial"/>
                <w:sz w:val="12"/>
                <w:szCs w:val="12"/>
                <w:b w:val="1"/>
                <w:bCs w:val="1"/>
                <w:color w:val="auto"/>
              </w:rPr>
              <w:t>1,725</w:t>
            </w:r>
          </w:p>
        </w:tc>
        <w:tc>
          <w:tcPr>
            <w:tcW w:w="160" w:type="dxa"/>
            <w:vAlign w:val="bottom"/>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(552,475)</w:t>
            </w:r>
          </w:p>
        </w:tc>
        <w:tc>
          <w:tcPr>
            <w:tcW w:w="8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(168,626)</w:t>
            </w:r>
          </w:p>
        </w:tc>
        <w:tc>
          <w:tcPr>
            <w:tcW w:w="80" w:type="dxa"/>
            <w:vAlign w:val="bottom"/>
          </w:tcPr>
          <w:p>
            <w:pPr>
              <w:spacing w:after="0"/>
              <w:rPr>
                <w:sz w:val="12"/>
                <w:szCs w:val="12"/>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5"/>
              <w:spacing w:after="0"/>
              <w:rPr>
                <w:sz w:val="20"/>
                <w:szCs w:val="20"/>
                <w:color w:val="auto"/>
              </w:rPr>
            </w:pPr>
            <w:r>
              <w:rPr>
                <w:rFonts w:ascii="Arial" w:cs="Arial" w:eastAsia="Arial" w:hAnsi="Arial"/>
                <w:sz w:val="12"/>
                <w:szCs w:val="12"/>
                <w:b w:val="1"/>
                <w:bCs w:val="1"/>
                <w:color w:val="auto"/>
              </w:rPr>
              <w:t>1,420</w:t>
            </w:r>
          </w:p>
        </w:tc>
        <w:tc>
          <w:tcPr>
            <w:tcW w:w="80" w:type="dxa"/>
            <w:vAlign w:val="bottom"/>
          </w:tcPr>
          <w:p>
            <w:pPr>
              <w:spacing w:after="0"/>
              <w:rPr>
                <w:sz w:val="12"/>
                <w:szCs w:val="12"/>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(715,632)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 w:type="dxa"/>
            <w:vAlign w:val="bottom"/>
            <w:vMerge w:val="restart"/>
          </w:tcPr>
          <w:p>
            <w:pPr>
              <w:jc w:val="center"/>
              <w:ind w:right="327"/>
              <w:spacing w:after="0"/>
              <w:rPr>
                <w:sz w:val="20"/>
                <w:szCs w:val="20"/>
                <w:color w:val="auto"/>
              </w:rPr>
            </w:pPr>
            <w:r>
              <w:rPr>
                <w:rFonts w:ascii="Arial" w:cs="Arial" w:eastAsia="Arial" w:hAnsi="Arial"/>
                <w:sz w:val="9"/>
                <w:szCs w:val="9"/>
                <w:b w:val="1"/>
                <w:bCs w:val="1"/>
                <w:color w:val="auto"/>
                <w:w w:val="90"/>
              </w:rPr>
              <w:t>Additional</w:t>
            </w:r>
          </w:p>
        </w:tc>
        <w:tc>
          <w:tcPr>
            <w:tcW w:w="16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9"/>
              </w:rPr>
              <w:t>Retained</w:t>
            </w:r>
          </w:p>
        </w:tc>
        <w:tc>
          <w:tcPr>
            <w:tcW w:w="16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7"/>
              </w:rPr>
              <w:t>Earnings /</w:t>
            </w:r>
          </w:p>
        </w:tc>
        <w:tc>
          <w:tcPr>
            <w:tcW w:w="160" w:type="dxa"/>
            <w:vAlign w:val="bottom"/>
          </w:tcPr>
          <w:p>
            <w:pPr>
              <w:spacing w:after="0"/>
              <w:rPr>
                <w:sz w:val="9"/>
                <w:szCs w:val="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Other</w:t>
            </w: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87"/>
              </w:rPr>
              <w:t>Noncontrolling</w:t>
            </w:r>
          </w:p>
        </w:tc>
        <w:tc>
          <w:tcPr>
            <w:tcW w:w="220" w:type="dxa"/>
            <w:vAlign w:val="bottom"/>
          </w:tcPr>
          <w:p>
            <w:pPr>
              <w:spacing w:after="0"/>
              <w:rPr>
                <w:sz w:val="9"/>
                <w:szCs w:val="9"/>
                <w:color w:val="auto"/>
              </w:rPr>
            </w:pPr>
          </w:p>
        </w:tc>
        <w:tc>
          <w:tcPr>
            <w:tcW w:w="760" w:type="dxa"/>
            <w:vAlign w:val="bottom"/>
            <w:vMerge w:val="restart"/>
          </w:tcPr>
          <w:p>
            <w:pPr>
              <w:jc w:val="center"/>
              <w:ind w:right="165"/>
              <w:spacing w:after="0"/>
              <w:rPr>
                <w:sz w:val="20"/>
                <w:szCs w:val="20"/>
                <w:color w:val="auto"/>
              </w:rPr>
            </w:pPr>
            <w:r>
              <w:rPr>
                <w:rFonts w:ascii="Arial" w:cs="Arial" w:eastAsia="Arial" w:hAnsi="Arial"/>
                <w:sz w:val="9"/>
                <w:szCs w:val="9"/>
                <w:b w:val="1"/>
                <w:bCs w:val="1"/>
                <w:color w:val="auto"/>
                <w:w w:val="83"/>
              </w:rPr>
              <w:t>Total</w:t>
            </w:r>
          </w:p>
        </w:tc>
        <w:tc>
          <w:tcPr>
            <w:tcW w:w="0" w:type="dxa"/>
            <w:vAlign w:val="bottom"/>
          </w:tcPr>
          <w:p>
            <w:pPr>
              <w:spacing w:after="0"/>
              <w:rPr>
                <w:sz w:val="1"/>
                <w:szCs w:val="1"/>
                <w:color w:val="auto"/>
              </w:rPr>
            </w:pPr>
          </w:p>
        </w:tc>
      </w:tr>
      <w:tr>
        <w:trPr>
          <w:trHeight w:val="98"/>
        </w:trPr>
        <w:tc>
          <w:tcPr>
            <w:tcW w:w="780" w:type="dxa"/>
            <w:vAlign w:val="bottom"/>
          </w:tcPr>
          <w:p>
            <w:pPr>
              <w:jc w:val="center"/>
              <w:ind w:right="327"/>
              <w:spacing w:after="0" w:line="98" w:lineRule="exact"/>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8"/>
                <w:szCs w:val="8"/>
                <w:color w:val="auto"/>
              </w:rPr>
            </w:pPr>
          </w:p>
        </w:tc>
        <w:tc>
          <w:tcPr>
            <w:tcW w:w="90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87"/>
              </w:rPr>
              <w:t>(Accumulated</w:t>
            </w:r>
          </w:p>
        </w:tc>
        <w:tc>
          <w:tcPr>
            <w:tcW w:w="160" w:type="dxa"/>
            <w:vAlign w:val="bottom"/>
          </w:tcPr>
          <w:p>
            <w:pPr>
              <w:spacing w:after="0"/>
              <w:rPr>
                <w:sz w:val="8"/>
                <w:szCs w:val="8"/>
                <w:color w:val="auto"/>
              </w:rPr>
            </w:pPr>
          </w:p>
        </w:tc>
        <w:tc>
          <w:tcPr>
            <w:tcW w:w="96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85"/>
              </w:rPr>
              <w:t>Comprehensive</w:t>
            </w: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80" w:type="dxa"/>
            <w:vAlign w:val="bottom"/>
          </w:tcPr>
          <w:p>
            <w:pPr>
              <w:jc w:val="center"/>
              <w:ind w:right="327"/>
              <w:spacing w:after="0"/>
              <w:rPr>
                <w:sz w:val="20"/>
                <w:szCs w:val="20"/>
                <w:color w:val="auto"/>
              </w:rPr>
            </w:pPr>
            <w:r>
              <w:rPr>
                <w:rFonts w:ascii="Arial" w:cs="Arial" w:eastAsia="Arial" w:hAnsi="Arial"/>
                <w:sz w:val="9"/>
                <w:szCs w:val="9"/>
                <w:b w:val="1"/>
                <w:bCs w:val="1"/>
                <w:color w:val="auto"/>
                <w:w w:val="93"/>
              </w:rPr>
              <w:t>Capital</w:t>
            </w:r>
          </w:p>
        </w:tc>
        <w:tc>
          <w:tcPr>
            <w:tcW w:w="16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5"/>
              </w:rPr>
              <w:t>Deficit)</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5"/>
              </w:rPr>
              <w:t>(Loss) Income</w:t>
            </w:r>
          </w:p>
        </w:tc>
        <w:tc>
          <w:tcPr>
            <w:tcW w:w="140" w:type="dxa"/>
            <w:vAlign w:val="bottom"/>
          </w:tcPr>
          <w:p>
            <w:pPr>
              <w:spacing w:after="0"/>
              <w:rPr>
                <w:sz w:val="9"/>
                <w:szCs w:val="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5"/>
              </w:rPr>
              <w:t>Interests</w:t>
            </w:r>
          </w:p>
        </w:tc>
        <w:tc>
          <w:tcPr>
            <w:tcW w:w="220" w:type="dxa"/>
            <w:vAlign w:val="bottom"/>
          </w:tcPr>
          <w:p>
            <w:pPr>
              <w:spacing w:after="0"/>
              <w:rPr>
                <w:sz w:val="9"/>
                <w:szCs w:val="9"/>
                <w:color w:val="auto"/>
              </w:rPr>
            </w:pPr>
          </w:p>
        </w:tc>
        <w:tc>
          <w:tcPr>
            <w:tcW w:w="760" w:type="dxa"/>
            <w:vAlign w:val="bottom"/>
          </w:tcPr>
          <w:p>
            <w:pPr>
              <w:jc w:val="center"/>
              <w:ind w:right="16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780" w:type="dxa"/>
            <w:vAlign w:val="bottom"/>
          </w:tcPr>
          <w:p>
            <w:pPr>
              <w:jc w:val="right"/>
              <w:ind w:right="67"/>
              <w:spacing w:after="0"/>
              <w:rPr>
                <w:sz w:val="20"/>
                <w:szCs w:val="20"/>
                <w:color w:val="auto"/>
              </w:rPr>
            </w:pPr>
            <w:r>
              <w:rPr>
                <w:rFonts w:ascii="Arial" w:cs="Arial" w:eastAsia="Arial" w:hAnsi="Arial"/>
                <w:sz w:val="12"/>
                <w:szCs w:val="12"/>
                <w:b w:val="1"/>
                <w:bCs w:val="1"/>
                <w:color w:val="auto"/>
              </w:rPr>
              <w:t>1,166,412</w:t>
            </w:r>
          </w:p>
        </w:tc>
        <w:tc>
          <w:tcPr>
            <w:tcW w:w="160" w:type="dxa"/>
            <w:vAlign w:val="bottom"/>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(589,128)</w:t>
            </w:r>
          </w:p>
        </w:tc>
        <w:tc>
          <w:tcPr>
            <w:tcW w:w="8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(93,842)</w:t>
            </w:r>
          </w:p>
        </w:tc>
        <w:tc>
          <w:tcPr>
            <w:tcW w:w="80" w:type="dxa"/>
            <w:vAlign w:val="bottom"/>
          </w:tcPr>
          <w:p>
            <w:pPr>
              <w:spacing w:after="0"/>
              <w:rPr>
                <w:sz w:val="12"/>
                <w:szCs w:val="12"/>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5"/>
              <w:spacing w:after="0"/>
              <w:rPr>
                <w:sz w:val="20"/>
                <w:szCs w:val="20"/>
                <w:color w:val="auto"/>
              </w:rPr>
            </w:pPr>
            <w:r>
              <w:rPr>
                <w:rFonts w:ascii="Arial" w:cs="Arial" w:eastAsia="Arial" w:hAnsi="Arial"/>
                <w:sz w:val="12"/>
                <w:szCs w:val="12"/>
                <w:b w:val="1"/>
                <w:bCs w:val="1"/>
                <w:color w:val="auto"/>
              </w:rPr>
              <w:t>2,272</w:t>
            </w:r>
          </w:p>
        </w:tc>
        <w:tc>
          <w:tcPr>
            <w:tcW w:w="80" w:type="dxa"/>
            <w:vAlign w:val="bottom"/>
          </w:tcPr>
          <w:p>
            <w:pPr>
              <w:spacing w:after="0"/>
              <w:rPr>
                <w:sz w:val="12"/>
                <w:szCs w:val="12"/>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454,574</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3,440</w:t>
            </w: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3,440</w:t>
            </w:r>
          </w:p>
        </w:tc>
        <w:tc>
          <w:tcPr>
            <w:tcW w:w="0" w:type="dxa"/>
            <w:vAlign w:val="bottom"/>
          </w:tcPr>
          <w:p>
            <w:pPr>
              <w:spacing w:after="0"/>
              <w:rPr>
                <w:sz w:val="1"/>
                <w:szCs w:val="1"/>
                <w:color w:val="auto"/>
              </w:rPr>
            </w:pPr>
          </w:p>
        </w:tc>
      </w:tr>
      <w:tr>
        <w:trPr>
          <w:trHeight w:val="348"/>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(249)</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(3,086)</w:t>
            </w:r>
          </w:p>
        </w:tc>
        <w:tc>
          <w:tcPr>
            <w:tcW w:w="0" w:type="dxa"/>
            <w:vAlign w:val="bottom"/>
          </w:tcPr>
          <w:p>
            <w:pPr>
              <w:spacing w:after="0"/>
              <w:rPr>
                <w:sz w:val="1"/>
                <w:szCs w:val="1"/>
                <w:color w:val="auto"/>
              </w:rPr>
            </w:pPr>
          </w:p>
        </w:tc>
      </w:tr>
      <w:tr>
        <w:trPr>
          <w:trHeight w:val="174"/>
        </w:trPr>
        <w:tc>
          <w:tcPr>
            <w:tcW w:w="780" w:type="dxa"/>
            <w:vAlign w:val="bottom"/>
          </w:tcPr>
          <w:p>
            <w:pPr>
              <w:jc w:val="right"/>
              <w:ind w:right="6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10,842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Arial" w:cs="Arial" w:eastAsia="Arial" w:hAnsi="Arial"/>
                <w:sz w:val="12"/>
                <w:szCs w:val="12"/>
                <w:color w:val="auto"/>
              </w:rPr>
              <w:t>223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11,065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780" w:type="dxa"/>
            <w:vAlign w:val="bottom"/>
          </w:tcPr>
          <w:p>
            <w:pPr>
              <w:jc w:val="right"/>
              <w:ind w:right="67"/>
              <w:spacing w:after="0"/>
              <w:rPr>
                <w:sz w:val="20"/>
                <w:szCs w:val="20"/>
                <w:color w:val="auto"/>
              </w:rPr>
            </w:pPr>
            <w:r>
              <w:rPr>
                <w:rFonts w:ascii="Arial" w:cs="Arial" w:eastAsia="Arial" w:hAnsi="Arial"/>
                <w:sz w:val="12"/>
                <w:szCs w:val="12"/>
                <w:b w:val="1"/>
                <w:bCs w:val="1"/>
                <w:color w:val="auto"/>
              </w:rPr>
              <w:t>1,169,852</w:t>
            </w:r>
          </w:p>
        </w:tc>
        <w:tc>
          <w:tcPr>
            <w:tcW w:w="160" w:type="dxa"/>
            <w:vAlign w:val="bottom"/>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(578,286)</w:t>
            </w:r>
          </w:p>
        </w:tc>
        <w:tc>
          <w:tcPr>
            <w:tcW w:w="8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(97,162)</w:t>
            </w:r>
          </w:p>
        </w:tc>
        <w:tc>
          <w:tcPr>
            <w:tcW w:w="80" w:type="dxa"/>
            <w:vAlign w:val="bottom"/>
          </w:tcPr>
          <w:p>
            <w:pPr>
              <w:spacing w:after="0"/>
              <w:rPr>
                <w:sz w:val="12"/>
                <w:szCs w:val="12"/>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5"/>
              <w:spacing w:after="0"/>
              <w:rPr>
                <w:sz w:val="20"/>
                <w:szCs w:val="20"/>
                <w:color w:val="auto"/>
              </w:rPr>
            </w:pPr>
            <w:r>
              <w:rPr>
                <w:rFonts w:ascii="Arial" w:cs="Arial" w:eastAsia="Arial" w:hAnsi="Arial"/>
                <w:sz w:val="12"/>
                <w:szCs w:val="12"/>
                <w:b w:val="1"/>
                <w:bCs w:val="1"/>
                <w:color w:val="auto"/>
              </w:rPr>
              <w:t>2,480</w:t>
            </w:r>
          </w:p>
        </w:tc>
        <w:tc>
          <w:tcPr>
            <w:tcW w:w="80" w:type="dxa"/>
            <w:vAlign w:val="bottom"/>
          </w:tcPr>
          <w:p>
            <w:pPr>
              <w:spacing w:after="0"/>
              <w:rPr>
                <w:sz w:val="12"/>
                <w:szCs w:val="12"/>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465,744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-1346835</wp:posOffset>
            </wp:positionV>
            <wp:extent cx="62865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8650" cy="698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-1325880</wp:posOffset>
            </wp:positionV>
            <wp:extent cx="62865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 cy="698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-1464310</wp:posOffset>
            </wp:positionV>
            <wp:extent cx="62865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650" cy="698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-6350</wp:posOffset>
            </wp:positionV>
            <wp:extent cx="62865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8650" cy="6985"/>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6040" w:space="220"/>
            <w:col w:w="5020"/>
          </w:cols>
          <w:pgMar w:left="300" w:top="125" w:right="319" w:bottom="1440" w:gutter="0" w:footer="0" w:header="0"/>
          <w:type w:val="continuous"/>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843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hanging="253"/>
        <w:spacing w:after="0"/>
        <w:tabs>
          <w:tab w:leader="none" w:pos="2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w:t>
      </w:r>
    </w:p>
    <w:p>
      <w:pPr>
        <w:spacing w:after="0" w:line="93" w:lineRule="exact"/>
        <w:rPr>
          <w:sz w:val="20"/>
          <w:szCs w:val="20"/>
          <w:color w:val="auto"/>
        </w:rPr>
      </w:pPr>
    </w:p>
    <w:p>
      <w:pPr>
        <w:ind w:right="180"/>
        <w:spacing w:after="0" w:line="257" w:lineRule="auto"/>
        <w:rPr>
          <w:sz w:val="20"/>
          <w:szCs w:val="20"/>
          <w:color w:val="auto"/>
        </w:rPr>
      </w:pPr>
      <w:r>
        <w:rPr>
          <w:rFonts w:ascii="Arial" w:cs="Arial" w:eastAsia="Arial" w:hAnsi="Arial"/>
          <w:sz w:val="15"/>
          <w:szCs w:val="15"/>
          <w:i w:val="1"/>
          <w:iCs w:val="1"/>
          <w:color w:val="auto"/>
        </w:rPr>
        <w:t xml:space="preserve">Principles of Consolidation </w:t>
      </w:r>
      <w:r>
        <w:rPr>
          <w:rFonts w:ascii="Arial" w:cs="Arial" w:eastAsia="Arial" w:hAnsi="Arial"/>
          <w:sz w:val="15"/>
          <w:szCs w:val="15"/>
          <w:color w:val="auto"/>
        </w:rPr>
        <w:t>– Sotera Health Company (also referred to herein as the “Company,” “we,” “our,” “us” or “its”), is a global provider of mission-critical sterilization and lab testing</w:t>
      </w:r>
      <w:r>
        <w:rPr>
          <w:rFonts w:ascii="Arial" w:cs="Arial" w:eastAsia="Arial" w:hAnsi="Arial"/>
          <w:sz w:val="15"/>
          <w:szCs w:val="15"/>
          <w:i w:val="1"/>
          <w:iCs w:val="1"/>
          <w:color w:val="auto"/>
        </w:rPr>
        <w:t xml:space="preserve"> </w:t>
      </w:r>
      <w:r>
        <w:rPr>
          <w:rFonts w:ascii="Arial" w:cs="Arial" w:eastAsia="Arial" w:hAnsi="Arial"/>
          <w:sz w:val="15"/>
          <w:szCs w:val="15"/>
          <w:color w:val="auto"/>
        </w:rPr>
        <w:t>and advisory services to the medical device and pharmaceutical industries with operations primarily in the Americas, Europe and Asia.</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We operate and report in three segments, Sterigenics, Nordion and Nelson Labs. We describe our reportable segments in Note 18, “Segment Information”. All significant intercompany balances and transactions have been eliminated in consolidation.</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Noncontrolling interests represent the noncontrolling stockholders’ proportionate share of the total equity in the Company’s consolidated subsidiaries. As of March 31, 2021, our subsidiaries were wholly owned by us, except for noncontrolling interests of 15% and 33% in our two China subsidiaries. We consolidate the results of operations of these subsidiaries with our results of operations and reflect the noncontrolling interests in our two China subsidiaries on our Consolidated Statements of Operations and Comprehensive Income (Loss) as “Net income attributable to noncontrolling interests.” On March 11, 2021, we purchased the 15% noncontrolling interest that remained from the August 2018 acquisition of Nelson Laboratories Fairfield, Inc. (“Nelson Labs Fairfield”). This required future purchase was considered mandatorily redeemable, and therefore no earnings were allocated to this noncontrolling interest. See Note 4, “Acquisitions” for additional details.</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In the first quarter of 2021, we entered into binding agreements to purchase the outstanding noncontrolling interests of 15% and 33% of our two China subsidiaries, respectively. The purchase transactions are expected to close in the second quarter of 2021 for a total purchase price of $8.6 million.</w:t>
      </w:r>
    </w:p>
    <w:p>
      <w:pPr>
        <w:spacing w:after="0" w:line="153"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In July 2020, we acquired a 60% equity ownership interest in a joint venture to construct an E-beam facility in Alberta, Canada in connection with our acquisition of Iotron Industries Canada, Inc. (“Iotron”). Refer to Note 4, “Acquisitions”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affiliates” on the Consolidated Balance Sheets.</w:t>
      </w:r>
    </w:p>
    <w:p>
      <w:pPr>
        <w:spacing w:after="0" w:line="161" w:lineRule="exact"/>
        <w:rPr>
          <w:sz w:val="20"/>
          <w:szCs w:val="20"/>
          <w:color w:val="auto"/>
        </w:rPr>
      </w:pPr>
    </w:p>
    <w:p>
      <w:pPr>
        <w:jc w:val="both"/>
        <w:ind w:right="200"/>
        <w:spacing w:after="0" w:line="249" w:lineRule="auto"/>
        <w:rPr>
          <w:sz w:val="20"/>
          <w:szCs w:val="20"/>
          <w:color w:val="auto"/>
        </w:rPr>
      </w:pPr>
      <w:r>
        <w:rPr>
          <w:rFonts w:ascii="Arial" w:cs="Arial" w:eastAsia="Arial" w:hAnsi="Arial"/>
          <w:sz w:val="15"/>
          <w:szCs w:val="15"/>
          <w:i w:val="1"/>
          <w:iCs w:val="1"/>
          <w:color w:val="auto"/>
        </w:rPr>
        <w:t xml:space="preserve">Use of Estimates </w:t>
      </w:r>
      <w:r>
        <w:rPr>
          <w:rFonts w:ascii="Arial" w:cs="Arial" w:eastAsia="Arial" w:hAnsi="Arial"/>
          <w:sz w:val="15"/>
          <w:szCs w:val="15"/>
          <w:color w:val="auto"/>
        </w:rPr>
        <w:t>– In preparing our consolidated financial statements in conformity with U.S. Generally Accepted Accounting Principles ("GAAP"), we make estimates and assumptions that</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amounts reported and the accompanying notes. We regularly evaluate the estimates and assumptions used and revise them as new information becomes available. Actual results may vary from those estimates.</w:t>
      </w:r>
    </w:p>
    <w:p>
      <w:pPr>
        <w:spacing w:after="0" w:line="160"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i w:val="1"/>
          <w:iCs w:val="1"/>
          <w:color w:val="auto"/>
        </w:rPr>
        <w:t xml:space="preserve">Interim Financial Statements </w:t>
      </w:r>
      <w:r>
        <w:rPr>
          <w:rFonts w:ascii="Arial" w:cs="Arial" w:eastAsia="Arial" w:hAnsi="Arial"/>
          <w:sz w:val="13"/>
          <w:szCs w:val="13"/>
          <w:color w:val="auto"/>
        </w:rPr>
        <w:t>– The accompanying consolidated financial statements include the assets, liabilities, operating results, and cash flows of the Company and its wholly owned</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These unaudited interim financial statements should be read in conjunction with the Company's annual consolidated financial statements and accompanying notes on Form 10-K for the year ended December 31, 2020.</w:t>
      </w:r>
    </w:p>
    <w:p>
      <w:pPr>
        <w:spacing w:after="0" w:line="214" w:lineRule="exact"/>
        <w:rPr>
          <w:sz w:val="20"/>
          <w:szCs w:val="20"/>
          <w:color w:val="auto"/>
        </w:rPr>
      </w:pPr>
    </w:p>
    <w:p>
      <w:pPr>
        <w:ind w:left="260" w:hanging="253"/>
        <w:spacing w:after="0"/>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ASU’s Issued But Not Yet Adopted</w:t>
      </w:r>
    </w:p>
    <w:p>
      <w:pPr>
        <w:spacing w:after="0" w:line="89"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 xml:space="preserve">In June 2016, the Financial Accounting Standards Board (“FASB”) issued Accounting Standards Update </w:t>
      </w:r>
      <w:r>
        <w:rPr>
          <w:rFonts w:ascii="Arial" w:cs="Arial" w:eastAsia="Arial" w:hAnsi="Arial"/>
          <w:sz w:val="13"/>
          <w:szCs w:val="13"/>
          <w:i w:val="1"/>
          <w:iCs w:val="1"/>
          <w:color w:val="auto"/>
        </w:rPr>
        <w:t>(“ASU”) 2016-13, Financial Instruments – Credit Losses</w:t>
      </w:r>
      <w:r>
        <w:rPr>
          <w:rFonts w:ascii="Arial" w:cs="Arial" w:eastAsia="Arial" w:hAnsi="Arial"/>
          <w:sz w:val="13"/>
          <w:szCs w:val="13"/>
          <w:color w:val="auto"/>
        </w:rPr>
        <w:t xml:space="preserve"> (“ASU 2016-13”): </w:t>
      </w:r>
      <w:r>
        <w:rPr>
          <w:rFonts w:ascii="Arial" w:cs="Arial" w:eastAsia="Arial" w:hAnsi="Arial"/>
          <w:sz w:val="13"/>
          <w:szCs w:val="13"/>
          <w:i w:val="1"/>
          <w:iCs w:val="1"/>
          <w:color w:val="auto"/>
        </w:rPr>
        <w:t xml:space="preserve">Measurement of Credit Losses on Financial Instruments, </w:t>
      </w:r>
      <w:r>
        <w:rPr>
          <w:rFonts w:ascii="Arial" w:cs="Arial" w:eastAsia="Arial" w:hAnsi="Arial"/>
          <w:sz w:val="13"/>
          <w:szCs w:val="13"/>
          <w:color w:val="auto"/>
        </w:rPr>
        <w:t>and subsequently issued additional guidance that modified ASU 2016-13. The standard requires an entity to change its accounting</w:t>
      </w:r>
      <w:r>
        <w:rPr>
          <w:rFonts w:ascii="Arial" w:cs="Arial" w:eastAsia="Arial" w:hAnsi="Arial"/>
          <w:sz w:val="13"/>
          <w:szCs w:val="13"/>
          <w:i w:val="1"/>
          <w:iCs w:val="1"/>
          <w:color w:val="auto"/>
        </w:rPr>
        <w:t xml:space="preserve"> </w:t>
      </w:r>
      <w:r>
        <w:rPr>
          <w:rFonts w:ascii="Arial" w:cs="Arial" w:eastAsia="Arial" w:hAnsi="Arial"/>
          <w:sz w:val="13"/>
          <w:szCs w:val="13"/>
          <w:color w:val="auto"/>
        </w:rPr>
        <w:t>approach in determining impairment of certain financial instruments, including trade receivables, from an “incurred loss” to a “current expected credit loss” model. We intend to adopt the standard as of January 1, 2022. We are currently assessing the effect that ASU 2016-13 will have on our financial position, results of operations, and disclosures.</w:t>
      </w:r>
    </w:p>
    <w:p>
      <w:pPr>
        <w:spacing w:after="0" w:line="13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 xml:space="preserve">In March 2019, the FASB issued </w:t>
      </w:r>
      <w:r>
        <w:rPr>
          <w:rFonts w:ascii="Arial" w:cs="Arial" w:eastAsia="Arial" w:hAnsi="Arial"/>
          <w:sz w:val="15"/>
          <w:szCs w:val="15"/>
          <w:i w:val="1"/>
          <w:iCs w:val="1"/>
          <w:color w:val="auto"/>
        </w:rPr>
        <w:t>ASU 2019-12 - Income Taxes (Topic 740): Simplifying the Accounting for Income Taxes</w:t>
      </w:r>
      <w:r>
        <w:rPr>
          <w:rFonts w:ascii="Arial" w:cs="Arial" w:eastAsia="Arial" w:hAnsi="Arial"/>
          <w:sz w:val="15"/>
          <w:szCs w:val="15"/>
          <w:color w:val="auto"/>
        </w:rPr>
        <w:t>. The standard simplifies the accounting for income taxes and makes a number of changes meant to add or clarify guidance on accounting for income taxes. This update is effective for annual financial statement periods beginning after March 15, 2021 and interim periods beginning after March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244" w:lineRule="exact"/>
        <w:rPr>
          <w:sz w:val="20"/>
          <w:szCs w:val="20"/>
          <w:color w:val="auto"/>
        </w:rPr>
      </w:pPr>
    </w:p>
    <w:p>
      <w:pPr>
        <w:ind w:left="260" w:hanging="253"/>
        <w:spacing w:after="0"/>
        <w:tabs>
          <w:tab w:leader="none" w:pos="2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disaggregated net revenues from contracts with external customers by timing of revenue and by segment for the three months ended March 31, 2021 and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8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March 31, 2021</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5"/>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Sterigenics</w:t>
            </w:r>
          </w:p>
        </w:tc>
        <w:tc>
          <w:tcPr>
            <w:tcW w:w="300" w:type="dxa"/>
            <w:vAlign w:val="bottom"/>
          </w:tcPr>
          <w:p>
            <w:pPr>
              <w:spacing w:after="0"/>
              <w:rPr>
                <w:sz w:val="12"/>
                <w:szCs w:val="12"/>
                <w:color w:val="auto"/>
              </w:rPr>
            </w:pP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Nordion</w:t>
            </w:r>
          </w:p>
        </w:tc>
        <w:tc>
          <w:tcPr>
            <w:tcW w:w="240" w:type="dxa"/>
            <w:vAlign w:val="bottom"/>
          </w:tcPr>
          <w:p>
            <w:pPr>
              <w:spacing w:after="0"/>
              <w:rPr>
                <w:sz w:val="12"/>
                <w:szCs w:val="12"/>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Nelson Labs</w:t>
            </w:r>
          </w:p>
        </w:tc>
        <w:tc>
          <w:tcPr>
            <w:tcW w:w="240" w:type="dxa"/>
            <w:vAlign w:val="bottom"/>
          </w:tcPr>
          <w:p>
            <w:pPr>
              <w:spacing w:after="0"/>
              <w:rPr>
                <w:sz w:val="12"/>
                <w:szCs w:val="12"/>
                <w:color w:val="auto"/>
              </w:rPr>
            </w:pPr>
          </w:p>
        </w:tc>
        <w:tc>
          <w:tcPr>
            <w:tcW w:w="1200" w:type="dxa"/>
            <w:vAlign w:val="bottom"/>
          </w:tcPr>
          <w:p>
            <w:pPr>
              <w:jc w:val="right"/>
              <w:ind w:right="331"/>
              <w:spacing w:after="0"/>
              <w:rPr>
                <w:sz w:val="20"/>
                <w:szCs w:val="20"/>
                <w:color w:val="auto"/>
              </w:rPr>
            </w:pPr>
            <w:r>
              <w:rPr>
                <w:rFonts w:ascii="Arial" w:cs="Arial" w:eastAsia="Arial" w:hAnsi="Arial"/>
                <w:sz w:val="12"/>
                <w:szCs w:val="12"/>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Point in time</w:t>
            </w:r>
          </w:p>
        </w:tc>
        <w:tc>
          <w:tcPr>
            <w:tcW w:w="2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131,151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25,918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157,069</w:t>
            </w:r>
          </w:p>
        </w:tc>
      </w:tr>
      <w:tr>
        <w:trPr>
          <w:trHeight w:val="194"/>
        </w:trPr>
        <w:tc>
          <w:tcPr>
            <w:tcW w:w="20" w:type="dxa"/>
            <w:vAlign w:val="bottom"/>
          </w:tcPr>
          <w:p>
            <w:pPr>
              <w:spacing w:after="0"/>
              <w:rPr>
                <w:sz w:val="16"/>
                <w:szCs w:val="16"/>
                <w:color w:val="auto"/>
              </w:rPr>
            </w:pPr>
          </w:p>
        </w:tc>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Over time</w:t>
            </w:r>
          </w:p>
        </w:tc>
        <w:tc>
          <w:tcPr>
            <w:tcW w:w="2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55,079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55,079</w:t>
            </w: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131,151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25,918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55,079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March 31, 2020</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5"/>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Sterigenics</w:t>
            </w:r>
          </w:p>
        </w:tc>
        <w:tc>
          <w:tcPr>
            <w:tcW w:w="300" w:type="dxa"/>
            <w:vAlign w:val="bottom"/>
          </w:tcPr>
          <w:p>
            <w:pPr>
              <w:spacing w:after="0"/>
              <w:rPr>
                <w:sz w:val="12"/>
                <w:szCs w:val="12"/>
                <w:color w:val="auto"/>
              </w:rPr>
            </w:pP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Nordion</w:t>
            </w:r>
          </w:p>
        </w:tc>
        <w:tc>
          <w:tcPr>
            <w:tcW w:w="240" w:type="dxa"/>
            <w:vAlign w:val="bottom"/>
          </w:tcPr>
          <w:p>
            <w:pPr>
              <w:spacing w:after="0"/>
              <w:rPr>
                <w:sz w:val="12"/>
                <w:szCs w:val="12"/>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Nelson Labs</w:t>
            </w:r>
          </w:p>
        </w:tc>
        <w:tc>
          <w:tcPr>
            <w:tcW w:w="240" w:type="dxa"/>
            <w:vAlign w:val="bottom"/>
          </w:tcPr>
          <w:p>
            <w:pPr>
              <w:spacing w:after="0"/>
              <w:rPr>
                <w:sz w:val="12"/>
                <w:szCs w:val="12"/>
                <w:color w:val="auto"/>
              </w:rPr>
            </w:pPr>
          </w:p>
        </w:tc>
        <w:tc>
          <w:tcPr>
            <w:tcW w:w="1200" w:type="dxa"/>
            <w:vAlign w:val="bottom"/>
          </w:tcPr>
          <w:p>
            <w:pPr>
              <w:jc w:val="right"/>
              <w:ind w:right="331"/>
              <w:spacing w:after="0"/>
              <w:rPr>
                <w:sz w:val="20"/>
                <w:szCs w:val="20"/>
                <w:color w:val="auto"/>
              </w:rPr>
            </w:pPr>
            <w:r>
              <w:rPr>
                <w:rFonts w:ascii="Arial" w:cs="Arial" w:eastAsia="Arial" w:hAnsi="Arial"/>
                <w:sz w:val="12"/>
                <w:szCs w:val="12"/>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Point in time</w:t>
            </w:r>
          </w:p>
        </w:tc>
        <w:tc>
          <w:tcPr>
            <w:tcW w:w="2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117,280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23,625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140,905</w:t>
            </w:r>
          </w:p>
        </w:tc>
      </w:tr>
      <w:tr>
        <w:trPr>
          <w:trHeight w:val="194"/>
        </w:trPr>
        <w:tc>
          <w:tcPr>
            <w:tcW w:w="20" w:type="dxa"/>
            <w:vAlign w:val="bottom"/>
          </w:tcPr>
          <w:p>
            <w:pPr>
              <w:spacing w:after="0"/>
              <w:rPr>
                <w:sz w:val="16"/>
                <w:szCs w:val="16"/>
                <w:color w:val="auto"/>
              </w:rPr>
            </w:pPr>
          </w:p>
        </w:tc>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Over time</w:t>
            </w:r>
          </w:p>
        </w:tc>
        <w:tc>
          <w:tcPr>
            <w:tcW w:w="2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47,295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47,295</w:t>
            </w:r>
          </w:p>
        </w:tc>
      </w:tr>
      <w:tr>
        <w:trPr>
          <w:trHeight w:val="23"/>
        </w:trPr>
        <w:tc>
          <w:tcPr>
            <w:tcW w:w="2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117,280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23,625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47,295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188,200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Balances</w:t>
      </w:r>
    </w:p>
    <w:p>
      <w:pPr>
        <w:spacing w:after="0" w:line="89" w:lineRule="exact"/>
        <w:rPr>
          <w:sz w:val="20"/>
          <w:szCs w:val="20"/>
          <w:color w:val="auto"/>
        </w:rPr>
      </w:pPr>
    </w:p>
    <w:p>
      <w:pPr>
        <w:jc w:val="both"/>
        <w:ind w:right="20"/>
        <w:spacing w:after="0" w:line="257" w:lineRule="auto"/>
        <w:rPr>
          <w:sz w:val="20"/>
          <w:szCs w:val="20"/>
          <w:color w:val="auto"/>
        </w:rPr>
      </w:pPr>
      <w:r>
        <w:rPr>
          <w:rFonts w:ascii="Arial" w:cs="Arial" w:eastAsia="Arial" w:hAnsi="Arial"/>
          <w:sz w:val="15"/>
          <w:szCs w:val="15"/>
          <w:color w:val="auto"/>
        </w:rPr>
        <w:t>As of March 31, 2021, and December 31, 2020, contract assets included in prepaid expenses and other current assets on the Consolidated Balance Sheets totaled approximately $14.1 million and $12.7 million, respectively, resulting from revenue recognized over time in excess of the amount billed to the customer.</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When we receive consideration from a customer prior to transferring goods or services under the terms of a sales contract, we record deferred revenue, which represents a contract liability.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Deferred revenue totaled $6.0 million and $6.1 million at March 31, 2021 and December 31, 2020, respectively. We recognize deferred revenue after all revenue recognition criteria are met.</w:t>
      </w:r>
    </w:p>
    <w:p>
      <w:pPr>
        <w:spacing w:after="0" w:line="273"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of BioScience Laboratories, LLC</w:t>
      </w:r>
    </w:p>
    <w:p>
      <w:pPr>
        <w:spacing w:after="0" w:line="165" w:lineRule="exact"/>
        <w:rPr>
          <w:sz w:val="20"/>
          <w:szCs w:val="20"/>
          <w:color w:val="auto"/>
        </w:rPr>
      </w:pPr>
    </w:p>
    <w:p>
      <w:pPr>
        <w:ind w:right="300"/>
        <w:spacing w:after="0" w:line="226" w:lineRule="auto"/>
        <w:rPr>
          <w:sz w:val="20"/>
          <w:szCs w:val="20"/>
          <w:color w:val="auto"/>
        </w:rPr>
      </w:pPr>
      <w:r>
        <w:rPr>
          <w:rFonts w:ascii="Arial" w:cs="Arial" w:eastAsia="Arial" w:hAnsi="Arial"/>
          <w:sz w:val="15"/>
          <w:szCs w:val="15"/>
          <w:color w:val="auto"/>
        </w:rPr>
        <w:t>On March 8, 2021, we acquired BioScience Laboratories, LLC (“BioScience”) for approximately $13.2 million, net of $0.8 million of cash acquired plus the contemporaneous repayment of BioScience's outstanding debt of $1.9 million. BioScience is a provider of outsourced topical antimicrobial product testing in the pharmaceutical, medical device, and consumer products industries with one location in Bozeman, Montana.</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The purchase price of BioScience was allocated to the underlying assets acquired and liabilities assumed based upon management's estimated fair values at the date of acquisition. Changes to the allocation of the purchase price may occur as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these measurements are completed. Approximately $8.4 million of goodwill was recorded related to the BioScience acquisition, representing the excess of the purchase price over preliminary estimated fair values of all the assets acquired and liabilities assumed. The Company funded this acquisition using available cash. The acquisition price and the results of operations for this acquired entity are not material in relation to the Company's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of Mandatorily Redeemable Noncontrolling Interest - Nelson Labs Fairfield</w:t>
      </w:r>
    </w:p>
    <w:p>
      <w:pPr>
        <w:spacing w:after="0" w:line="89"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the August 2018 acquisition, we initially acquired 85% of the equity interests of Nelson Labs Fairfield in August 2018 and were obligated to acquire the remaining 15% noncontrolling interest within three years from the date of the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of Iotron Industries Canada, Inc.</w:t>
      </w:r>
    </w:p>
    <w:p>
      <w:pPr>
        <w:spacing w:after="0" w:line="89" w:lineRule="exact"/>
        <w:rPr>
          <w:sz w:val="20"/>
          <w:szCs w:val="20"/>
          <w:color w:val="auto"/>
        </w:rPr>
      </w:pPr>
    </w:p>
    <w:p>
      <w:pPr>
        <w:ind w:right="340"/>
        <w:spacing w:after="0" w:line="306" w:lineRule="auto"/>
        <w:rPr>
          <w:sz w:val="20"/>
          <w:szCs w:val="20"/>
          <w:color w:val="auto"/>
        </w:rPr>
      </w:pPr>
      <w:r>
        <w:rPr>
          <w:rFonts w:ascii="Arial" w:cs="Arial" w:eastAsia="Arial" w:hAnsi="Arial"/>
          <w:sz w:val="13"/>
          <w:szCs w:val="13"/>
          <w:color w:val="auto"/>
        </w:rPr>
        <w:t>On July 31, 2020, we acquired Iotron Industries Canada, Inc.(“Iotron”) for approximately $105.2 million. Iotron was an independent contact sterilizer with two North American locations in Vancouver, Canada, and Columbia City, Indiana. Each location uses proprietary high energy electron beam technology to process products for orthopedic, medical device, plastics, and agricultural businesses. The acquisition was financed by the issuance of $100.0 million of First Lien Notes due 2026. Refer to Note 9, “Long-Term Debt” for additional details.</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As part of this acquisition, we also acquired Iotron’s 60% equity ownership interest in a joint venture to construct an E-beam facility in Alberta, Canada. The joint venture is accounted for using the equity method.</w:t>
      </w:r>
    </w:p>
    <w:p>
      <w:pPr>
        <w:spacing w:after="0" w:line="153" w:lineRule="exact"/>
        <w:rPr>
          <w:sz w:val="20"/>
          <w:szCs w:val="20"/>
          <w:color w:val="auto"/>
        </w:rPr>
      </w:pPr>
    </w:p>
    <w:p>
      <w:pPr>
        <w:ind w:right="300"/>
        <w:spacing w:after="0" w:line="257" w:lineRule="auto"/>
        <w:rPr>
          <w:sz w:val="20"/>
          <w:szCs w:val="20"/>
          <w:color w:val="auto"/>
        </w:rPr>
      </w:pPr>
      <w:r>
        <w:rPr>
          <w:rFonts w:ascii="Arial" w:cs="Arial" w:eastAsia="Arial" w:hAnsi="Arial"/>
          <w:sz w:val="15"/>
          <w:szCs w:val="15"/>
          <w:color w:val="auto"/>
        </w:rPr>
        <w:t>The opening balance sheet for the Iotron acquisition reflects the net tangible and intangible assets acquired and liabilities assumed at their preliminary estimated fair values at the acquisition date.</w:t>
      </w:r>
    </w:p>
    <w:p>
      <w:pPr>
        <w:spacing w:after="0" w:line="153" w:lineRule="exact"/>
        <w:rPr>
          <w:sz w:val="20"/>
          <w:szCs w:val="20"/>
          <w:color w:val="auto"/>
        </w:rPr>
      </w:pPr>
    </w:p>
    <w:p>
      <w:pPr>
        <w:ind w:right="380"/>
        <w:spacing w:after="0" w:line="257" w:lineRule="auto"/>
        <w:rPr>
          <w:sz w:val="20"/>
          <w:szCs w:val="20"/>
          <w:color w:val="auto"/>
        </w:rPr>
      </w:pPr>
      <w:r>
        <w:rPr>
          <w:rFonts w:ascii="Arial" w:cs="Arial" w:eastAsia="Arial" w:hAnsi="Arial"/>
          <w:sz w:val="15"/>
          <w:szCs w:val="15"/>
          <w:color w:val="auto"/>
        </w:rPr>
        <w:t>The preliminary estimated fair value of the underlying acquired assets and assumed liabilities of the Iotron acquisition and the measurement period adjustments recognized during the three months ended March 31, 2021,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540" w:type="dxa"/>
            <w:vAlign w:val="bottom"/>
          </w:tcPr>
          <w:p>
            <w:pPr>
              <w:ind w:left="20"/>
              <w:spacing w:after="0"/>
              <w:rPr>
                <w:sz w:val="20"/>
                <w:szCs w:val="20"/>
                <w:color w:val="auto"/>
              </w:rPr>
            </w:pPr>
            <w:r>
              <w:rPr>
                <w:rFonts w:ascii="Arial" w:cs="Arial" w:eastAsia="Arial" w:hAnsi="Arial"/>
                <w:sz w:val="12"/>
                <w:szCs w:val="12"/>
                <w:i w:val="1"/>
                <w:iCs w:val="1"/>
                <w:color w:val="auto"/>
              </w:rPr>
              <w:t>(thousands of U.S. dollars)</w:t>
            </w: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5"/>
        </w:trPr>
        <w:tc>
          <w:tcPr>
            <w:tcW w:w="5540" w:type="dxa"/>
            <w:vAlign w:val="bottom"/>
          </w:tcPr>
          <w:p>
            <w:pPr>
              <w:ind w:left="20"/>
              <w:spacing w:after="0"/>
              <w:rPr>
                <w:sz w:val="20"/>
                <w:szCs w:val="20"/>
                <w:color w:val="auto"/>
              </w:rPr>
            </w:pPr>
            <w:r>
              <w:rPr>
                <w:rFonts w:ascii="Arial" w:cs="Arial" w:eastAsia="Arial" w:hAnsi="Arial"/>
                <w:sz w:val="12"/>
                <w:szCs w:val="12"/>
                <w:b w:val="1"/>
                <w:bCs w:val="1"/>
                <w:color w:val="auto"/>
              </w:rPr>
              <w:t>Allocation of purchase price to the fair value of</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w w:val="90"/>
              </w:rPr>
              <w:t>Amount recognized as of December</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Amount recognized as of March 31,</w:t>
            </w:r>
          </w:p>
        </w:tc>
      </w:tr>
      <w:tr>
        <w:trPr>
          <w:trHeight w:val="165"/>
        </w:trPr>
        <w:tc>
          <w:tcPr>
            <w:tcW w:w="5540" w:type="dxa"/>
            <w:vAlign w:val="bottom"/>
          </w:tcPr>
          <w:p>
            <w:pPr>
              <w:ind w:left="20"/>
              <w:spacing w:after="0"/>
              <w:rPr>
                <w:sz w:val="20"/>
                <w:szCs w:val="20"/>
                <w:color w:val="auto"/>
              </w:rPr>
            </w:pPr>
            <w:r>
              <w:rPr>
                <w:rFonts w:ascii="Arial" w:cs="Arial" w:eastAsia="Arial" w:hAnsi="Arial"/>
                <w:sz w:val="12"/>
                <w:szCs w:val="12"/>
                <w:b w:val="1"/>
                <w:bCs w:val="1"/>
                <w:color w:val="auto"/>
              </w:rPr>
              <w:t>net assets acquired (net of cash acquired):</w:t>
            </w:r>
          </w:p>
        </w:tc>
        <w:tc>
          <w:tcPr>
            <w:tcW w:w="420" w:type="dxa"/>
            <w:vAlign w:val="bottom"/>
          </w:tcPr>
          <w:p>
            <w:pPr>
              <w:spacing w:after="0"/>
              <w:rPr>
                <w:sz w:val="14"/>
                <w:szCs w:val="14"/>
                <w:color w:val="auto"/>
              </w:rPr>
            </w:pPr>
          </w:p>
        </w:tc>
        <w:tc>
          <w:tcPr>
            <w:tcW w:w="1440" w:type="dxa"/>
            <w:vAlign w:val="bottom"/>
          </w:tcPr>
          <w:p>
            <w:pPr>
              <w:jc w:val="right"/>
              <w:ind w:right="649"/>
              <w:spacing w:after="0"/>
              <w:rPr>
                <w:sz w:val="20"/>
                <w:szCs w:val="20"/>
                <w:color w:val="auto"/>
              </w:rPr>
            </w:pPr>
            <w:r>
              <w:rPr>
                <w:rFonts w:ascii="Arial" w:cs="Arial" w:eastAsia="Arial" w:hAnsi="Arial"/>
                <w:sz w:val="12"/>
                <w:szCs w:val="12"/>
                <w:b w:val="1"/>
                <w:bCs w:val="1"/>
                <w:color w:val="auto"/>
              </w:rPr>
              <w:t>31, 2020</w:t>
            </w:r>
          </w:p>
        </w:tc>
        <w:tc>
          <w:tcPr>
            <w:tcW w:w="80" w:type="dxa"/>
            <w:vAlign w:val="bottom"/>
          </w:tcPr>
          <w:p>
            <w:pPr>
              <w:spacing w:after="0"/>
              <w:rPr>
                <w:sz w:val="14"/>
                <w:szCs w:val="14"/>
                <w:color w:val="auto"/>
              </w:rPr>
            </w:pP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w w:val="94"/>
              </w:rPr>
              <w:t>Measurement Period Adjustments</w:t>
            </w:r>
          </w:p>
        </w:tc>
        <w:tc>
          <w:tcPr>
            <w:tcW w:w="460" w:type="dxa"/>
            <w:vAlign w:val="bottom"/>
          </w:tcPr>
          <w:p>
            <w:pPr>
              <w:spacing w:after="0"/>
              <w:rPr>
                <w:sz w:val="14"/>
                <w:szCs w:val="14"/>
                <w:color w:val="auto"/>
              </w:rPr>
            </w:pPr>
          </w:p>
        </w:tc>
        <w:tc>
          <w:tcPr>
            <w:tcW w:w="1400" w:type="dxa"/>
            <w:vAlign w:val="bottom"/>
          </w:tcPr>
          <w:p>
            <w:pPr>
              <w:jc w:val="right"/>
              <w:ind w:right="749"/>
              <w:spacing w:after="0"/>
              <w:rPr>
                <w:sz w:val="20"/>
                <w:szCs w:val="20"/>
                <w:color w:val="auto"/>
              </w:rPr>
            </w:pPr>
            <w:r>
              <w:rPr>
                <w:rFonts w:ascii="Arial" w:cs="Arial" w:eastAsia="Arial" w:hAnsi="Arial"/>
                <w:sz w:val="12"/>
                <w:szCs w:val="12"/>
                <w:b w:val="1"/>
                <w:bCs w:val="1"/>
                <w:color w:val="auto"/>
              </w:rPr>
              <w:t>2021</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69,046</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(17,142)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51,904</w:t>
            </w:r>
          </w:p>
        </w:tc>
      </w:tr>
      <w:tr>
        <w:trPr>
          <w:trHeight w:val="194"/>
        </w:trPr>
        <w:tc>
          <w:tcPr>
            <w:tcW w:w="5540" w:type="dxa"/>
            <w:vAlign w:val="bottom"/>
          </w:tcPr>
          <w:p>
            <w:pPr>
              <w:ind w:left="20"/>
              <w:spacing w:after="0"/>
              <w:rPr>
                <w:sz w:val="20"/>
                <w:szCs w:val="20"/>
                <w:color w:val="auto"/>
              </w:rPr>
            </w:pPr>
            <w:r>
              <w:rPr>
                <w:rFonts w:ascii="Arial" w:cs="Arial" w:eastAsia="Arial" w:hAnsi="Arial"/>
                <w:sz w:val="15"/>
                <w:szCs w:val="15"/>
                <w:color w:val="auto"/>
              </w:rPr>
              <w:t>Intangibles</w:t>
            </w: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16,427</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26,273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42,700</w:t>
            </w:r>
          </w:p>
        </w:tc>
      </w:tr>
      <w:tr>
        <w:trPr>
          <w:trHeight w:val="23"/>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plant, and equipment</w:t>
            </w:r>
          </w:p>
        </w:tc>
        <w:tc>
          <w:tcPr>
            <w:tcW w:w="4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13,812</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4,346</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18,158</w:t>
            </w:r>
          </w:p>
        </w:tc>
      </w:tr>
      <w:tr>
        <w:trPr>
          <w:trHeight w:val="194"/>
        </w:trPr>
        <w:tc>
          <w:tcPr>
            <w:tcW w:w="5540" w:type="dxa"/>
            <w:vAlign w:val="bottom"/>
          </w:tcPr>
          <w:p>
            <w:pPr>
              <w:ind w:left="20"/>
              <w:spacing w:after="0"/>
              <w:rPr>
                <w:sz w:val="20"/>
                <w:szCs w:val="20"/>
                <w:color w:val="auto"/>
              </w:rPr>
            </w:pPr>
            <w:r>
              <w:rPr>
                <w:rFonts w:ascii="Arial" w:cs="Arial" w:eastAsia="Arial" w:hAnsi="Arial"/>
                <w:sz w:val="15"/>
                <w:szCs w:val="15"/>
                <w:color w:val="auto"/>
              </w:rPr>
              <w:t>Working capital, net</w:t>
            </w: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1,115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1,117</w:t>
            </w:r>
          </w:p>
        </w:tc>
      </w:tr>
      <w:tr>
        <w:trPr>
          <w:trHeight w:val="23"/>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unconsolidated affiliate</w:t>
            </w:r>
          </w:p>
        </w:tc>
        <w:tc>
          <w:tcPr>
            <w:tcW w:w="4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12,881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(4,181)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8,700</w:t>
            </w:r>
          </w:p>
        </w:tc>
      </w:tr>
      <w:tr>
        <w:trPr>
          <w:trHeight w:val="194"/>
        </w:trPr>
        <w:tc>
          <w:tcPr>
            <w:tcW w:w="5540" w:type="dxa"/>
            <w:vAlign w:val="bottom"/>
          </w:tcPr>
          <w:p>
            <w:pPr>
              <w:ind w:left="20"/>
              <w:spacing w:after="0"/>
              <w:rPr>
                <w:sz w:val="20"/>
                <w:szCs w:val="20"/>
                <w:color w:val="auto"/>
              </w:rPr>
            </w:pPr>
            <w:r>
              <w:rPr>
                <w:rFonts w:ascii="Arial" w:cs="Arial" w:eastAsia="Arial" w:hAnsi="Arial"/>
                <w:sz w:val="15"/>
                <w:szCs w:val="15"/>
                <w:color w:val="auto"/>
              </w:rPr>
              <w:t>Assumed long-term liabilities</w:t>
            </w: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(2,248)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(2,248)</w:t>
            </w:r>
          </w:p>
        </w:tc>
      </w:tr>
      <w:tr>
        <w:trPr>
          <w:trHeight w:val="23"/>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assets/liabilities, net</w:t>
            </w:r>
          </w:p>
        </w:tc>
        <w:tc>
          <w:tcPr>
            <w:tcW w:w="4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(5,846)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(9,298)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(15,144)</w:t>
            </w:r>
          </w:p>
        </w:tc>
      </w:tr>
      <w:tr>
        <w:trPr>
          <w:trHeight w:val="208"/>
        </w:trPr>
        <w:tc>
          <w:tcPr>
            <w:tcW w:w="5540" w:type="dxa"/>
            <w:vAlign w:val="bottom"/>
          </w:tcPr>
          <w:p>
            <w:pPr>
              <w:ind w:left="20"/>
              <w:spacing w:after="0"/>
              <w:rPr>
                <w:sz w:val="20"/>
                <w:szCs w:val="20"/>
                <w:color w:val="auto"/>
              </w:rPr>
            </w:pPr>
            <w:r>
              <w:rPr>
                <w:rFonts w:ascii="Arial" w:cs="Arial" w:eastAsia="Arial" w:hAnsi="Arial"/>
                <w:sz w:val="15"/>
                <w:szCs w:val="15"/>
                <w:b w:val="1"/>
                <w:bCs w:val="1"/>
                <w:color w:val="auto"/>
              </w:rPr>
              <w:t>Total estimated purchase price</w:t>
            </w: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105,187</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105,187</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80"/>
        <w:spacing w:after="0" w:line="333" w:lineRule="auto"/>
        <w:rPr>
          <w:sz w:val="20"/>
          <w:szCs w:val="20"/>
          <w:color w:val="auto"/>
        </w:rPr>
      </w:pPr>
      <w:r>
        <w:rPr>
          <w:rFonts w:ascii="Arial" w:cs="Arial" w:eastAsia="Arial" w:hAnsi="Arial"/>
          <w:sz w:val="13"/>
          <w:szCs w:val="13"/>
          <w:color w:val="auto"/>
        </w:rPr>
        <w:t>The fair value of all the above assets acquired and liabilities assumed are preliminary in nature since the fair value analyses are not yet complete, including finalizing third party appraisals and analyzing the tax attributes of the fair value adjustments. Changes to the allocation of the purchase price may occur as these analyses are completed.</w:t>
      </w:r>
    </w:p>
    <w:p>
      <w:pPr>
        <w:spacing w:after="0" w:line="107"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Approximately $51.9 million of goodwill was recorded related to the Iotron acquisition, representing the excess of the purchase price over preliminary estimated fair values of all the assets acquired and liabilities assumed. The fair value allocated to goodwill and tangible and intangible assets are deductible for tax purposes. The qualitative elements of goodwill primarily represent the expanded future growth opportunities for the combined company and the addition of Iotron’s highly skilled workforce. A preliminary valuation was recorded of approximately $39.1 million and $3.6 million for intangible assets as part of the acquisition related to customer relationships and employee non-compete agreements, respectively. The estimated useful lives of the identifiable finite-lived intangible assets range from 5 to 15 years.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46" w:lineRule="auto"/>
        <w:rPr>
          <w:sz w:val="20"/>
          <w:szCs w:val="20"/>
          <w:color w:val="auto"/>
        </w:rPr>
      </w:pPr>
      <w:r>
        <w:rPr>
          <w:rFonts w:ascii="Arial" w:cs="Arial" w:eastAsia="Arial" w:hAnsi="Arial"/>
          <w:sz w:val="15"/>
          <w:szCs w:val="15"/>
          <w:color w:val="auto"/>
        </w:rPr>
        <w:t>Iotron’s results of operations are included in our consolidated financial statements from the date of the transaction within the Sterigenics segment. The unaudited pro forma consolidated results for the three months ended March 31, 2020, are reflected in the pro forma table below had the transaction occurred on January 1, 2020.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98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9820" w:type="dxa"/>
            <w:vAlign w:val="bottom"/>
            <w:gridSpan w:val="2"/>
          </w:tcPr>
          <w:p>
            <w:pPr>
              <w:spacing w:after="0"/>
              <w:rPr>
                <w:sz w:val="20"/>
                <w:szCs w:val="20"/>
                <w:color w:val="auto"/>
              </w:rPr>
            </w:pPr>
            <w:r>
              <w:rPr>
                <w:rFonts w:ascii="Arial" w:cs="Arial" w:eastAsia="Arial" w:hAnsi="Arial"/>
                <w:sz w:val="12"/>
                <w:szCs w:val="12"/>
                <w:b w:val="1"/>
                <w:bCs w:val="1"/>
                <w:color w:val="auto"/>
              </w:rPr>
              <w:t>Three Months Ended March 31,</w:t>
            </w:r>
          </w:p>
        </w:tc>
        <w:tc>
          <w:tcPr>
            <w:tcW w:w="340" w:type="dxa"/>
            <w:vAlign w:val="bottom"/>
          </w:tcPr>
          <w:p>
            <w:pPr>
              <w:spacing w:after="0"/>
              <w:rPr>
                <w:sz w:val="13"/>
                <w:szCs w:val="13"/>
                <w:color w:val="auto"/>
              </w:rPr>
            </w:pPr>
          </w:p>
        </w:tc>
        <w:tc>
          <w:tcPr>
            <w:tcW w:w="1100" w:type="dxa"/>
            <w:vAlign w:val="bottom"/>
          </w:tcPr>
          <w:p>
            <w:pPr>
              <w:jc w:val="right"/>
              <w:ind w:right="532"/>
              <w:spacing w:after="0"/>
              <w:rPr>
                <w:sz w:val="20"/>
                <w:szCs w:val="20"/>
                <w:color w:val="auto"/>
              </w:rPr>
            </w:pPr>
            <w:r>
              <w:rPr>
                <w:rFonts w:ascii="Arial" w:cs="Arial" w:eastAsia="Arial" w:hAnsi="Arial"/>
                <w:sz w:val="12"/>
                <w:szCs w:val="12"/>
                <w:b w:val="1"/>
                <w:bCs w:val="1"/>
                <w:color w:val="auto"/>
              </w:rPr>
              <w:t>2020</w:t>
            </w:r>
          </w:p>
        </w:tc>
      </w:tr>
      <w:tr>
        <w:trPr>
          <w:trHeight w:val="24"/>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revenues</w:t>
            </w:r>
          </w:p>
        </w:tc>
        <w:tc>
          <w:tcPr>
            <w:tcW w:w="34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194,402</w:t>
            </w:r>
          </w:p>
        </w:tc>
      </w:tr>
      <w:tr>
        <w:trPr>
          <w:trHeight w:val="194"/>
        </w:trPr>
        <w:tc>
          <w:tcPr>
            <w:tcW w:w="20" w:type="dxa"/>
            <w:vAlign w:val="bottom"/>
          </w:tcPr>
          <w:p>
            <w:pPr>
              <w:spacing w:after="0"/>
              <w:rPr>
                <w:sz w:val="16"/>
                <w:szCs w:val="16"/>
                <w:color w:val="auto"/>
              </w:rPr>
            </w:pPr>
          </w:p>
        </w:tc>
        <w:tc>
          <w:tcPr>
            <w:tcW w:w="982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(889)</w:t>
            </w:r>
          </w:p>
        </w:tc>
      </w:tr>
    </w:tbl>
    <w:p>
      <w:pPr>
        <w:spacing w:after="0" w:line="263" w:lineRule="exact"/>
        <w:rPr>
          <w:sz w:val="20"/>
          <w:szCs w:val="20"/>
          <w:color w:val="auto"/>
        </w:rPr>
      </w:pPr>
    </w:p>
    <w:p>
      <w:pPr>
        <w:ind w:right="140"/>
        <w:spacing w:after="0" w:line="257" w:lineRule="auto"/>
        <w:rPr>
          <w:sz w:val="20"/>
          <w:szCs w:val="20"/>
          <w:color w:val="auto"/>
        </w:rPr>
      </w:pPr>
      <w:r>
        <w:rPr>
          <w:rFonts w:ascii="Arial" w:cs="Arial" w:eastAsia="Arial" w:hAnsi="Arial"/>
          <w:sz w:val="15"/>
          <w:szCs w:val="15"/>
          <w:color w:val="auto"/>
        </w:rPr>
        <w:t>In connection with the Iotron acquisition, we incurred approximately $1.0 million in transaction costs for the three months ended March 31, 2020, which were included in “Selling, general and administrative expenses” in the Consolidated Statements of Operations and Comprehensive Income (Loss).</w:t>
      </w:r>
    </w:p>
    <w:p>
      <w:pPr>
        <w:spacing w:after="0" w:line="236" w:lineRule="exact"/>
        <w:rPr>
          <w:sz w:val="20"/>
          <w:szCs w:val="20"/>
          <w:color w:val="auto"/>
        </w:rPr>
      </w:pPr>
    </w:p>
    <w:p>
      <w:pPr>
        <w:ind w:left="260" w:hanging="253"/>
        <w:spacing w:after="0"/>
        <w:tabs>
          <w:tab w:leader="none" w:pos="26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Inventories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Inventories consisted primarily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6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3"/>
              </w:rPr>
              <w:t>March 31, 2021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309"/>
              <w:spacing w:after="0"/>
              <w:rPr>
                <w:sz w:val="20"/>
                <w:szCs w:val="20"/>
                <w:color w:val="auto"/>
              </w:rPr>
            </w:pPr>
            <w:r>
              <w:rPr>
                <w:rFonts w:ascii="Arial" w:cs="Arial" w:eastAsia="Arial" w:hAnsi="Arial"/>
                <w:sz w:val="12"/>
                <w:szCs w:val="12"/>
                <w:b w:val="1"/>
                <w:bCs w:val="1"/>
                <w:color w:val="auto"/>
                <w:w w:val="92"/>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Raw materials and supplies</w:t>
            </w:r>
          </w:p>
        </w:tc>
        <w:tc>
          <w:tcPr>
            <w:tcW w:w="302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29,512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29,114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Work-in-process</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1,371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846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2,617</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4,256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33,500</w:t>
            </w: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34,216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Reserve for excess and obsolete inventory</w:t>
            </w:r>
          </w:p>
        </w:tc>
        <w:tc>
          <w:tcPr>
            <w:tcW w:w="2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Inventories, net</w:t>
            </w:r>
          </w:p>
        </w:tc>
        <w:tc>
          <w:tcPr>
            <w:tcW w:w="27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33,375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34,093</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6.  Prepaid Expenses and Other Current Assets</w:t>
            </w: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80" w:type="dxa"/>
            <w:vAlign w:val="bottom"/>
            <w:gridSpan w:val="3"/>
            <w:vMerge w:val="continue"/>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080" w:type="dxa"/>
            <w:vAlign w:val="bottom"/>
            <w:gridSpan w:val="3"/>
          </w:tcPr>
          <w:p>
            <w:pPr>
              <w:spacing w:after="0"/>
              <w:rPr>
                <w:sz w:val="20"/>
                <w:szCs w:val="20"/>
                <w:color w:val="auto"/>
              </w:rPr>
            </w:pPr>
            <w:r>
              <w:rPr>
                <w:rFonts w:ascii="Arial" w:cs="Arial" w:eastAsia="Arial" w:hAnsi="Arial"/>
                <w:sz w:val="15"/>
                <w:szCs w:val="15"/>
                <w:color w:val="auto"/>
                <w:w w:val="96"/>
              </w:rPr>
              <w:t>Prepaid expenses and other current assets consisted primarily of the following:</w:t>
            </w:r>
          </w:p>
        </w:tc>
        <w:tc>
          <w:tcPr>
            <w:tcW w:w="2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March 31, 2021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249"/>
              <w:spacing w:after="0"/>
              <w:rPr>
                <w:sz w:val="20"/>
                <w:szCs w:val="20"/>
                <w:color w:val="auto"/>
              </w:rPr>
            </w:pPr>
            <w:r>
              <w:rPr>
                <w:rFonts w:ascii="Arial" w:cs="Arial" w:eastAsia="Arial" w:hAnsi="Arial"/>
                <w:sz w:val="12"/>
                <w:szCs w:val="12"/>
                <w:b w:val="1"/>
                <w:bCs w:val="1"/>
                <w:color w:val="auto"/>
                <w:w w:val="98"/>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gridSpan w:val="2"/>
          </w:tcPr>
          <w:p>
            <w:pPr>
              <w:spacing w:after="0" w:line="20" w:lineRule="exact"/>
              <w:rPr>
                <w:sz w:val="1"/>
                <w:szCs w:val="1"/>
                <w:color w:val="auto"/>
              </w:rPr>
            </w:pPr>
          </w:p>
        </w:tc>
        <w:tc>
          <w:tcPr>
            <w:tcW w:w="3020" w:type="dxa"/>
            <w:vAlign w:val="bottom"/>
            <w:tcBorders>
              <w:bottom w:val="single" w:sz="8" w:color="CCEEFF"/>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Prepaid taxes</w:t>
            </w:r>
          </w:p>
        </w:tc>
        <w:tc>
          <w:tcPr>
            <w:tcW w:w="3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25,356</w:t>
            </w:r>
          </w:p>
        </w:tc>
        <w:tc>
          <w:tcPr>
            <w:tcW w:w="280" w:type="dxa"/>
            <w:vAlign w:val="bottom"/>
            <w:tcBorders>
              <w:bottom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22,883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Prepaid business insurance</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7,421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10,403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Prepaid rent</w:t>
            </w:r>
          </w:p>
        </w:tc>
        <w:tc>
          <w:tcPr>
            <w:tcW w:w="2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1,212</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Customer contract assets</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14,133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12,670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Insurance and indemnification receivables</w:t>
            </w:r>
          </w:p>
        </w:tc>
        <w:tc>
          <w:tcPr>
            <w:tcW w:w="2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2,751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Current deposits</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Prepaid maintenance contracts</w:t>
            </w:r>
          </w:p>
        </w:tc>
        <w:tc>
          <w:tcPr>
            <w:tcW w:w="2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432</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Value added tax receivable</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1,385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2,094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Prepaid software licensing</w:t>
            </w:r>
          </w:p>
        </w:tc>
        <w:tc>
          <w:tcPr>
            <w:tcW w:w="2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1,299</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Stock supplies</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3,210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2,715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11,762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Prepaid expenses and other current assets</w:t>
            </w:r>
          </w:p>
        </w:tc>
        <w:tc>
          <w:tcPr>
            <w:tcW w:w="30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69,758</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40" w:type="dxa"/>
            <w:vAlign w:val="bottom"/>
            <w:vMerge w:val="restart"/>
          </w:tcPr>
          <w:p>
            <w:pPr>
              <w:jc w:val="right"/>
              <w:ind w:right="2027"/>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hanging="253"/>
        <w:spacing w:after="0"/>
        <w:tabs>
          <w:tab w:leader="none" w:pos="26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Goodwill and Other Intangible Assets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Changes to goodwill during the three months ended March 31, 2021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87"/>
              </w:rPr>
              <w:t>(thousands of U.S. dollars)</w:t>
            </w: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ind w:left="280"/>
              <w:spacing w:after="0"/>
              <w:rPr>
                <w:sz w:val="20"/>
                <w:szCs w:val="20"/>
                <w:color w:val="auto"/>
              </w:rPr>
            </w:pPr>
            <w:r>
              <w:rPr>
                <w:rFonts w:ascii="Arial" w:cs="Arial" w:eastAsia="Arial" w:hAnsi="Arial"/>
                <w:sz w:val="12"/>
                <w:szCs w:val="12"/>
                <w:b w:val="1"/>
                <w:bCs w:val="1"/>
                <w:color w:val="auto"/>
              </w:rPr>
              <w:t>Sterigenics</w:t>
            </w:r>
          </w:p>
        </w:tc>
        <w:tc>
          <w:tcPr>
            <w:tcW w:w="300" w:type="dxa"/>
            <w:vAlign w:val="bottom"/>
          </w:tcPr>
          <w:p>
            <w:pPr>
              <w:spacing w:after="0"/>
              <w:rPr>
                <w:sz w:val="12"/>
                <w:szCs w:val="12"/>
                <w:color w:val="auto"/>
              </w:rPr>
            </w:pP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Nordion</w:t>
            </w:r>
          </w:p>
        </w:tc>
        <w:tc>
          <w:tcPr>
            <w:tcW w:w="20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Nelson Labs</w:t>
            </w:r>
          </w:p>
        </w:tc>
        <w:tc>
          <w:tcPr>
            <w:tcW w:w="240" w:type="dxa"/>
            <w:vAlign w:val="bottom"/>
          </w:tcPr>
          <w:p>
            <w:pPr>
              <w:spacing w:after="0"/>
              <w:rPr>
                <w:sz w:val="12"/>
                <w:szCs w:val="12"/>
                <w:color w:val="auto"/>
              </w:rPr>
            </w:pPr>
          </w:p>
        </w:tc>
        <w:tc>
          <w:tcPr>
            <w:tcW w:w="1200" w:type="dxa"/>
            <w:vAlign w:val="bottom"/>
          </w:tcPr>
          <w:p>
            <w:pPr>
              <w:jc w:val="right"/>
              <w:ind w:right="5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280" w:type="dxa"/>
            <w:vAlign w:val="bottom"/>
            <w:gridSpan w:val="3"/>
            <w:vMerge w:val="restart"/>
          </w:tcPr>
          <w:p>
            <w:pPr>
              <w:spacing w:after="0"/>
              <w:rPr>
                <w:sz w:val="20"/>
                <w:szCs w:val="20"/>
                <w:color w:val="auto"/>
              </w:rPr>
            </w:pPr>
            <w:r>
              <w:rPr>
                <w:rFonts w:ascii="Arial" w:cs="Arial" w:eastAsia="Arial" w:hAnsi="Arial"/>
                <w:sz w:val="15"/>
                <w:szCs w:val="15"/>
                <w:color w:val="auto"/>
              </w:rPr>
              <w:t>Goodwill at December 31, 2020</w:t>
            </w: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gridSpan w:val="3"/>
            <w:vMerge w:val="continue"/>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683,481</w:t>
            </w:r>
          </w:p>
        </w:tc>
        <w:tc>
          <w:tcPr>
            <w:tcW w:w="8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287,932</w:t>
            </w:r>
          </w:p>
        </w:tc>
        <w:tc>
          <w:tcPr>
            <w:tcW w:w="8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144,523</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1,115,936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Borders>
              <w:bottom w:val="single" w:sz="8" w:color="CCEEFF"/>
            </w:tcBorders>
            <w:shd w:val="clear" w:color="auto" w:fill="CCEEFF"/>
          </w:tcPr>
          <w:p>
            <w:pPr>
              <w:spacing w:after="0"/>
              <w:rPr>
                <w:sz w:val="24"/>
                <w:szCs w:val="24"/>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BioScience acquisition</w:t>
            </w: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8,435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8,435</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5"/>
                <w:szCs w:val="15"/>
                <w:color w:val="auto"/>
              </w:rPr>
              <w:t>Iotron acquisition measurement period adjustments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(17,142)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(17,142)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Changes due to foreign currency exchange rates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5"/>
                <w:szCs w:val="15"/>
                <w:b w:val="1"/>
                <w:bCs w:val="1"/>
                <w:color w:val="auto"/>
              </w:rPr>
              <w:t>Goodwill at March 31, 2021</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664,087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291,340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151,301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1,106,728</w:t>
            </w: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Arial" w:cs="Arial" w:eastAsia="Arial" w:hAnsi="Arial"/>
                <w:sz w:val="15"/>
                <w:szCs w:val="15"/>
                <w:color w:val="auto"/>
              </w:rPr>
              <w:t>Other intangible assets consisted of the following:</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2"/>
                <w:szCs w:val="12"/>
                <w:i w:val="1"/>
                <w:iCs w:val="1"/>
                <w:color w:val="auto"/>
              </w:rPr>
              <w:t>(thousands of U.S. dollars)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Gross Carrying</w:t>
            </w:r>
          </w:p>
        </w:tc>
        <w:tc>
          <w:tcPr>
            <w:tcW w:w="240" w:type="dxa"/>
            <w:vAlign w:val="bottom"/>
          </w:tcPr>
          <w:p>
            <w:pPr>
              <w:spacing w:after="0"/>
              <w:rPr>
                <w:sz w:val="24"/>
                <w:szCs w:val="24"/>
                <w:color w:val="auto"/>
              </w:rPr>
            </w:pPr>
          </w:p>
        </w:tc>
        <w:tc>
          <w:tcPr>
            <w:tcW w:w="1200" w:type="dxa"/>
            <w:vAlign w:val="bottom"/>
          </w:tcPr>
          <w:p>
            <w:pPr>
              <w:jc w:val="right"/>
              <w:ind w:right="310"/>
              <w:spacing w:after="0"/>
              <w:rPr>
                <w:sz w:val="20"/>
                <w:szCs w:val="20"/>
                <w:color w:val="auto"/>
              </w:rPr>
            </w:pPr>
            <w:r>
              <w:rPr>
                <w:rFonts w:ascii="Arial" w:cs="Arial" w:eastAsia="Arial" w:hAnsi="Arial"/>
                <w:sz w:val="12"/>
                <w:szCs w:val="12"/>
                <w:b w:val="1"/>
                <w:bCs w:val="1"/>
                <w:color w:val="auto"/>
              </w:rPr>
              <w:t>Accumulated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80" w:type="dxa"/>
            <w:vAlign w:val="bottom"/>
            <w:gridSpan w:val="3"/>
          </w:tcPr>
          <w:p>
            <w:pPr>
              <w:spacing w:after="0"/>
              <w:rPr>
                <w:sz w:val="20"/>
                <w:szCs w:val="20"/>
                <w:color w:val="auto"/>
              </w:rPr>
            </w:pPr>
            <w:r>
              <w:rPr>
                <w:rFonts w:ascii="Arial" w:cs="Arial" w:eastAsia="Arial" w:hAnsi="Arial"/>
                <w:sz w:val="12"/>
                <w:szCs w:val="12"/>
                <w:b w:val="1"/>
                <w:bCs w:val="1"/>
                <w:color w:val="auto"/>
              </w:rPr>
              <w:t>As of March 31, 2021</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200" w:type="dxa"/>
            <w:vAlign w:val="bottom"/>
          </w:tcPr>
          <w:p>
            <w:pPr>
              <w:jc w:val="right"/>
              <w:ind w:right="310"/>
              <w:spacing w:after="0"/>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1060" w:type="dxa"/>
            <w:vAlign w:val="bottom"/>
            <w:tcBorders>
              <w:top w:val="single" w:sz="8" w:color="auto"/>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gridSpan w:val="3"/>
          </w:tcPr>
          <w:p>
            <w:pPr>
              <w:ind w:left="340"/>
              <w:spacing w:after="0"/>
              <w:rPr>
                <w:sz w:val="20"/>
                <w:szCs w:val="20"/>
                <w:color w:val="auto"/>
              </w:rPr>
            </w:pPr>
            <w:r>
              <w:rPr>
                <w:rFonts w:ascii="Arial" w:cs="Arial" w:eastAsia="Arial" w:hAnsi="Arial"/>
                <w:sz w:val="15"/>
                <w:szCs w:val="15"/>
                <w:color w:val="auto"/>
              </w:rPr>
              <w:t>Customer relationships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662,509</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322,685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5"/>
                <w:szCs w:val="15"/>
                <w:color w:val="auto"/>
              </w:rPr>
              <w:t>Proprietary technology</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89,604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39,707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gridSpan w:val="3"/>
          </w:tcPr>
          <w:p>
            <w:pPr>
              <w:ind w:left="340"/>
              <w:spacing w:after="0"/>
              <w:rPr>
                <w:sz w:val="20"/>
                <w:szCs w:val="20"/>
                <w:color w:val="auto"/>
              </w:rPr>
            </w:pPr>
            <w:r>
              <w:rPr>
                <w:rFonts w:ascii="Arial" w:cs="Arial" w:eastAsia="Arial" w:hAnsi="Arial"/>
                <w:sz w:val="15"/>
                <w:szCs w:val="15"/>
                <w:color w:val="auto"/>
              </w:rPr>
              <w:t>Trade names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5"/>
                <w:szCs w:val="15"/>
                <w:color w:val="auto"/>
              </w:rPr>
              <w:t>Land-use rights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9,454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gridSpan w:val="3"/>
          </w:tcPr>
          <w:p>
            <w:pPr>
              <w:ind w:left="340"/>
              <w:spacing w:after="0"/>
              <w:rPr>
                <w:sz w:val="20"/>
                <w:szCs w:val="20"/>
                <w:color w:val="auto"/>
              </w:rPr>
            </w:pPr>
            <w:r>
              <w:rPr>
                <w:rFonts w:ascii="Arial" w:cs="Arial" w:eastAsia="Arial" w:hAnsi="Arial"/>
                <w:sz w:val="15"/>
                <w:szCs w:val="15"/>
                <w:color w:val="auto"/>
              </w:rPr>
              <w:t>Sealed source and supply agreements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243,660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98,237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5,675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gridSpan w:val="3"/>
          </w:tcPr>
          <w:p>
            <w:pPr>
              <w:spacing w:after="0"/>
              <w:rPr>
                <w:sz w:val="20"/>
                <w:szCs w:val="20"/>
                <w:color w:val="auto"/>
              </w:rPr>
            </w:pPr>
            <w:r>
              <w:rPr>
                <w:rFonts w:ascii="Arial" w:cs="Arial" w:eastAsia="Arial" w:hAnsi="Arial"/>
                <w:sz w:val="15"/>
                <w:szCs w:val="15"/>
                <w:b w:val="1"/>
                <w:bCs w:val="1"/>
                <w:color w:val="auto"/>
              </w:rPr>
              <w:t>Total finite-lived intangible assets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1,011,044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463,231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Indefinite-lived intangible assets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8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rPr>
              <w:t>Regulatory licenses and other</w:t>
            </w:r>
            <w:r>
              <w:rPr>
                <w:rFonts w:ascii="Arial" w:cs="Arial" w:eastAsia="Arial" w:hAnsi="Arial"/>
                <w:sz w:val="18"/>
                <w:szCs w:val="18"/>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82,807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gridSpan w:val="3"/>
          </w:tcPr>
          <w:p>
            <w:pPr>
              <w:ind w:left="340"/>
              <w:spacing w:after="0"/>
              <w:rPr>
                <w:sz w:val="20"/>
                <w:szCs w:val="20"/>
                <w:color w:val="auto"/>
              </w:rPr>
            </w:pPr>
            <w:r>
              <w:rPr>
                <w:rFonts w:ascii="Arial" w:cs="Arial" w:eastAsia="Arial" w:hAnsi="Arial"/>
                <w:sz w:val="15"/>
                <w:szCs w:val="15"/>
                <w:color w:val="auto"/>
              </w:rPr>
              <w:t>Trade names / trademarks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25,952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108,759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1,119,803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vMerge w:val="restart"/>
          </w:tcPr>
          <w:p>
            <w:pPr>
              <w:jc w:val="right"/>
              <w:ind w:right="950"/>
              <w:spacing w:after="0"/>
              <w:rPr>
                <w:sz w:val="20"/>
                <w:szCs w:val="20"/>
                <w:color w:val="auto"/>
              </w:rPr>
            </w:pPr>
            <w:r>
              <w:rPr>
                <w:rFonts w:ascii="Arial" w:cs="Arial" w:eastAsia="Arial" w:hAnsi="Arial"/>
                <w:sz w:val="15"/>
                <w:szCs w:val="15"/>
                <w:color w:val="auto"/>
              </w:rPr>
              <w:t>13</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Gross Carrying</w:t>
            </w:r>
          </w:p>
        </w:tc>
        <w:tc>
          <w:tcPr>
            <w:tcW w:w="240" w:type="dxa"/>
            <w:vAlign w:val="bottom"/>
          </w:tcPr>
          <w:p>
            <w:pPr>
              <w:spacing w:after="0"/>
              <w:rPr>
                <w:sz w:val="12"/>
                <w:szCs w:val="12"/>
                <w:color w:val="auto"/>
              </w:rPr>
            </w:pPr>
          </w:p>
        </w:tc>
        <w:tc>
          <w:tcPr>
            <w:tcW w:w="1200" w:type="dxa"/>
            <w:vAlign w:val="bottom"/>
          </w:tcPr>
          <w:p>
            <w:pPr>
              <w:jc w:val="right"/>
              <w:ind w:right="310"/>
              <w:spacing w:after="0"/>
              <w:rPr>
                <w:sz w:val="20"/>
                <w:szCs w:val="20"/>
                <w:color w:val="auto"/>
              </w:rPr>
            </w:pPr>
            <w:r>
              <w:rPr>
                <w:rFonts w:ascii="Arial" w:cs="Arial" w:eastAsia="Arial" w:hAnsi="Arial"/>
                <w:sz w:val="12"/>
                <w:szCs w:val="12"/>
                <w:b w:val="1"/>
                <w:bCs w:val="1"/>
                <w:color w:val="auto"/>
              </w:rPr>
              <w:t>Accumulated</w:t>
            </w:r>
          </w:p>
        </w:tc>
      </w:tr>
      <w:tr>
        <w:trPr>
          <w:trHeight w:val="141"/>
        </w:trPr>
        <w:tc>
          <w:tcPr>
            <w:tcW w:w="20" w:type="dxa"/>
            <w:vAlign w:val="bottom"/>
          </w:tcPr>
          <w:p>
            <w:pPr>
              <w:spacing w:after="0"/>
              <w:rPr>
                <w:sz w:val="12"/>
                <w:szCs w:val="12"/>
                <w:color w:val="auto"/>
              </w:rPr>
            </w:pPr>
          </w:p>
        </w:tc>
        <w:tc>
          <w:tcPr>
            <w:tcW w:w="8320" w:type="dxa"/>
            <w:vAlign w:val="bottom"/>
            <w:gridSpan w:val="2"/>
          </w:tcPr>
          <w:p>
            <w:pPr>
              <w:spacing w:after="0"/>
              <w:rPr>
                <w:sz w:val="20"/>
                <w:szCs w:val="20"/>
                <w:color w:val="auto"/>
              </w:rPr>
            </w:pPr>
            <w:r>
              <w:rPr>
                <w:rFonts w:ascii="Arial" w:cs="Arial" w:eastAsia="Arial" w:hAnsi="Arial"/>
                <w:sz w:val="12"/>
                <w:szCs w:val="12"/>
                <w:b w:val="1"/>
                <w:bCs w:val="1"/>
                <w:color w:val="auto"/>
              </w:rPr>
              <w:t>As of December 31, 2020</w:t>
            </w:r>
          </w:p>
        </w:tc>
        <w:tc>
          <w:tcPr>
            <w:tcW w:w="20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2"/>
                <w:szCs w:val="12"/>
                <w:color w:val="auto"/>
              </w:rPr>
            </w:pPr>
          </w:p>
        </w:tc>
        <w:tc>
          <w:tcPr>
            <w:tcW w:w="1200" w:type="dxa"/>
            <w:vAlign w:val="bottom"/>
          </w:tcPr>
          <w:p>
            <w:pPr>
              <w:jc w:val="right"/>
              <w:ind w:right="310"/>
              <w:spacing w:after="0"/>
              <w:rPr>
                <w:sz w:val="20"/>
                <w:szCs w:val="20"/>
                <w:color w:val="auto"/>
              </w:rPr>
            </w:pPr>
            <w:r>
              <w:rPr>
                <w:rFonts w:ascii="Arial" w:cs="Arial" w:eastAsia="Arial" w:hAnsi="Arial"/>
                <w:sz w:val="12"/>
                <w:szCs w:val="12"/>
                <w:b w:val="1"/>
                <w:bCs w:val="1"/>
                <w:color w:val="auto"/>
              </w:rPr>
              <w:t>Amortization</w:t>
            </w:r>
          </w:p>
        </w:tc>
      </w:tr>
      <w:tr>
        <w:trPr>
          <w:trHeight w:val="2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Finite-lived intangible assets</w:t>
            </w: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8320" w:type="dxa"/>
            <w:vAlign w:val="bottom"/>
            <w:gridSpan w:val="2"/>
          </w:tcPr>
          <w:p>
            <w:pPr>
              <w:ind w:left="340"/>
              <w:spacing w:after="0"/>
              <w:rPr>
                <w:sz w:val="20"/>
                <w:szCs w:val="20"/>
                <w:color w:val="auto"/>
              </w:rPr>
            </w:pPr>
            <w:r>
              <w:rPr>
                <w:rFonts w:ascii="Arial" w:cs="Arial" w:eastAsia="Arial" w:hAnsi="Arial"/>
                <w:sz w:val="15"/>
                <w:szCs w:val="15"/>
                <w:color w:val="auto"/>
              </w:rPr>
              <w:t>Customer relationships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634,454</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309,428</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Proprietary technology</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90,964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38,075</w:t>
            </w:r>
          </w:p>
        </w:tc>
      </w:tr>
      <w:tr>
        <w:trPr>
          <w:trHeight w:val="194"/>
        </w:trPr>
        <w:tc>
          <w:tcPr>
            <w:tcW w:w="20" w:type="dxa"/>
            <w:vAlign w:val="bottom"/>
          </w:tcPr>
          <w:p>
            <w:pPr>
              <w:spacing w:after="0"/>
              <w:rPr>
                <w:sz w:val="16"/>
                <w:szCs w:val="16"/>
                <w:color w:val="auto"/>
              </w:rPr>
            </w:pPr>
          </w:p>
        </w:tc>
        <w:tc>
          <w:tcPr>
            <w:tcW w:w="8320" w:type="dxa"/>
            <w:vAlign w:val="bottom"/>
            <w:gridSpan w:val="2"/>
          </w:tcPr>
          <w:p>
            <w:pPr>
              <w:ind w:left="340"/>
              <w:spacing w:after="0"/>
              <w:rPr>
                <w:sz w:val="20"/>
                <w:szCs w:val="20"/>
                <w:color w:val="auto"/>
              </w:rPr>
            </w:pPr>
            <w:r>
              <w:rPr>
                <w:rFonts w:ascii="Arial" w:cs="Arial" w:eastAsia="Arial" w:hAnsi="Arial"/>
                <w:sz w:val="15"/>
                <w:szCs w:val="15"/>
                <w:color w:val="auto"/>
              </w:rPr>
              <w:t>Trade names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Land-use rights</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9,489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1,311</w:t>
            </w:r>
          </w:p>
        </w:tc>
      </w:tr>
      <w:tr>
        <w:trPr>
          <w:trHeight w:val="194"/>
        </w:trPr>
        <w:tc>
          <w:tcPr>
            <w:tcW w:w="20" w:type="dxa"/>
            <w:vAlign w:val="bottom"/>
          </w:tcPr>
          <w:p>
            <w:pPr>
              <w:spacing w:after="0"/>
              <w:rPr>
                <w:sz w:val="16"/>
                <w:szCs w:val="16"/>
                <w:color w:val="auto"/>
              </w:rPr>
            </w:pPr>
          </w:p>
        </w:tc>
        <w:tc>
          <w:tcPr>
            <w:tcW w:w="8320" w:type="dxa"/>
            <w:vAlign w:val="bottom"/>
            <w:gridSpan w:val="2"/>
          </w:tcPr>
          <w:p>
            <w:pPr>
              <w:ind w:left="340"/>
              <w:spacing w:after="0"/>
              <w:rPr>
                <w:sz w:val="20"/>
                <w:szCs w:val="20"/>
                <w:color w:val="auto"/>
              </w:rPr>
            </w:pPr>
            <w:r>
              <w:rPr>
                <w:rFonts w:ascii="Arial" w:cs="Arial" w:eastAsia="Arial" w:hAnsi="Arial"/>
                <w:sz w:val="15"/>
                <w:szCs w:val="15"/>
                <w:color w:val="auto"/>
              </w:rPr>
              <w:t>Sealed source and supply agreements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240,791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92,953</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519</w:t>
            </w:r>
          </w:p>
        </w:tc>
      </w:tr>
      <w:tr>
        <w:trPr>
          <w:trHeight w:val="18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Total finite-lived intangible assets</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977,791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442,391</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Indefinite-lived intangible assets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Regulatory licenses and other</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81,832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8320" w:type="dxa"/>
            <w:vAlign w:val="bottom"/>
            <w:gridSpan w:val="2"/>
          </w:tcPr>
          <w:p>
            <w:pPr>
              <w:ind w:left="340"/>
              <w:spacing w:after="0"/>
              <w:rPr>
                <w:sz w:val="20"/>
                <w:szCs w:val="20"/>
                <w:color w:val="auto"/>
              </w:rPr>
            </w:pPr>
            <w:r>
              <w:rPr>
                <w:rFonts w:ascii="Arial" w:cs="Arial" w:eastAsia="Arial" w:hAnsi="Arial"/>
                <w:sz w:val="15"/>
                <w:szCs w:val="15"/>
                <w:color w:val="auto"/>
              </w:rPr>
              <w:t>Trade names / trademarks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26,134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
        </w:trPr>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indefinite-lived intangible assets</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107,966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1,085,757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442,391</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100" w:hanging="253"/>
        <w:spacing w:after="0" w:line="247" w:lineRule="auto"/>
        <w:tabs>
          <w:tab w:leader="none" w:pos="25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years license period as Nordion has demonstrated over its 70 years of history.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Amounts include the impact of foreign currency translation. Fully amortized amounts are written off.</w:t>
      </w:r>
    </w:p>
    <w:p>
      <w:pPr>
        <w:spacing w:after="0" w:line="176" w:lineRule="exact"/>
        <w:rPr>
          <w:sz w:val="20"/>
          <w:szCs w:val="20"/>
          <w:color w:val="auto"/>
        </w:rPr>
      </w:pPr>
    </w:p>
    <w:p>
      <w:pPr>
        <w:ind w:right="260"/>
        <w:spacing w:after="0" w:line="306" w:lineRule="auto"/>
        <w:rPr>
          <w:sz w:val="20"/>
          <w:szCs w:val="20"/>
          <w:color w:val="auto"/>
        </w:rPr>
      </w:pPr>
      <w:r>
        <w:rPr>
          <w:rFonts w:ascii="Arial" w:cs="Arial" w:eastAsia="Arial" w:hAnsi="Arial"/>
          <w:sz w:val="13"/>
          <w:szCs w:val="13"/>
          <w:color w:val="auto"/>
        </w:rPr>
        <w:t>Amortization expense for other intangible assets was $22.3 million ($5.8 million is included in “Cost of revenues” and $16.5 million in “Selling, general and administrative expenses”) in the Consolidated Statements of Operations and Comprehensive Income (Loss) and $19.9 million ($5.3 million is included in “Cost of revenues” and $14.6 million in “Selling, general and administrative expenses”) in the Consolidated Statements of Operations and Comprehensive Income (Loss) for the three months ended March 31, 2021 and 2020,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estimated aggregate amortization expense for finite-lived intangible assets for each of the next five years and thereafter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8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8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For the remainder of 2021</w:t>
            </w:r>
          </w:p>
        </w:tc>
        <w:tc>
          <w:tcPr>
            <w:tcW w:w="500" w:type="dxa"/>
            <w:vAlign w:val="bottom"/>
            <w:tcBorders>
              <w:bottom w:val="single" w:sz="8" w:color="CCEEFF"/>
            </w:tcBorders>
            <w:shd w:val="clear" w:color="auto" w:fill="CCEEFF"/>
          </w:tcPr>
          <w:p>
            <w:pPr>
              <w:jc w:val="right"/>
              <w:ind w:right="327"/>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65,889</w:t>
            </w:r>
          </w:p>
        </w:tc>
      </w:tr>
      <w:tr>
        <w:trPr>
          <w:trHeight w:val="194"/>
        </w:trPr>
        <w:tc>
          <w:tcPr>
            <w:tcW w:w="1280" w:type="dxa"/>
            <w:vAlign w:val="bottom"/>
            <w:gridSpan w:val="2"/>
          </w:tcPr>
          <w:p>
            <w:pPr>
              <w:ind w:left="20"/>
              <w:spacing w:after="0"/>
              <w:rPr>
                <w:sz w:val="20"/>
                <w:szCs w:val="20"/>
                <w:color w:val="auto"/>
              </w:rPr>
            </w:pPr>
            <w:r>
              <w:rPr>
                <w:rFonts w:ascii="Arial" w:cs="Arial" w:eastAsia="Arial" w:hAnsi="Arial"/>
                <w:sz w:val="15"/>
                <w:szCs w:val="15"/>
                <w:color w:val="auto"/>
              </w:rPr>
              <w:t>2022</w:t>
            </w:r>
          </w:p>
        </w:tc>
        <w:tc>
          <w:tcPr>
            <w:tcW w:w="8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80,665</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8"/>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8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80,659</w:t>
            </w:r>
          </w:p>
        </w:tc>
      </w:tr>
      <w:tr>
        <w:trPr>
          <w:trHeight w:val="194"/>
        </w:trPr>
        <w:tc>
          <w:tcPr>
            <w:tcW w:w="1280" w:type="dxa"/>
            <w:vAlign w:val="bottom"/>
            <w:gridSpan w:val="2"/>
          </w:tcPr>
          <w:p>
            <w:pPr>
              <w:ind w:left="20"/>
              <w:spacing w:after="0"/>
              <w:rPr>
                <w:sz w:val="20"/>
                <w:szCs w:val="20"/>
                <w:color w:val="auto"/>
              </w:rPr>
            </w:pPr>
            <w:r>
              <w:rPr>
                <w:rFonts w:ascii="Arial" w:cs="Arial" w:eastAsia="Arial" w:hAnsi="Arial"/>
                <w:sz w:val="15"/>
                <w:szCs w:val="15"/>
                <w:color w:val="auto"/>
              </w:rPr>
              <w:t>2024</w:t>
            </w:r>
          </w:p>
        </w:tc>
        <w:tc>
          <w:tcPr>
            <w:tcW w:w="8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79,882</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8"/>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8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41,982</w:t>
            </w:r>
          </w:p>
        </w:tc>
      </w:tr>
      <w:tr>
        <w:trPr>
          <w:trHeight w:val="194"/>
        </w:trPr>
        <w:tc>
          <w:tcPr>
            <w:tcW w:w="20" w:type="dxa"/>
            <w:vAlign w:val="bottom"/>
          </w:tcPr>
          <w:p>
            <w:pPr>
              <w:spacing w:after="0"/>
              <w:rPr>
                <w:sz w:val="16"/>
                <w:szCs w:val="16"/>
                <w:color w:val="auto"/>
              </w:rPr>
            </w:pPr>
          </w:p>
        </w:tc>
        <w:tc>
          <w:tcPr>
            <w:tcW w:w="982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198,736</w:t>
            </w: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9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50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547,813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The weighted-average remaining useful life of the finite-lived intangible assets was approximately 10 years as of March 31, 2021.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hanging="253"/>
        <w:spacing w:after="0"/>
        <w:tabs>
          <w:tab w:leader="none" w:pos="2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Accrued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Accrued liabilities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06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2021</w:t>
            </w:r>
          </w:p>
        </w:tc>
        <w:tc>
          <w:tcPr>
            <w:tcW w:w="200" w:type="dxa"/>
            <w:vAlign w:val="bottom"/>
          </w:tcPr>
          <w:p>
            <w:pPr>
              <w:spacing w:after="0"/>
              <w:rPr>
                <w:sz w:val="15"/>
                <w:szCs w:val="15"/>
                <w:color w:val="auto"/>
              </w:rPr>
            </w:pPr>
          </w:p>
        </w:tc>
        <w:tc>
          <w:tcPr>
            <w:tcW w:w="1360" w:type="dxa"/>
            <w:vAlign w:val="bottom"/>
          </w:tcPr>
          <w:p>
            <w:pPr>
              <w:jc w:val="right"/>
              <w:ind w:right="249"/>
              <w:spacing w:after="0"/>
              <w:rPr>
                <w:sz w:val="20"/>
                <w:szCs w:val="20"/>
                <w:color w:val="auto"/>
              </w:rPr>
            </w:pPr>
            <w:r>
              <w:rPr>
                <w:rFonts w:ascii="Arial" w:cs="Arial" w:eastAsia="Arial" w:hAnsi="Arial"/>
                <w:sz w:val="12"/>
                <w:szCs w:val="12"/>
                <w:b w:val="1"/>
                <w:bCs w:val="1"/>
                <w:color w:val="auto"/>
                <w:w w:val="94"/>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Accrued employee compensation</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27,651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34,760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Legal reserves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2,751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2,751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Accrued interest expense</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764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Embedded derivatives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Professional fees</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13,744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Accrued utilities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2,397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1,864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Insurance accrual</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Accrued taxes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3,332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2,599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Accrued liabilities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56,373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60,518</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9.  Long-Term Debt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0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80" w:type="dxa"/>
            <w:vAlign w:val="bottom"/>
            <w:gridSpan w:val="3"/>
          </w:tcPr>
          <w:p>
            <w:pPr>
              <w:spacing w:after="0"/>
              <w:rPr>
                <w:sz w:val="20"/>
                <w:szCs w:val="20"/>
                <w:color w:val="auto"/>
              </w:rPr>
            </w:pPr>
            <w:r>
              <w:rPr>
                <w:rFonts w:ascii="Arial" w:cs="Arial" w:eastAsia="Arial" w:hAnsi="Arial"/>
                <w:sz w:val="15"/>
                <w:szCs w:val="15"/>
                <w:color w:val="auto"/>
              </w:rPr>
              <w:t>Long-term debt consisted of the following:</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06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2021</w:t>
            </w:r>
          </w:p>
        </w:tc>
        <w:tc>
          <w:tcPr>
            <w:tcW w:w="200" w:type="dxa"/>
            <w:vAlign w:val="bottom"/>
          </w:tcPr>
          <w:p>
            <w:pPr>
              <w:spacing w:after="0"/>
              <w:rPr>
                <w:sz w:val="15"/>
                <w:szCs w:val="15"/>
                <w:color w:val="auto"/>
              </w:rPr>
            </w:pPr>
          </w:p>
        </w:tc>
        <w:tc>
          <w:tcPr>
            <w:tcW w:w="1360" w:type="dxa"/>
            <w:vAlign w:val="bottom"/>
          </w:tcPr>
          <w:p>
            <w:pPr>
              <w:jc w:val="right"/>
              <w:ind w:right="249"/>
              <w:spacing w:after="0"/>
              <w:rPr>
                <w:sz w:val="20"/>
                <w:szCs w:val="20"/>
                <w:color w:val="auto"/>
              </w:rPr>
            </w:pPr>
            <w:r>
              <w:rPr>
                <w:rFonts w:ascii="Arial" w:cs="Arial" w:eastAsia="Arial" w:hAnsi="Arial"/>
                <w:sz w:val="12"/>
                <w:szCs w:val="12"/>
                <w:b w:val="1"/>
                <w:bCs w:val="1"/>
                <w:color w:val="auto"/>
                <w:w w:val="94"/>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6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Term loan, due 2026</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1,763,100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1,763,100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Senior notes, due 2026</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100,000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long-term debt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1,059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Total long-term debt</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1,864,159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1,863,550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Less unamortized debt issuance costs and debt discounts</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(26,579)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(38,761)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Total long-term debt, less debt issuance costs and debt discounts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1,837,580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1,824,789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Facilities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89" w:lineRule="exact"/>
        <w:rPr>
          <w:sz w:val="20"/>
          <w:szCs w:val="20"/>
          <w:color w:val="auto"/>
        </w:rPr>
      </w:pPr>
    </w:p>
    <w:p>
      <w:pPr>
        <w:ind w:right="200"/>
        <w:spacing w:after="0" w:line="288" w:lineRule="auto"/>
        <w:rPr>
          <w:sz w:val="20"/>
          <w:szCs w:val="20"/>
          <w:color w:val="auto"/>
        </w:rPr>
      </w:pPr>
      <w:r>
        <w:rPr>
          <w:rFonts w:ascii="Arial" w:cs="Arial" w:eastAsia="Arial" w:hAnsi="Arial"/>
          <w:sz w:val="13"/>
          <w:szCs w:val="13"/>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and the Revolving Credit Facility's original maturity date was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March 31, 2021 and December 31, 2020, total borrowings under the Term Loan were $1,763.1 million and $1,763.1 million, respectively, and there were no borrowings outstanding on the Revolving Credit Facility. The weighted average interest rate on borrowings under the Term Loan for the three months ended March 31, 2021 and March 31, 2020 was 3.73% and 6.18%, respectively.</w:t>
      </w:r>
    </w:p>
    <w:p>
      <w:pPr>
        <w:spacing w:after="0" w:line="311"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As of March 31, 2021 and December 31, 2020, capitalized debt issuance costs totaled $3.1 million and $3.4 million, respectively, and debt discounts totaled $20.0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60"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w:t>
      </w:r>
    </w:p>
    <w:p>
      <w:pPr>
        <w:spacing w:after="0" w:line="163" w:lineRule="exact"/>
        <w:rPr>
          <w:sz w:val="20"/>
          <w:szCs w:val="20"/>
          <w:color w:val="auto"/>
        </w:rPr>
      </w:pPr>
    </w:p>
    <w:p>
      <w:pPr>
        <w:ind w:right="60"/>
        <w:spacing w:after="0" w:line="333" w:lineRule="auto"/>
        <w:rPr>
          <w:sz w:val="20"/>
          <w:szCs w:val="20"/>
          <w:color w:val="auto"/>
        </w:rPr>
      </w:pPr>
      <w:r>
        <w:rPr>
          <w:rFonts w:ascii="Arial" w:cs="Arial" w:eastAsia="Arial" w:hAnsi="Arial"/>
          <w:sz w:val="13"/>
          <w:szCs w:val="13"/>
          <w:color w:val="auto"/>
        </w:rPr>
        <w:t>As of March 31, 2021 and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07" w:lineRule="exact"/>
        <w:rPr>
          <w:sz w:val="20"/>
          <w:szCs w:val="20"/>
          <w:color w:val="auto"/>
        </w:rPr>
      </w:pPr>
    </w:p>
    <w:p>
      <w:pPr>
        <w:jc w:val="both"/>
        <w:ind w:right="120"/>
        <w:spacing w:after="0" w:line="297" w:lineRule="auto"/>
        <w:rPr>
          <w:sz w:val="20"/>
          <w:szCs w:val="20"/>
          <w:color w:val="auto"/>
        </w:rPr>
      </w:pPr>
      <w:r>
        <w:rPr>
          <w:rFonts w:ascii="Arial" w:cs="Arial" w:eastAsia="Arial" w:hAnsi="Arial"/>
          <w:sz w:val="13"/>
          <w:szCs w:val="13"/>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3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Outstanding letters of credit are collateralized by encumbrances against the Revolving Credit Facility and the collateral pledged thereunder, or by cash placed on deposit with the issuing bank. As of March 31, 2021, the Company had $65.8 million of letters of credit issued against the Revolving Credit Facility, resulting in total availability under the Revolving Credit Facility of $281.7 million.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First Lien Notes</w:t>
      </w:r>
    </w:p>
    <w:p>
      <w:pPr>
        <w:spacing w:after="0" w:line="89"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for the three months ended March 31, 2021 was 7.00%.</w:t>
      </w:r>
    </w:p>
    <w:p>
      <w:pPr>
        <w:spacing w:after="0" w:line="160" w:lineRule="exact"/>
        <w:rPr>
          <w:sz w:val="20"/>
          <w:szCs w:val="20"/>
          <w:color w:val="auto"/>
        </w:rPr>
      </w:pPr>
    </w:p>
    <w:p>
      <w:pPr>
        <w:ind w:right="260"/>
        <w:spacing w:after="0" w:line="249" w:lineRule="auto"/>
        <w:rPr>
          <w:sz w:val="20"/>
          <w:szCs w:val="20"/>
          <w:color w:val="auto"/>
        </w:rPr>
      </w:pPr>
      <w:r>
        <w:rPr>
          <w:rFonts w:ascii="Arial" w:cs="Arial" w:eastAsia="Arial" w:hAnsi="Arial"/>
          <w:sz w:val="15"/>
          <w:szCs w:val="15"/>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60"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Such collateral securing the First Lien Notes ranks pari passu with that of the Senior Secured Credit Facilities.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333" w:lineRule="auto"/>
        <w:rPr>
          <w:sz w:val="20"/>
          <w:szCs w:val="20"/>
          <w:color w:val="auto"/>
        </w:rPr>
      </w:pPr>
      <w:r>
        <w:rPr>
          <w:rFonts w:ascii="Arial" w:cs="Arial" w:eastAsia="Arial" w:hAnsi="Arial"/>
          <w:sz w:val="13"/>
          <w:szCs w:val="13"/>
          <w:color w:val="auto"/>
        </w:rPr>
        <w:t>At March 31, 2021 and December 31, 2020, capitalized debt issuance costs were $0.8 million and $0.9 million, respectively, and debt discounts were $2.7 million and $2.8 million, respectively, related to the First Lien Notes, which are recorded as a reduction of debt on our Consolidated Balance Sheets and amortized into interest expense over the term of the debt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Debt Repayments</w:t>
      </w:r>
    </w:p>
    <w:p>
      <w:pPr>
        <w:spacing w:after="0" w:line="89"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On November 24, 2020, we closed our initial public offering (the "IPO”), in which we sold 53,590,000 shares of our common stock at a price of $23.00 per share, which included the full exercise by the underwriters of their option to purchase up to an additional 6,990,000 shares of common stock. We raised approximately $1.2 billion in net proceeds after deducting underwriters’ discounts and commissions. We used the net proceeds received by us from the IPO to (i) redeem $770.0 million in aggregate principal amount of the Second Lien Senior Secured Notes with an original maturity date of December 13, 2027 (the "Second Lien Notes”), plus accrued and unpaid interest thereon and $15.4 million of redemption premium, (ii) repurchase 1,568,445 shares of our common stock from certain of our executive officers at a purchase price per share equal to the IPO price per share of our common stock less an amount equal to the underwriting discounts and commissions payable thereon and (iii) repay $341.0 million of the outstanding indebtedness under the Term Loan, plus accrued and unpaid interest thereon. In connection with the debt repayments, we wrote off $28.9 million of debt issuance and discount costs and recognized $15.4 million in premiums paid for the early extinguishment of the Second Lien Notes. We recognized these costs within “Loss on extinguishment of debt” in our Consolidated Statements of Operations and Comprehensive Income (Loss) in the fourth quarter of 2020.</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Aggregate Maturities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Aggregate maturities of the Company’s long-term debt, excluding debt discounts, as of March 31, 2021,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94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8"/>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86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194"/>
        </w:trPr>
        <w:tc>
          <w:tcPr>
            <w:tcW w:w="1280" w:type="dxa"/>
            <w:vAlign w:val="bottom"/>
            <w:gridSpan w:val="2"/>
          </w:tcPr>
          <w:p>
            <w:pPr>
              <w:ind w:left="20"/>
              <w:spacing w:after="0"/>
              <w:rPr>
                <w:sz w:val="20"/>
                <w:szCs w:val="20"/>
                <w:color w:val="auto"/>
              </w:rPr>
            </w:pPr>
            <w:r>
              <w:rPr>
                <w:rFonts w:ascii="Arial" w:cs="Arial" w:eastAsia="Arial" w:hAnsi="Arial"/>
                <w:sz w:val="15"/>
                <w:szCs w:val="15"/>
                <w:color w:val="auto"/>
              </w:rPr>
              <w:t>2022</w:t>
            </w:r>
          </w:p>
        </w:tc>
        <w:tc>
          <w:tcPr>
            <w:tcW w:w="8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609</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8"/>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86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450</w:t>
            </w:r>
          </w:p>
        </w:tc>
      </w:tr>
      <w:tr>
        <w:trPr>
          <w:trHeight w:val="194"/>
        </w:trPr>
        <w:tc>
          <w:tcPr>
            <w:tcW w:w="1280" w:type="dxa"/>
            <w:vAlign w:val="bottom"/>
            <w:gridSpan w:val="2"/>
          </w:tcPr>
          <w:p>
            <w:pPr>
              <w:ind w:left="20"/>
              <w:spacing w:after="0"/>
              <w:rPr>
                <w:sz w:val="20"/>
                <w:szCs w:val="20"/>
                <w:color w:val="auto"/>
              </w:rPr>
            </w:pPr>
            <w:r>
              <w:rPr>
                <w:rFonts w:ascii="Arial" w:cs="Arial" w:eastAsia="Arial" w:hAnsi="Arial"/>
                <w:sz w:val="15"/>
                <w:szCs w:val="15"/>
                <w:color w:val="auto"/>
              </w:rPr>
              <w:t>2024</w:t>
            </w:r>
          </w:p>
        </w:tc>
        <w:tc>
          <w:tcPr>
            <w:tcW w:w="8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8"/>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86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194"/>
        </w:trPr>
        <w:tc>
          <w:tcPr>
            <w:tcW w:w="20" w:type="dxa"/>
            <w:vAlign w:val="bottom"/>
          </w:tcPr>
          <w:p>
            <w:pPr>
              <w:spacing w:after="0"/>
              <w:rPr>
                <w:sz w:val="16"/>
                <w:szCs w:val="16"/>
                <w:color w:val="auto"/>
              </w:rPr>
            </w:pPr>
          </w:p>
        </w:tc>
        <w:tc>
          <w:tcPr>
            <w:tcW w:w="994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1,863,100</w:t>
            </w: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1,864,159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60"/>
        <w:spacing w:after="0" w:line="333" w:lineRule="auto"/>
        <w:rPr>
          <w:sz w:val="20"/>
          <w:szCs w:val="20"/>
          <w:color w:val="auto"/>
        </w:rPr>
      </w:pPr>
      <w:r>
        <w:rPr>
          <w:rFonts w:ascii="Arial" w:cs="Arial" w:eastAsia="Arial" w:hAnsi="Arial"/>
          <w:sz w:val="13"/>
          <w:szCs w:val="13"/>
          <w:color w:val="auto"/>
        </w:rPr>
        <w:t>As referenced above, the Company utilized its IPO proceeds toward prepaying the Second Lien Notes in full as well as prepaying a portion of the Term Loan. The Term Loan prepayment amount eliminated all subsequent scheduled and outstanding repayments of the term borrowings resulting in no remaining short-term commitments.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Income Taxes</w:t>
      </w:r>
    </w:p>
    <w:p>
      <w:pPr>
        <w:spacing w:after="0" w:line="93"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60"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color w:val="auto"/>
        </w:rPr>
        <w:t>Our effective tax rate was 21.4 % and (86.0)% for the three months ended March 31, 2021 and 2020, respectively. Income tax expense for the three months ended March 31, 2021 differs from the statutory rate primarily due to the impact of the foreign rate differential, global intangible low-tax income (“GILTI”), and a net increase in the valuation allowance attributable to the limitation on the deductibility of interest expense. This was offset by a discrete item, which reversed the valuation allowance on deferred tax assets related to certain asset retirement obligations.</w:t>
      </w:r>
    </w:p>
    <w:p>
      <w:pPr>
        <w:spacing w:after="0" w:line="125" w:lineRule="exact"/>
        <w:rPr>
          <w:sz w:val="20"/>
          <w:szCs w:val="20"/>
          <w:color w:val="auto"/>
        </w:rPr>
      </w:pPr>
    </w:p>
    <w:p>
      <w:pPr>
        <w:ind w:right="120"/>
        <w:spacing w:after="0" w:line="333" w:lineRule="auto"/>
        <w:rPr>
          <w:sz w:val="20"/>
          <w:szCs w:val="20"/>
          <w:color w:val="auto"/>
        </w:rPr>
      </w:pPr>
      <w:r>
        <w:rPr>
          <w:rFonts w:ascii="Arial" w:cs="Arial" w:eastAsia="Arial" w:hAnsi="Arial"/>
          <w:sz w:val="13"/>
          <w:szCs w:val="13"/>
          <w:color w:val="auto"/>
        </w:rPr>
        <w:t>Income tax benefit for the three months ended March 31, 2020 differed from the statutory rate primarily due to the impact of the Coronavirus Aid, Relief, and Economic Security Act (the “CARES Act”), which increased the limitation on the deductibility of interest expense from 30% to 50% for tax years beginning in 2019 or 2020, and other provisions. The increased limitation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80"/>
        <w:spacing w:after="0" w:line="257" w:lineRule="auto"/>
        <w:rPr>
          <w:sz w:val="20"/>
          <w:szCs w:val="20"/>
          <w:color w:val="auto"/>
        </w:rPr>
      </w:pPr>
      <w:r>
        <w:rPr>
          <w:rFonts w:ascii="Arial" w:cs="Arial" w:eastAsia="Arial" w:hAnsi="Arial"/>
          <w:sz w:val="15"/>
          <w:szCs w:val="15"/>
          <w:color w:val="auto"/>
        </w:rPr>
        <w:t>resulted in a current tax benefit for the three months ended March 31, 2020 of $9.1 million. The increased limitation also resulted in a $5.6 million valuation allowance reversal in the three months ended March 31, 2020.</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Employee Benefits</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Defined benefit pension plan</w:t>
      </w:r>
    </w:p>
    <w:p>
      <w:pPr>
        <w:spacing w:after="0" w:line="89"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defined benefit plans for the three months ended March 31, 2021 and 2020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9"/>
              </w:rPr>
              <w:t>Three Months Ended March 31,</w:t>
            </w:r>
          </w:p>
        </w:tc>
        <w:tc>
          <w:tcPr>
            <w:tcW w:w="6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3"/>
                <w:szCs w:val="13"/>
                <w:color w:val="auto"/>
              </w:rPr>
            </w:pPr>
          </w:p>
        </w:tc>
        <w:tc>
          <w:tcPr>
            <w:tcW w:w="1080" w:type="dxa"/>
            <w:vAlign w:val="bottom"/>
          </w:tcPr>
          <w:p>
            <w:pPr>
              <w:jc w:val="right"/>
              <w:ind w:right="53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0"/>
              <w:spacing w:after="0"/>
              <w:rPr>
                <w:sz w:val="20"/>
                <w:szCs w:val="20"/>
                <w:color w:val="auto"/>
              </w:rPr>
            </w:pPr>
            <w:r>
              <w:rPr>
                <w:rFonts w:ascii="Arial" w:cs="Arial" w:eastAsia="Arial" w:hAnsi="Arial"/>
                <w:sz w:val="12"/>
                <w:szCs w:val="12"/>
                <w:b w:val="1"/>
                <w:bCs w:val="1"/>
                <w:color w:val="auto"/>
              </w:rPr>
              <w:t>2020</w:t>
            </w:r>
          </w:p>
        </w:tc>
      </w:tr>
      <w:tr>
        <w:trPr>
          <w:trHeight w:val="2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8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Service cost</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276</w:t>
            </w:r>
          </w:p>
        </w:tc>
      </w:tr>
      <w:tr>
        <w:trPr>
          <w:trHeight w:val="194"/>
        </w:trPr>
        <w:tc>
          <w:tcPr>
            <w:tcW w:w="20" w:type="dxa"/>
            <w:vAlign w:val="bottom"/>
          </w:tcPr>
          <w:p>
            <w:pPr>
              <w:spacing w:after="0"/>
              <w:rPr>
                <w:sz w:val="16"/>
                <w:szCs w:val="16"/>
                <w:color w:val="auto"/>
              </w:rPr>
            </w:pPr>
          </w:p>
        </w:tc>
        <w:tc>
          <w:tcPr>
            <w:tcW w:w="8320" w:type="dxa"/>
            <w:vAlign w:val="bottom"/>
            <w:gridSpan w:val="3"/>
          </w:tcPr>
          <w:p>
            <w:pPr>
              <w:spacing w:after="0"/>
              <w:rPr>
                <w:sz w:val="20"/>
                <w:szCs w:val="20"/>
                <w:color w:val="auto"/>
              </w:rPr>
            </w:pPr>
            <w:r>
              <w:rPr>
                <w:rFonts w:ascii="Arial" w:cs="Arial" w:eastAsia="Arial" w:hAnsi="Arial"/>
                <w:sz w:val="15"/>
                <w:szCs w:val="15"/>
                <w:color w:val="auto"/>
              </w:rPr>
              <w:t>Interest cost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1,613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2,007</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(3,557)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(3,599)</w:t>
            </w:r>
          </w:p>
        </w:tc>
      </w:tr>
      <w:tr>
        <w:trPr>
          <w:trHeight w:val="194"/>
        </w:trPr>
        <w:tc>
          <w:tcPr>
            <w:tcW w:w="20" w:type="dxa"/>
            <w:vAlign w:val="bottom"/>
          </w:tcPr>
          <w:p>
            <w:pPr>
              <w:spacing w:after="0"/>
              <w:rPr>
                <w:sz w:val="16"/>
                <w:szCs w:val="16"/>
                <w:color w:val="auto"/>
              </w:rPr>
            </w:pPr>
          </w:p>
        </w:tc>
        <w:tc>
          <w:tcPr>
            <w:tcW w:w="8320" w:type="dxa"/>
            <w:vAlign w:val="bottom"/>
            <w:gridSpan w:val="3"/>
          </w:tcPr>
          <w:p>
            <w:pPr>
              <w:spacing w:after="0"/>
              <w:rPr>
                <w:sz w:val="20"/>
                <w:szCs w:val="20"/>
                <w:color w:val="auto"/>
              </w:rPr>
            </w:pPr>
            <w:r>
              <w:rPr>
                <w:rFonts w:ascii="Arial" w:cs="Arial" w:eastAsia="Arial" w:hAnsi="Arial"/>
                <w:sz w:val="15"/>
                <w:szCs w:val="15"/>
                <w:color w:val="auto"/>
              </w:rPr>
              <w:t>Amortization of net actuarial loss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8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Net periodic benefit</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(1,379)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benefit plans</w:t>
      </w:r>
    </w:p>
    <w:p>
      <w:pPr>
        <w:spacing w:after="0" w:line="89" w:lineRule="exact"/>
        <w:rPr>
          <w:sz w:val="20"/>
          <w:szCs w:val="20"/>
          <w:color w:val="auto"/>
        </w:rPr>
      </w:pPr>
    </w:p>
    <w:p>
      <w:pPr>
        <w:jc w:val="both"/>
        <w:ind w:right="80"/>
        <w:spacing w:after="0" w:line="249" w:lineRule="auto"/>
        <w:rPr>
          <w:sz w:val="20"/>
          <w:szCs w:val="20"/>
          <w:color w:val="auto"/>
        </w:rPr>
      </w:pPr>
      <w:r>
        <w:rPr>
          <w:rFonts w:ascii="Arial" w:cs="Arial" w:eastAsia="Arial" w:hAnsi="Arial"/>
          <w:sz w:val="15"/>
          <w:szCs w:val="15"/>
          <w:color w:val="auto"/>
        </w:rPr>
        <w:t>Other benefit plans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The components of net periodic pension cost for the other benefit plans for the three months ended March 31, 2021 and 2020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9"/>
              </w:rPr>
              <w:t>Three Months Ended March 31,</w:t>
            </w:r>
          </w:p>
        </w:tc>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8260" w:type="dxa"/>
            <w:vAlign w:val="bottom"/>
            <w:gridSpan w:val="3"/>
          </w:tcPr>
          <w:p>
            <w:pPr>
              <w:spacing w:after="0"/>
              <w:rPr>
                <w:sz w:val="20"/>
                <w:szCs w:val="20"/>
                <w:color w:val="auto"/>
              </w:rPr>
            </w:pPr>
            <w:r>
              <w:rPr>
                <w:rFonts w:ascii="Arial" w:cs="Arial" w:eastAsia="Arial" w:hAnsi="Arial"/>
                <w:sz w:val="12"/>
                <w:szCs w:val="12"/>
                <w:i w:val="1"/>
                <w:iCs w:val="1"/>
                <w:color w:val="auto"/>
              </w:rPr>
              <w:t>(thousands of U.S. dollars)</w:t>
            </w:r>
          </w:p>
        </w:tc>
        <w:tc>
          <w:tcPr>
            <w:tcW w:w="360" w:type="dxa"/>
            <w:vAlign w:val="bottom"/>
          </w:tcPr>
          <w:p>
            <w:pPr>
              <w:spacing w:after="0"/>
              <w:rPr>
                <w:sz w:val="13"/>
                <w:szCs w:val="13"/>
                <w:color w:val="auto"/>
              </w:rPr>
            </w:pPr>
          </w:p>
        </w:tc>
        <w:tc>
          <w:tcPr>
            <w:tcW w:w="1120" w:type="dxa"/>
            <w:vAlign w:val="bottom"/>
          </w:tcPr>
          <w:p>
            <w:pPr>
              <w:jc w:val="right"/>
              <w:ind w:right="55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0"/>
              <w:spacing w:after="0"/>
              <w:rPr>
                <w:sz w:val="20"/>
                <w:szCs w:val="20"/>
                <w:color w:val="auto"/>
              </w:rPr>
            </w:pPr>
            <w:r>
              <w:rPr>
                <w:rFonts w:ascii="Arial" w:cs="Arial" w:eastAsia="Arial" w:hAnsi="Arial"/>
                <w:sz w:val="12"/>
                <w:szCs w:val="12"/>
                <w:b w:val="1"/>
                <w:bCs w:val="1"/>
                <w:color w:val="auto"/>
              </w:rPr>
              <w:t>2020</w:t>
            </w:r>
          </w:p>
        </w:tc>
      </w:tr>
      <w:tr>
        <w:trPr>
          <w:trHeight w:val="2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Service cost</w:t>
            </w:r>
          </w:p>
        </w:tc>
        <w:tc>
          <w:tcPr>
            <w:tcW w:w="36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94"/>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5"/>
                <w:szCs w:val="15"/>
                <w:color w:val="auto"/>
              </w:rPr>
              <w:t>Interest cost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Amortization of net actuarial (gain) loss</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08"/>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5"/>
                <w:szCs w:val="15"/>
                <w:b w:val="1"/>
                <w:bCs w:val="1"/>
                <w:color w:val="auto"/>
              </w:rPr>
              <w:t>Net periodic benefit cost</w:t>
            </w:r>
          </w:p>
        </w:tc>
        <w:tc>
          <w:tcPr>
            <w:tcW w:w="36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We currently expect funding requirements of approximately $2.8 million in each of the next five years to fund the regulatory solvency deficit, as defined by Canadian federal regulation, which require solvency testing on defined benefit pension plans.</w:t>
      </w:r>
    </w:p>
    <w:p>
      <w:pPr>
        <w:spacing w:after="0" w:line="153"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Company may obtain a qualifying letter of credit for solvency payments, up to 15% of the market value of solvency liabilities as determined on the valuation date, instead of paying cash into the pension fund. As of March 31, 2021, and December 31, 2020, we had letters of credit outstanding relating to the defined benefit plans totaling $42.6 million and $41.3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Related Parties</w:t>
      </w:r>
    </w:p>
    <w:p>
      <w:pPr>
        <w:spacing w:after="0" w:line="180"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We do business with a number of companies affiliated with Warburg Pincus and GTCR, which we refer to collectively as the “Sponsors,” who continue to have substantial control over us. All transactions with these companies have been conducted in the ordinary course of our business and are not material to our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Other Comprehensive Income (Loss)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Amounts in accumulated other comprehensive income (loss) are presented net of the related tax. Foreign currency translation is not adjusted for 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Changes in our accumulated other comprehensive income (loss) balances, net of applicable tax,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2"/>
              </w:rPr>
              <w:t>Defined</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Foreign</w:t>
            </w:r>
          </w:p>
        </w:tc>
        <w:tc>
          <w:tcPr>
            <w:tcW w:w="26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9"/>
              </w:rPr>
              <w:t>Interest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0"/>
              </w:rPr>
              <w:t>Benefit</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Currency</w:t>
            </w:r>
          </w:p>
        </w:tc>
        <w:tc>
          <w:tcPr>
            <w:tcW w:w="26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2"/>
              </w:rPr>
              <w:t>Rate</w:t>
            </w:r>
          </w:p>
        </w:tc>
        <w:tc>
          <w:tcPr>
            <w:tcW w:w="300" w:type="dxa"/>
            <w:vAlign w:val="bottom"/>
          </w:tcPr>
          <w:p>
            <w:pPr>
              <w:spacing w:after="0"/>
              <w:rPr>
                <w:sz w:val="13"/>
                <w:szCs w:val="13"/>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28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60" w:type="dxa"/>
            <w:vAlign w:val="bottom"/>
          </w:tcPr>
          <w:p>
            <w:pPr>
              <w:spacing w:after="0"/>
              <w:rPr>
                <w:sz w:val="12"/>
                <w:szCs w:val="12"/>
                <w:color w:val="auto"/>
              </w:rPr>
            </w:pPr>
          </w:p>
        </w:tc>
        <w:tc>
          <w:tcPr>
            <w:tcW w:w="1380" w:type="dxa"/>
            <w:vAlign w:val="bottom"/>
            <w:gridSpan w:val="2"/>
          </w:tcPr>
          <w:p>
            <w:pPr>
              <w:jc w:val="center"/>
              <w:ind w:right="600"/>
              <w:spacing w:after="0" w:line="141" w:lineRule="exact"/>
              <w:rPr>
                <w:sz w:val="20"/>
                <w:szCs w:val="20"/>
                <w:color w:val="auto"/>
              </w:rPr>
            </w:pPr>
            <w:r>
              <w:rPr>
                <w:rFonts w:ascii="Arial" w:cs="Arial" w:eastAsia="Arial" w:hAnsi="Arial"/>
                <w:sz w:val="13"/>
                <w:szCs w:val="13"/>
                <w:b w:val="1"/>
                <w:bCs w:val="1"/>
                <w:color w:val="auto"/>
                <w:w w:val="86"/>
              </w:rPr>
              <w:t>Plans</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1"/>
              </w:rPr>
              <w:t>Translation</w:t>
            </w:r>
          </w:p>
        </w:tc>
        <w:tc>
          <w:tcPr>
            <w:tcW w:w="260" w:type="dxa"/>
            <w:vAlign w:val="bottom"/>
          </w:tcPr>
          <w:p>
            <w:pPr>
              <w:spacing w:after="0"/>
              <w:rPr>
                <w:sz w:val="12"/>
                <w:szCs w:val="12"/>
                <w:color w:val="auto"/>
              </w:rPr>
            </w:pPr>
          </w:p>
        </w:tc>
        <w:tc>
          <w:tcPr>
            <w:tcW w:w="1360" w:type="dxa"/>
            <w:vAlign w:val="bottom"/>
            <w:gridSpan w:val="2"/>
          </w:tcPr>
          <w:p>
            <w:pPr>
              <w:jc w:val="center"/>
              <w:ind w:right="580"/>
              <w:spacing w:after="0" w:line="141" w:lineRule="exact"/>
              <w:rPr>
                <w:sz w:val="20"/>
                <w:szCs w:val="20"/>
                <w:color w:val="auto"/>
              </w:rPr>
            </w:pPr>
            <w:r>
              <w:rPr>
                <w:rFonts w:ascii="Arial" w:cs="Arial" w:eastAsia="Arial" w:hAnsi="Arial"/>
                <w:sz w:val="13"/>
                <w:szCs w:val="13"/>
                <w:b w:val="1"/>
                <w:bCs w:val="1"/>
                <w:color w:val="auto"/>
                <w:w w:val="82"/>
              </w:rPr>
              <w:t>Swaps</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 – January 1, 2021</w:t>
            </w: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(44,143)</w:t>
            </w: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(49,699)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(93,842)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gridSpan w:val="2"/>
          </w:tcPr>
          <w:p>
            <w:pPr>
              <w:ind w:left="180"/>
              <w:spacing w:after="0"/>
              <w:rPr>
                <w:sz w:val="20"/>
                <w:szCs w:val="20"/>
                <w:color w:val="auto"/>
              </w:rPr>
            </w:pPr>
            <w:r>
              <w:rPr>
                <w:rFonts w:ascii="Arial" w:cs="Arial" w:eastAsia="Arial" w:hAnsi="Arial"/>
                <w:sz w:val="15"/>
                <w:szCs w:val="15"/>
                <w:color w:val="auto"/>
              </w:rPr>
              <w:t>Other comprehensive income (loss) before</w:t>
            </w: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(3,595)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gridSpan w:val="2"/>
          </w:tcPr>
          <w:p>
            <w:pPr>
              <w:ind w:left="400"/>
              <w:spacing w:after="0"/>
              <w:rPr>
                <w:sz w:val="20"/>
                <w:szCs w:val="20"/>
                <w:color w:val="auto"/>
              </w:rPr>
            </w:pPr>
            <w:r>
              <w:rPr>
                <w:rFonts w:ascii="Arial" w:cs="Arial" w:eastAsia="Arial" w:hAnsi="Arial"/>
                <w:sz w:val="15"/>
                <w:szCs w:val="15"/>
                <w:color w:val="auto"/>
              </w:rPr>
              <w:t>reclassifications</w:t>
            </w: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Amounts reclassified from accumulated other</w:t>
            </w:r>
          </w:p>
        </w:tc>
        <w:tc>
          <w:tcPr>
            <w:tcW w:w="26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ind w:left="780"/>
              <w:spacing w:after="0"/>
              <w:rPr>
                <w:sz w:val="20"/>
                <w:szCs w:val="20"/>
                <w:color w:val="auto"/>
              </w:rPr>
            </w:pPr>
            <w:r>
              <w:rPr>
                <w:rFonts w:ascii="Arial" w:cs="Arial" w:eastAsia="Arial" w:hAnsi="Arial"/>
                <w:sz w:val="15"/>
                <w:szCs w:val="15"/>
                <w:b w:val="1"/>
                <w:bCs w:val="1"/>
                <w:color w:val="auto"/>
              </w:rPr>
              <w:t xml:space="preserve">275 </w:t>
            </w:r>
            <w:r>
              <w:rPr>
                <w:rFonts w:ascii="Arial" w:cs="Arial" w:eastAsia="Arial" w:hAnsi="Arial"/>
                <w:sz w:val="9"/>
                <w:szCs w:val="9"/>
                <w:color w:val="auto"/>
              </w:rPr>
              <w:t>(a)</w:t>
            </w:r>
          </w:p>
        </w:tc>
        <w:tc>
          <w:tcPr>
            <w:tcW w:w="2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275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5"/>
                <w:szCs w:val="15"/>
                <w:color w:val="auto"/>
              </w:rPr>
              <w:t>comprehensive income (loss)</w:t>
            </w:r>
          </w:p>
        </w:tc>
        <w:tc>
          <w:tcPr>
            <w:tcW w:w="2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Net current-period other comprehensive income (loss)</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(249)</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(3,071)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(3,320)</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 – March 31, 2021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(44,392)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(52,770)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(97,162)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 – January 1, 2020</w:t>
            </w: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(27,113)</w:t>
            </w: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(67,453)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(94,387)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gridSpan w:val="2"/>
          </w:tcPr>
          <w:p>
            <w:pPr>
              <w:ind w:left="180"/>
              <w:spacing w:after="0"/>
              <w:rPr>
                <w:sz w:val="20"/>
                <w:szCs w:val="20"/>
                <w:color w:val="auto"/>
              </w:rPr>
            </w:pPr>
            <w:r>
              <w:rPr>
                <w:rFonts w:ascii="Arial" w:cs="Arial" w:eastAsia="Arial" w:hAnsi="Arial"/>
                <w:sz w:val="15"/>
                <w:szCs w:val="15"/>
                <w:color w:val="auto"/>
              </w:rPr>
              <w:t>Other comprehensive income (loss) before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gridSpan w:val="2"/>
          </w:tcPr>
          <w:p>
            <w:pPr>
              <w:ind w:left="400"/>
              <w:spacing w:after="0"/>
              <w:rPr>
                <w:sz w:val="20"/>
                <w:szCs w:val="20"/>
                <w:color w:val="auto"/>
              </w:rPr>
            </w:pPr>
            <w:r>
              <w:rPr>
                <w:rFonts w:ascii="Arial" w:cs="Arial" w:eastAsia="Arial" w:hAnsi="Arial"/>
                <w:sz w:val="15"/>
                <w:szCs w:val="15"/>
                <w:color w:val="auto"/>
              </w:rPr>
              <w:t>reclassifications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2,207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(72,967)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(3,292)</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(74,052)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Amounts reclassified from accumulated other</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5"/>
                <w:szCs w:val="15"/>
                <w:color w:val="auto"/>
              </w:rPr>
              <w:t>comprehensive income (loss)</w:t>
            </w:r>
          </w:p>
        </w:tc>
        <w:tc>
          <w:tcPr>
            <w:tcW w:w="2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5"/>
                <w:szCs w:val="15"/>
                <w:color w:val="auto"/>
              </w:rPr>
              <w:t xml:space="preserve">(187) </w:t>
            </w:r>
            <w:r>
              <w:rPr>
                <w:rFonts w:ascii="Arial" w:cs="Arial" w:eastAsia="Arial" w:hAnsi="Arial"/>
                <w:sz w:val="9"/>
                <w:szCs w:val="9"/>
                <w:color w:val="auto"/>
              </w:rPr>
              <w:t>(b)</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Net current-period other comprehensive income (loss)</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2,207</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(72,967)</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(3,479)</w:t>
            </w:r>
          </w:p>
        </w:tc>
        <w:tc>
          <w:tcPr>
            <w:tcW w:w="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(74,239)</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 – March 31, 2020</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(24,906)</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(140,420)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(3,300)</w:t>
            </w: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(168,626)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00" w:right="160" w:hanging="393"/>
        <w:spacing w:after="0" w:line="248" w:lineRule="auto"/>
        <w:tabs>
          <w:tab w:leader="none" w:pos="398"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 defined benefit pension plans, amounts reclassified from accumulated other comprehensive income (loss) are recorded to “Other income, net” within the Consolidated Statements of Operations and Comprehensive Income (Loss).</w:t>
      </w:r>
    </w:p>
    <w:p>
      <w:pPr>
        <w:ind w:left="400" w:right="640" w:hanging="393"/>
        <w:spacing w:after="0" w:line="244" w:lineRule="auto"/>
        <w:tabs>
          <w:tab w:leader="none" w:pos="395"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 interest rate swaps, amounts reclassified from accumulated other comprehensive income (loss) are recorded to “Interest expense, net” within the Consolidated Statements of Operations and Comprehensive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Share-Based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Pre-IPO Awards</w:t>
      </w:r>
    </w:p>
    <w:p>
      <w:pPr>
        <w:spacing w:after="0" w:line="176"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Restricted stock distributed in respect of pre-IPO Class B-1 time vesting units vests on a daily basis pro rata over the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31"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twenty percent, subject to such grantee’s continued services through such date.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March 31, 2021, these awards remain unvested.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We recognized $0.7 million and $1.7 million of share-based compensation expense related to the pre-IPO Class B-1 awards for the three months ended March 31, 2021 and 2020, respectively.</w:t>
      </w:r>
    </w:p>
    <w:p>
      <w:pPr>
        <w:spacing w:after="0" w:line="199" w:lineRule="exact"/>
        <w:rPr>
          <w:sz w:val="20"/>
          <w:szCs w:val="20"/>
          <w:color w:val="auto"/>
        </w:rPr>
      </w:pPr>
    </w:p>
    <w:p>
      <w:pPr>
        <w:ind w:right="480"/>
        <w:spacing w:after="0" w:line="257" w:lineRule="auto"/>
        <w:rPr>
          <w:sz w:val="20"/>
          <w:szCs w:val="20"/>
          <w:color w:val="auto"/>
        </w:rPr>
      </w:pPr>
      <w:r>
        <w:rPr>
          <w:rFonts w:ascii="Arial" w:cs="Arial" w:eastAsia="Arial" w:hAnsi="Arial"/>
          <w:sz w:val="15"/>
          <w:szCs w:val="15"/>
          <w:color w:val="auto"/>
        </w:rPr>
        <w:t>A summary of the activity for the three months ended March 31, 2021 related to the restricted stock awards distributed to the Company service providers in respect of the pre-IPO awards (Class B-1 and B-2 Units)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40" w:type="dxa"/>
            <w:vAlign w:val="bottom"/>
          </w:tcPr>
          <w:p>
            <w:pPr>
              <w:spacing w:after="0"/>
              <w:rPr>
                <w:sz w:val="12"/>
                <w:szCs w:val="12"/>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Restricted</w:t>
            </w: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88"/>
              </w:rPr>
              <w:t>Restricted</w:t>
            </w:r>
          </w:p>
        </w:tc>
      </w:tr>
      <w:tr>
        <w:trPr>
          <w:trHeight w:val="131"/>
        </w:trPr>
        <w:tc>
          <w:tcPr>
            <w:tcW w:w="8340" w:type="dxa"/>
            <w:vAlign w:val="bottom"/>
          </w:tcPr>
          <w:p>
            <w:pPr>
              <w:spacing w:after="0"/>
              <w:rPr>
                <w:sz w:val="11"/>
                <w:szCs w:val="11"/>
                <w:color w:val="auto"/>
              </w:rPr>
            </w:pPr>
          </w:p>
        </w:tc>
        <w:tc>
          <w:tcPr>
            <w:tcW w:w="150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86"/>
              </w:rPr>
              <w:t>Stock - Pre-</w:t>
            </w:r>
          </w:p>
        </w:tc>
        <w:tc>
          <w:tcPr>
            <w:tcW w:w="14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6"/>
              </w:rPr>
              <w:t>Stock - Pre-</w:t>
            </w:r>
          </w:p>
        </w:tc>
      </w:tr>
      <w:tr>
        <w:trPr>
          <w:trHeight w:val="149"/>
        </w:trPr>
        <w:tc>
          <w:tcPr>
            <w:tcW w:w="8340" w:type="dxa"/>
            <w:vAlign w:val="bottom"/>
          </w:tcPr>
          <w:p>
            <w:pPr>
              <w:spacing w:after="0"/>
              <w:rPr>
                <w:sz w:val="12"/>
                <w:szCs w:val="12"/>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IPO B-1</w:t>
            </w: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2"/>
              </w:rPr>
              <w:t>IPO B-2</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2,201,239</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2,323,333</w:t>
            </w:r>
          </w:p>
        </w:tc>
      </w:tr>
      <w:tr>
        <w:trPr>
          <w:trHeight w:val="194"/>
        </w:trPr>
        <w:tc>
          <w:tcPr>
            <w:tcW w:w="8340" w:type="dxa"/>
            <w:vAlign w:val="bottom"/>
          </w:tcPr>
          <w:p>
            <w:pPr>
              <w:ind w:left="200"/>
              <w:spacing w:after="0"/>
              <w:rPr>
                <w:sz w:val="20"/>
                <w:szCs w:val="20"/>
                <w:color w:val="auto"/>
              </w:rPr>
            </w:pPr>
            <w:r>
              <w:rPr>
                <w:rFonts w:ascii="Arial" w:cs="Arial" w:eastAsia="Arial" w:hAnsi="Arial"/>
                <w:sz w:val="15"/>
                <w:szCs w:val="15"/>
                <w:color w:val="auto"/>
              </w:rPr>
              <w:t>Forfeited</w:t>
            </w:r>
          </w:p>
        </w:tc>
        <w:tc>
          <w:tcPr>
            <w:tcW w:w="1420" w:type="dxa"/>
            <w:vAlign w:val="bottom"/>
          </w:tcPr>
          <w:p>
            <w:pPr>
              <w:jc w:val="right"/>
              <w:spacing w:after="0"/>
              <w:rPr>
                <w:sz w:val="20"/>
                <w:szCs w:val="20"/>
                <w:color w:val="auto"/>
              </w:rPr>
            </w:pPr>
            <w:r>
              <w:rPr>
                <w:rFonts w:ascii="Arial" w:cs="Arial" w:eastAsia="Arial" w:hAnsi="Arial"/>
                <w:sz w:val="15"/>
                <w:szCs w:val="15"/>
                <w:color w:val="auto"/>
              </w:rPr>
              <w:t>(43,361)</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(254,839)</w:t>
            </w:r>
          </w:p>
        </w:tc>
      </w:tr>
      <w:tr>
        <w:trPr>
          <w:trHeight w:val="23"/>
        </w:trPr>
        <w:tc>
          <w:tcPr>
            <w:tcW w:w="8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(228,862)</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b w:val="1"/>
                <w:bCs w:val="1"/>
                <w:color w:val="auto"/>
              </w:rPr>
              <w:t>Unvested at March 31,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1,929,016</w:t>
            </w:r>
          </w:p>
        </w:tc>
        <w:tc>
          <w:tcPr>
            <w:tcW w:w="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2,068,494</w:t>
            </w:r>
          </w:p>
        </w:tc>
      </w:tr>
      <w:tr>
        <w:trPr>
          <w:trHeight w:val="20"/>
        </w:trPr>
        <w:tc>
          <w:tcPr>
            <w:tcW w:w="8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2020 Omnibus Incentive Plan</w:t>
      </w:r>
    </w:p>
    <w:p>
      <w:pPr>
        <w:spacing w:after="0" w:line="176"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We recognized $2.8 million ($1.3 million for stock options and $1.5 million for RSUs) of share-based compensation expense for these awards in our Consolidated Statements of Operations and Comprehensive Income (Loss), in “Selling, general and administrative expenses,” for the three months ended March 31, 2021.</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Stock options have a four-year vesting period, an exercise price equal to the fair market value of a share of common stock on the date of grant, and a contractual term of 10 years. The following table summarizes our stock option activity: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3"/>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50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89"/>
              </w:rPr>
              <w:t>Number of</w:t>
            </w:r>
          </w:p>
        </w:tc>
        <w:tc>
          <w:tcPr>
            <w:tcW w:w="240" w:type="dxa"/>
            <w:vAlign w:val="bottom"/>
          </w:tcPr>
          <w:p>
            <w:pPr>
              <w:spacing w:after="0"/>
              <w:rPr>
                <w:sz w:val="11"/>
                <w:szCs w:val="11"/>
                <w:color w:val="auto"/>
              </w:rPr>
            </w:pPr>
          </w:p>
        </w:tc>
        <w:tc>
          <w:tcPr>
            <w:tcW w:w="1200" w:type="dxa"/>
            <w:vAlign w:val="bottom"/>
          </w:tcPr>
          <w:p>
            <w:pPr>
              <w:jc w:val="center"/>
              <w:ind w:right="173"/>
              <w:spacing w:after="0" w:line="131"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240" w:type="dxa"/>
            <w:vAlign w:val="bottom"/>
          </w:tcPr>
          <w:p>
            <w:pPr>
              <w:spacing w:after="0"/>
              <w:rPr>
                <w:sz w:val="12"/>
                <w:szCs w:val="12"/>
                <w:color w:val="auto"/>
              </w:rPr>
            </w:pPr>
          </w:p>
        </w:tc>
        <w:tc>
          <w:tcPr>
            <w:tcW w:w="1200" w:type="dxa"/>
            <w:vAlign w:val="bottom"/>
          </w:tcPr>
          <w:p>
            <w:pPr>
              <w:jc w:val="center"/>
              <w:ind w:right="153"/>
              <w:spacing w:after="0"/>
              <w:rPr>
                <w:sz w:val="20"/>
                <w:szCs w:val="20"/>
                <w:color w:val="auto"/>
              </w:rPr>
            </w:pPr>
            <w:r>
              <w:rPr>
                <w:rFonts w:ascii="Arial" w:cs="Arial" w:eastAsia="Arial" w:hAnsi="Arial"/>
                <w:sz w:val="12"/>
                <w:szCs w:val="12"/>
                <w:b w:val="1"/>
                <w:bCs w:val="1"/>
                <w:color w:val="auto"/>
                <w:w w:val="85"/>
              </w:rPr>
              <w:t>Exercise Price</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At December 31, 2020</w:t>
            </w:r>
          </w:p>
        </w:tc>
        <w:tc>
          <w:tcPr>
            <w:tcW w:w="6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2,389,258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194"/>
        </w:trPr>
        <w:tc>
          <w:tcPr>
            <w:tcW w:w="3460" w:type="dxa"/>
            <w:vAlign w:val="bottom"/>
          </w:tcPr>
          <w:p>
            <w:pPr>
              <w:ind w:left="200"/>
              <w:spacing w:after="0"/>
              <w:rPr>
                <w:sz w:val="20"/>
                <w:szCs w:val="20"/>
                <w:color w:val="auto"/>
              </w:rPr>
            </w:pPr>
            <w:r>
              <w:rPr>
                <w:rFonts w:ascii="Arial" w:cs="Arial" w:eastAsia="Arial" w:hAnsi="Arial"/>
                <w:sz w:val="15"/>
                <w:szCs w:val="15"/>
                <w:color w:val="auto"/>
              </w:rPr>
              <w:t>Granted</w:t>
            </w:r>
          </w:p>
        </w:tc>
        <w:tc>
          <w:tcPr>
            <w:tcW w:w="6300" w:type="dxa"/>
            <w:vAlign w:val="bottom"/>
            <w:gridSpan w:val="2"/>
          </w:tcPr>
          <w:p>
            <w:pPr>
              <w:jc w:val="right"/>
              <w:spacing w:after="0"/>
              <w:rPr>
                <w:sz w:val="20"/>
                <w:szCs w:val="20"/>
                <w:color w:val="auto"/>
              </w:rPr>
            </w:pPr>
            <w:r>
              <w:rPr>
                <w:rFonts w:ascii="Arial" w:cs="Arial" w:eastAsia="Arial" w:hAnsi="Arial"/>
                <w:sz w:val="15"/>
                <w:szCs w:val="15"/>
                <w:color w:val="auto"/>
              </w:rPr>
              <w:t>20,407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26.26</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Forfeited</w:t>
            </w:r>
          </w:p>
        </w:tc>
        <w:tc>
          <w:tcPr>
            <w:tcW w:w="6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(9,316)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194"/>
        </w:trPr>
        <w:tc>
          <w:tcPr>
            <w:tcW w:w="3460" w:type="dxa"/>
            <w:vAlign w:val="bottom"/>
          </w:tcPr>
          <w:p>
            <w:pPr>
              <w:ind w:left="200"/>
              <w:spacing w:after="0"/>
              <w:rPr>
                <w:sz w:val="20"/>
                <w:szCs w:val="20"/>
                <w:color w:val="auto"/>
              </w:rPr>
            </w:pPr>
            <w:r>
              <w:rPr>
                <w:rFonts w:ascii="Arial" w:cs="Arial" w:eastAsia="Arial" w:hAnsi="Arial"/>
                <w:sz w:val="15"/>
                <w:szCs w:val="15"/>
                <w:color w:val="auto"/>
              </w:rPr>
              <w:t>Exercised</w:t>
            </w:r>
          </w:p>
        </w:tc>
        <w:tc>
          <w:tcPr>
            <w:tcW w:w="48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At March 31, 2021</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2,400,349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23.03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547"/>
              <w:spacing w:after="0"/>
              <w:rPr>
                <w:sz w:val="20"/>
                <w:szCs w:val="20"/>
                <w:color w:val="auto"/>
              </w:rPr>
            </w:pPr>
            <w:r>
              <w:rPr>
                <w:rFonts w:ascii="Arial" w:cs="Arial" w:eastAsia="Arial" w:hAnsi="Arial"/>
                <w:sz w:val="15"/>
                <w:szCs w:val="15"/>
                <w:color w:val="auto"/>
              </w:rPr>
              <w:t>20</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4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46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RSUs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RSUs generally vest ratably over a period of one to four years and are valued based on our market price on the date of grant. The following table summarizes our unvested RSUs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54"/>
              <w:spacing w:after="0"/>
              <w:rPr>
                <w:sz w:val="20"/>
                <w:szCs w:val="20"/>
                <w:color w:val="auto"/>
              </w:rPr>
            </w:pPr>
            <w:r>
              <w:rPr>
                <w:rFonts w:ascii="Arial" w:cs="Arial" w:eastAsia="Arial" w:hAnsi="Arial"/>
                <w:sz w:val="12"/>
                <w:szCs w:val="12"/>
                <w:b w:val="1"/>
                <w:bCs w:val="1"/>
                <w:color w:val="auto"/>
                <w:w w:val="89"/>
              </w:rPr>
              <w:t>Weighted-</w:t>
            </w:r>
          </w:p>
        </w:tc>
      </w:tr>
      <w:tr>
        <w:trPr>
          <w:trHeight w:val="131"/>
        </w:trPr>
        <w:tc>
          <w:tcPr>
            <w:tcW w:w="8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54"/>
              <w:spacing w:after="0" w:line="131" w:lineRule="exact"/>
              <w:rPr>
                <w:sz w:val="20"/>
                <w:szCs w:val="20"/>
                <w:color w:val="auto"/>
              </w:rPr>
            </w:pPr>
            <w:r>
              <w:rPr>
                <w:rFonts w:ascii="Arial" w:cs="Arial" w:eastAsia="Arial" w:hAnsi="Arial"/>
                <w:sz w:val="12"/>
                <w:szCs w:val="12"/>
                <w:b w:val="1"/>
                <w:bCs w:val="1"/>
                <w:color w:val="auto"/>
                <w:w w:val="89"/>
              </w:rPr>
              <w:t>average Grant</w:t>
            </w:r>
          </w:p>
        </w:tc>
      </w:tr>
      <w:tr>
        <w:trPr>
          <w:trHeight w:val="131"/>
        </w:trPr>
        <w:tc>
          <w:tcPr>
            <w:tcW w:w="8340" w:type="dxa"/>
            <w:vAlign w:val="bottom"/>
          </w:tcPr>
          <w:p>
            <w:pPr>
              <w:spacing w:after="0"/>
              <w:rPr>
                <w:sz w:val="11"/>
                <w:szCs w:val="11"/>
                <w:color w:val="auto"/>
              </w:rPr>
            </w:pPr>
          </w:p>
        </w:tc>
        <w:tc>
          <w:tcPr>
            <w:tcW w:w="150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1220" w:type="dxa"/>
            <w:vAlign w:val="bottom"/>
          </w:tcPr>
          <w:p>
            <w:pPr>
              <w:jc w:val="center"/>
              <w:ind w:right="154"/>
              <w:spacing w:after="0" w:line="131" w:lineRule="exact"/>
              <w:rPr>
                <w:sz w:val="20"/>
                <w:szCs w:val="20"/>
                <w:color w:val="auto"/>
              </w:rPr>
            </w:pPr>
            <w:r>
              <w:rPr>
                <w:rFonts w:ascii="Arial" w:cs="Arial" w:eastAsia="Arial" w:hAnsi="Arial"/>
                <w:sz w:val="12"/>
                <w:szCs w:val="12"/>
                <w:b w:val="1"/>
                <w:bCs w:val="1"/>
                <w:color w:val="auto"/>
                <w:w w:val="93"/>
              </w:rPr>
              <w:t>Date Fair</w:t>
            </w:r>
          </w:p>
        </w:tc>
      </w:tr>
      <w:tr>
        <w:trPr>
          <w:trHeight w:val="149"/>
        </w:trPr>
        <w:tc>
          <w:tcPr>
            <w:tcW w:w="8340" w:type="dxa"/>
            <w:vAlign w:val="bottom"/>
          </w:tcPr>
          <w:p>
            <w:pPr>
              <w:spacing w:after="0"/>
              <w:rPr>
                <w:sz w:val="12"/>
                <w:szCs w:val="12"/>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220" w:type="dxa"/>
            <w:vAlign w:val="bottom"/>
          </w:tcPr>
          <w:p>
            <w:pPr>
              <w:spacing w:after="0"/>
              <w:rPr>
                <w:sz w:val="12"/>
                <w:szCs w:val="12"/>
                <w:color w:val="auto"/>
              </w:rPr>
            </w:pPr>
          </w:p>
        </w:tc>
        <w:tc>
          <w:tcPr>
            <w:tcW w:w="1220" w:type="dxa"/>
            <w:vAlign w:val="bottom"/>
          </w:tcPr>
          <w:p>
            <w:pPr>
              <w:jc w:val="center"/>
              <w:ind w:right="154"/>
              <w:spacing w:after="0"/>
              <w:rPr>
                <w:sz w:val="20"/>
                <w:szCs w:val="20"/>
                <w:color w:val="auto"/>
              </w:rPr>
            </w:pPr>
            <w:r>
              <w:rPr>
                <w:rFonts w:ascii="Arial" w:cs="Arial" w:eastAsia="Arial" w:hAnsi="Arial"/>
                <w:sz w:val="12"/>
                <w:szCs w:val="12"/>
                <w:b w:val="1"/>
                <w:bCs w:val="1"/>
                <w:color w:val="auto"/>
                <w:w w:val="87"/>
              </w:rPr>
              <w:t>Value</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771,276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23.00</w:t>
            </w:r>
          </w:p>
        </w:tc>
      </w:tr>
      <w:tr>
        <w:trPr>
          <w:trHeight w:val="194"/>
        </w:trPr>
        <w:tc>
          <w:tcPr>
            <w:tcW w:w="8340" w:type="dxa"/>
            <w:vAlign w:val="bottom"/>
          </w:tcPr>
          <w:p>
            <w:pPr>
              <w:ind w:left="200"/>
              <w:spacing w:after="0"/>
              <w:rPr>
                <w:sz w:val="20"/>
                <w:szCs w:val="20"/>
                <w:color w:val="auto"/>
              </w:rPr>
            </w:pPr>
            <w:r>
              <w:rPr>
                <w:rFonts w:ascii="Arial" w:cs="Arial" w:eastAsia="Arial" w:hAnsi="Arial"/>
                <w:sz w:val="15"/>
                <w:szCs w:val="15"/>
                <w:color w:val="auto"/>
              </w:rPr>
              <w:t>Granted</w:t>
            </w:r>
          </w:p>
        </w:tc>
        <w:tc>
          <w:tcPr>
            <w:tcW w:w="1420" w:type="dxa"/>
            <w:vAlign w:val="bottom"/>
          </w:tcPr>
          <w:p>
            <w:pPr>
              <w:jc w:val="right"/>
              <w:spacing w:after="0"/>
              <w:rPr>
                <w:sz w:val="20"/>
                <w:szCs w:val="20"/>
                <w:color w:val="auto"/>
              </w:rPr>
            </w:pPr>
            <w:r>
              <w:rPr>
                <w:rFonts w:ascii="Arial" w:cs="Arial" w:eastAsia="Arial" w:hAnsi="Arial"/>
                <w:sz w:val="15"/>
                <w:szCs w:val="15"/>
                <w:color w:val="auto"/>
              </w:rPr>
              <w:t>10,851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26.03</w:t>
            </w:r>
          </w:p>
        </w:tc>
      </w:tr>
      <w:tr>
        <w:trPr>
          <w:trHeight w:val="23"/>
        </w:trPr>
        <w:tc>
          <w:tcPr>
            <w:tcW w:w="8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8"/>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(24,999)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23.00</w:t>
            </w:r>
          </w:p>
        </w:tc>
      </w:tr>
      <w:tr>
        <w:trPr>
          <w:trHeight w:val="194"/>
        </w:trPr>
        <w:tc>
          <w:tcPr>
            <w:tcW w:w="8340" w:type="dxa"/>
            <w:vAlign w:val="bottom"/>
          </w:tcPr>
          <w:p>
            <w:pPr>
              <w:ind w:left="200"/>
              <w:spacing w:after="0"/>
              <w:rPr>
                <w:sz w:val="20"/>
                <w:szCs w:val="20"/>
                <w:color w:val="auto"/>
              </w:rPr>
            </w:pPr>
            <w:r>
              <w:rPr>
                <w:rFonts w:ascii="Arial" w:cs="Arial" w:eastAsia="Arial" w:hAnsi="Arial"/>
                <w:sz w:val="15"/>
                <w:szCs w:val="15"/>
                <w:color w:val="auto"/>
              </w:rPr>
              <w:t>Vested</w:t>
            </w:r>
          </w:p>
        </w:tc>
        <w:tc>
          <w:tcPr>
            <w:tcW w:w="1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
        </w:trPr>
        <w:tc>
          <w:tcPr>
            <w:tcW w:w="8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Unvested at March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757,128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23.05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Earnings (Loss) Per Share</w:t>
      </w:r>
    </w:p>
    <w:p>
      <w:pPr>
        <w:spacing w:after="0" w:line="93" w:lineRule="exact"/>
        <w:rPr>
          <w:sz w:val="20"/>
          <w:szCs w:val="20"/>
          <w:color w:val="auto"/>
        </w:rPr>
      </w:pPr>
    </w:p>
    <w:p>
      <w:pPr>
        <w:jc w:val="both"/>
        <w:ind w:right="220"/>
        <w:spacing w:after="0" w:line="306" w:lineRule="auto"/>
        <w:rPr>
          <w:sz w:val="20"/>
          <w:szCs w:val="20"/>
          <w:color w:val="auto"/>
        </w:rPr>
      </w:pPr>
      <w:r>
        <w:rPr>
          <w:rFonts w:ascii="Arial" w:cs="Arial" w:eastAsia="Arial" w:hAnsi="Arial"/>
          <w:sz w:val="13"/>
          <w:szCs w:val="13"/>
          <w:color w:val="auto"/>
        </w:rPr>
        <w:t>Basic earnings (loss) per share represents the amount of income (loss) attributable to each common share outstanding. Diluted earnings (loss) per share represents the amount of income (loss)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25" w:lineRule="exact"/>
        <w:rPr>
          <w:sz w:val="20"/>
          <w:szCs w:val="20"/>
          <w:color w:val="auto"/>
        </w:rPr>
      </w:pPr>
    </w:p>
    <w:p>
      <w:pPr>
        <w:jc w:val="both"/>
        <w:ind w:right="160"/>
        <w:spacing w:after="0" w:line="297" w:lineRule="auto"/>
        <w:rPr>
          <w:sz w:val="20"/>
          <w:szCs w:val="20"/>
          <w:color w:val="auto"/>
        </w:rPr>
      </w:pPr>
      <w:r>
        <w:rPr>
          <w:rFonts w:ascii="Arial" w:cs="Arial" w:eastAsia="Arial" w:hAnsi="Arial"/>
          <w:sz w:val="13"/>
          <w:szCs w:val="13"/>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 (a) the two-class method, or (b) treasury stock method, as applicable, to the potentially dilutive instruments.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In periods in which the Company has a net loss, the two-class method is not applicable because the pre-IPO Class B-1 and B-2 restricted stock awards do not participate in losses.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Our basic and diluted earnings per common share are calculated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4"/>
          </w:tcPr>
          <w:p>
            <w:pPr>
              <w:jc w:val="right"/>
              <w:ind w:right="75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3"/>
                <w:szCs w:val="13"/>
                <w:color w:val="auto"/>
              </w:rPr>
            </w:pPr>
          </w:p>
        </w:tc>
        <w:tc>
          <w:tcPr>
            <w:tcW w:w="1060" w:type="dxa"/>
            <w:vAlign w:val="bottom"/>
          </w:tcPr>
          <w:p>
            <w:pPr>
              <w:jc w:val="right"/>
              <w:ind w:right="33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560" w:type="dxa"/>
            <w:vAlign w:val="bottom"/>
            <w:gridSpan w:val="2"/>
          </w:tcPr>
          <w:p>
            <w:pPr>
              <w:spacing w:after="0" w:line="126" w:lineRule="exact"/>
              <w:rPr>
                <w:sz w:val="20"/>
                <w:szCs w:val="20"/>
                <w:color w:val="auto"/>
              </w:rPr>
            </w:pPr>
            <w:r>
              <w:rPr>
                <w:rFonts w:ascii="Arial" w:cs="Arial" w:eastAsia="Arial" w:hAnsi="Arial"/>
                <w:sz w:val="12"/>
                <w:szCs w:val="12"/>
                <w:i w:val="1"/>
                <w:iCs w:val="1"/>
                <w:color w:val="auto"/>
              </w:rPr>
              <w:t>in thousands of U.S. dollars and share amounts (except per share amounts)</w:t>
            </w:r>
          </w:p>
        </w:tc>
        <w:tc>
          <w:tcPr>
            <w:tcW w:w="240" w:type="dxa"/>
            <w:vAlign w:val="bottom"/>
          </w:tcPr>
          <w:p>
            <w:pPr>
              <w:spacing w:after="0"/>
              <w:rPr>
                <w:sz w:val="10"/>
                <w:szCs w:val="10"/>
                <w:color w:val="auto"/>
              </w:rPr>
            </w:pPr>
          </w:p>
        </w:tc>
        <w:tc>
          <w:tcPr>
            <w:tcW w:w="1060" w:type="dxa"/>
            <w:vAlign w:val="bottom"/>
          </w:tcPr>
          <w:p>
            <w:pPr>
              <w:jc w:val="right"/>
              <w:ind w:right="471"/>
              <w:spacing w:after="0" w:line="126" w:lineRule="exact"/>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470"/>
              <w:spacing w:after="0" w:line="126"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50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Earnings (Loss):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gridSpan w:val="2"/>
          </w:tcPr>
          <w:p>
            <w:pPr>
              <w:ind w:left="180"/>
              <w:spacing w:after="0"/>
              <w:rPr>
                <w:sz w:val="20"/>
                <w:szCs w:val="20"/>
                <w:color w:val="auto"/>
              </w:rPr>
            </w:pPr>
            <w:r>
              <w:rPr>
                <w:rFonts w:ascii="Arial" w:cs="Arial" w:eastAsia="Arial" w:hAnsi="Arial"/>
                <w:sz w:val="15"/>
                <w:szCs w:val="15"/>
                <w:color w:val="auto"/>
              </w:rPr>
              <w:t>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11,065</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(1,986)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Less: Net income (loss) attributable to noncontrolling interests</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gridSpan w:val="2"/>
          </w:tcPr>
          <w:p>
            <w:pPr>
              <w:ind w:left="180"/>
              <w:spacing w:after="0"/>
              <w:rPr>
                <w:sz w:val="20"/>
                <w:szCs w:val="20"/>
                <w:color w:val="auto"/>
              </w:rPr>
            </w:pPr>
            <w:r>
              <w:rPr>
                <w:rFonts w:ascii="Arial" w:cs="Arial" w:eastAsia="Arial" w:hAnsi="Arial"/>
                <w:sz w:val="15"/>
                <w:szCs w:val="15"/>
                <w:color w:val="auto"/>
              </w:rPr>
              <w:t>Less: Allocation to participating securities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Net income (loss) attributable to Sotera Health Company common shareholders</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10,685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Weighted Average Common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5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Borders>
              <w:bottom w:val="single" w:sz="8" w:color="CCEEFF"/>
            </w:tcBorders>
            <w:shd w:val="clear" w:color="auto" w:fill="CCEEFF"/>
          </w:tcPr>
          <w:p>
            <w:pPr>
              <w:spacing w:after="0"/>
              <w:rPr>
                <w:sz w:val="24"/>
                <w:szCs w:val="24"/>
                <w:color w:val="auto"/>
              </w:rPr>
            </w:pPr>
          </w:p>
        </w:tc>
        <w:tc>
          <w:tcPr>
            <w:tcW w:w="8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Weighted-average common shares outstanding - basic</w:t>
            </w: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278,827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80"/>
              <w:spacing w:after="0"/>
              <w:rPr>
                <w:sz w:val="20"/>
                <w:szCs w:val="20"/>
                <w:color w:val="auto"/>
              </w:rPr>
            </w:pPr>
            <w:r>
              <w:rPr>
                <w:rFonts w:ascii="Arial" w:cs="Arial" w:eastAsia="Arial" w:hAnsi="Arial"/>
                <w:sz w:val="15"/>
                <w:szCs w:val="15"/>
                <w:color w:val="auto"/>
              </w:rPr>
              <w:t>Dilutive effect of potential common shares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Weighted-average common shares outstanding - diluted</w:t>
            </w:r>
            <w:r>
              <w:rPr>
                <w:rFonts w:ascii="Arial" w:cs="Arial" w:eastAsia="Arial" w:hAnsi="Arial"/>
                <w:sz w:val="18"/>
                <w:szCs w:val="18"/>
                <w:color w:val="auto"/>
                <w:vertAlign w:val="superscript"/>
              </w:rPr>
              <w:t>(a)</w:t>
            </w: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278,968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232,400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Earnings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5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Net income (loss) attributable to Sotera Health Company common shareholders - basic</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gridSpan w:val="2"/>
          </w:tcPr>
          <w:p>
            <w:pPr>
              <w:ind w:left="180"/>
              <w:spacing w:after="0"/>
              <w:rPr>
                <w:sz w:val="20"/>
                <w:szCs w:val="20"/>
                <w:color w:val="auto"/>
              </w:rPr>
            </w:pPr>
            <w:r>
              <w:rPr>
                <w:rFonts w:ascii="Arial" w:cs="Arial" w:eastAsia="Arial" w:hAnsi="Arial"/>
                <w:sz w:val="15"/>
                <w:szCs w:val="15"/>
                <w:color w:val="auto"/>
              </w:rPr>
              <w:t>Net income (loss) attributable to Sotera Health Company common shareholders - diluted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0.04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00" w:right="180" w:hanging="393"/>
        <w:spacing w:after="0" w:line="324" w:lineRule="auto"/>
        <w:tabs>
          <w:tab w:leader="none" w:pos="395" w:val="left"/>
        </w:tabs>
        <w:numPr>
          <w:ilvl w:val="0"/>
          <w:numId w:val="13"/>
        </w:numPr>
        <w:rPr>
          <w:rFonts w:ascii="Arial" w:cs="Arial" w:eastAsia="Arial" w:hAnsi="Arial"/>
          <w:sz w:val="11"/>
          <w:szCs w:val="11"/>
          <w:color w:val="auto"/>
        </w:rPr>
      </w:pPr>
      <w:r>
        <w:rPr>
          <w:rFonts w:ascii="Arial" w:cs="Arial" w:eastAsia="Arial" w:hAnsi="Arial"/>
          <w:sz w:val="11"/>
          <w:szCs w:val="11"/>
          <w:color w:val="auto"/>
        </w:rPr>
        <w:t xml:space="preserve">An additional 2,400,349 and 3,645 equivalent shares related to stock options and RSUs, respectively, issued in connection with the 2020 Omnibus Incentive Plan were excluded from the calculation of diluted weighted average common shares outstanding for </w:t>
      </w:r>
      <w:r>
        <w:rPr>
          <w:rFonts w:ascii="Arial" w:cs="Arial" w:eastAsia="Arial" w:hAnsi="Arial"/>
          <w:sz w:val="10"/>
          <w:szCs w:val="10"/>
          <w:color w:val="auto"/>
        </w:rPr>
        <w:t>the three months ended March 31, 2021 as they were anti-dilutive</w:t>
      </w:r>
      <w:r>
        <w:rPr>
          <w:rFonts w:ascii="Arial" w:cs="Arial" w:eastAsia="Arial" w:hAnsi="Arial"/>
          <w:sz w:val="11"/>
          <w:szCs w:val="11"/>
          <w:color w:val="auto"/>
        </w:rPr>
        <w:t>. For the three months ended March 31, 2020, there were no potentially dilutive common shares outstanding.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Commitments and Contingencies</w:t>
      </w:r>
    </w:p>
    <w:p>
      <w:pPr>
        <w:spacing w:after="0" w:line="93" w:lineRule="exact"/>
        <w:rPr>
          <w:sz w:val="20"/>
          <w:szCs w:val="20"/>
          <w:color w:val="auto"/>
        </w:rPr>
      </w:pPr>
    </w:p>
    <w:p>
      <w:pPr>
        <w:ind w:right="40"/>
        <w:spacing w:after="0" w:line="333" w:lineRule="auto"/>
        <w:rPr>
          <w:sz w:val="20"/>
          <w:szCs w:val="20"/>
          <w:color w:val="auto"/>
        </w:rPr>
      </w:pPr>
      <w:r>
        <w:rPr>
          <w:rFonts w:ascii="Arial" w:cs="Arial" w:eastAsia="Arial" w:hAnsi="Arial"/>
          <w:sz w:val="13"/>
          <w:szCs w:val="13"/>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07"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color w:val="auto"/>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FM Global Business Interruption Claim (NRU Outage)</w:t>
      </w:r>
    </w:p>
    <w:p>
      <w:pPr>
        <w:spacing w:after="0" w:line="176" w:lineRule="exact"/>
        <w:rPr>
          <w:sz w:val="20"/>
          <w:szCs w:val="20"/>
          <w:color w:val="auto"/>
        </w:rPr>
      </w:pPr>
    </w:p>
    <w:p>
      <w:pPr>
        <w:ind w:right="100"/>
        <w:spacing w:after="0" w:line="306" w:lineRule="auto"/>
        <w:rPr>
          <w:sz w:val="20"/>
          <w:szCs w:val="20"/>
          <w:color w:val="auto"/>
        </w:rPr>
      </w:pPr>
      <w:r>
        <w:rPr>
          <w:rFonts w:ascii="Arial" w:cs="Arial" w:eastAsia="Arial" w:hAnsi="Arial"/>
          <w:sz w:val="13"/>
          <w:szCs w:val="13"/>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25"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Trial commenced in March 2019 and was completed in September 2019. On March 30, 2020, Nordion received a favorable judgment in the amount of $25.0 million USD, plus pre-judgment interest, for a total judgment value of $39.8 million USD, or $56.4 million CAD based on exchange rates approved by the trial court. In addition, costs and disbursements have been assessed and awarded by the trial court in favor of Nordion in the approximate amount of $1.1 million CAD ($0.8 million USD) and $161,863 CAD ($0.1 million USD), respectively. On April 27, 2020, FM Global appealed the judgment. In January 2021, The Insurance Bureau of Canada was granted leave to intervene in the appeal. Hearing before the Court of Appeal was held on April 15, 2021. Pending a favorable judgment in the appellate court, any final proceeds would be subject to post judgment interest, a contingent fee owed to legal counsel and applicable taxes. As the judgment is considered a contingent gain, any favorable outcome will be recognized in a future period when all appeals are exhausted. It is anticipated that the overall appeal process could take a year or more to complete.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Willowbrook, Illinois – Government Litigation</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61" w:lineRule="exact"/>
        <w:rPr>
          <w:sz w:val="20"/>
          <w:szCs w:val="20"/>
          <w:color w:val="auto"/>
        </w:rPr>
      </w:pPr>
    </w:p>
    <w:p>
      <w:pPr>
        <w:jc w:val="both"/>
        <w:ind w:right="200"/>
        <w:spacing w:after="0" w:line="249" w:lineRule="auto"/>
        <w:rPr>
          <w:sz w:val="20"/>
          <w:szCs w:val="20"/>
          <w:color w:val="auto"/>
        </w:rPr>
      </w:pPr>
      <w:r>
        <w:rPr>
          <w:rFonts w:ascii="Arial" w:cs="Arial" w:eastAsia="Arial" w:hAnsi="Arial"/>
          <w:sz w:val="15"/>
          <w:szCs w:val="15"/>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306" w:lineRule="auto"/>
        <w:rPr>
          <w:sz w:val="20"/>
          <w:szCs w:val="20"/>
          <w:color w:val="auto"/>
        </w:rPr>
      </w:pPr>
      <w:r>
        <w:rPr>
          <w:rFonts w:ascii="Arial" w:cs="Arial" w:eastAsia="Arial" w:hAnsi="Arial"/>
          <w:sz w:val="13"/>
          <w:szCs w:val="13"/>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Ethylene Oxide Tort Litigation - Illinois</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Additional derivative claims are alleged on behalf of other individuals related to these personal injury plaintiffs.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35"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Sterigenics sought consolidation of the cases for pretrial purposes, and in October 2019 obtained an order consolidating the then-pending cases and related cases filed in the future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31" w:lineRule="exact"/>
        <w:rPr>
          <w:sz w:val="20"/>
          <w:szCs w:val="20"/>
          <w:color w:val="auto"/>
        </w:rPr>
      </w:pPr>
    </w:p>
    <w:p>
      <w:pPr>
        <w:ind w:right="80"/>
        <w:spacing w:after="0" w:line="293" w:lineRule="auto"/>
        <w:rPr>
          <w:sz w:val="20"/>
          <w:szCs w:val="20"/>
          <w:color w:val="auto"/>
        </w:rPr>
      </w:pPr>
      <w:r>
        <w:rPr>
          <w:rFonts w:ascii="Arial" w:cs="Arial" w:eastAsia="Arial" w:hAnsi="Arial"/>
          <w:sz w:val="13"/>
          <w:szCs w:val="13"/>
          <w:color w:val="auto"/>
        </w:rPr>
        <w:t>Plaintiffs filed a Third Amended Master Complaint on October 30, 2020 adding Griffith Foods Group, Inc., Griffith Foods, Inc., Griffith Foods International, Inc. and Griffith Foods Worldwide Inc. as defendants. Defendants’ responses to the Third Amended Master Complaint were filed on or about December 1, 2020, including a motion to dismiss by Griffith Foods Group, Inc., Griffith Foods, Inc., Griffith Foods International, Inc. and Griffith Foods Worldwide, Inc. That motion was granted in part on March 16, 2021 and plaintiffs were granted leave to file a Fourth Amended Master Complaint. The Fourth Amended Master Complaint was filed on April 16, 2021, including claims against Griffith Foods International, Inc. but not the other Griffith entities. All defendants’ responses to the Fourth Amended Master Complaint are due by May 14, 2021.</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Written and deposition fact discovery is on-going in the Consolidated Case. Currently, there are no dates set for the close of fact discovery, for expert discovery or for dispositive motion practice.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Plaintiffs have not yet made any specific damages claims.</w:t>
      </w:r>
    </w:p>
    <w:p>
      <w:pPr>
        <w:spacing w:after="0" w:line="167" w:lineRule="exact"/>
        <w:rPr>
          <w:sz w:val="20"/>
          <w:szCs w:val="20"/>
          <w:color w:val="auto"/>
        </w:rPr>
      </w:pPr>
    </w:p>
    <w:p>
      <w:pPr>
        <w:jc w:val="both"/>
        <w:ind w:right="100"/>
        <w:spacing w:after="0" w:line="249" w:lineRule="auto"/>
        <w:rPr>
          <w:sz w:val="20"/>
          <w:szCs w:val="20"/>
          <w:color w:val="auto"/>
        </w:rPr>
      </w:pPr>
      <w:r>
        <w:rPr>
          <w:rFonts w:ascii="Arial" w:cs="Arial" w:eastAsia="Arial" w:hAnsi="Arial"/>
          <w:sz w:val="15"/>
          <w:szCs w:val="15"/>
          <w:color w:val="auto"/>
        </w:rPr>
        <w:t>Trials in five of the individual cases now included in the Consolidated Case had previously been scheduled to begin in 2021. Based on the Court's administrative orders related to the impact of COVID-19 on jury trials, however, and subject to the Court's discretion to make changes, we anticipate that the earliest any of the individual cases in the Consolidated Case will be tried will be 2022 and that trials will be scheduled in roughly the order in which the individual cases were filed.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Ethylene Oxide Tort Litigation – Georgia</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Defendants filed motions to dismiss and answers to the Complaint on April 30, 2021. All defendants are being defended and indemnified by Sterigenics’ contract sterilization customer (plaintiffs’ employer and a co-defendant in the lawsuit).</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In May 2020, the Cobb County, Georgia Board of Tax Assessors reduced certain residential property value assessments around the Sterigenics Atlanta facility by 10% citing an “Epd-identified environmental issue,” without supporting market data. 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On February 5, 2021 the Court issued an order finding that Sterigenics lacks standing to obtain the relief sought and dismissed the case. Sterigenics has appealed that decision to the 11th Circuit Court of Appeals and anticipates that appellate briefing will be completed before the end of August 2021.</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Since August 17, 2020, six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Our subsidiaries are also defendants in lawsuits alleging that the Atlanta facility has devalued and harmed plaintiffs’ use of real properties they own in Smyrna, Georgia and caused other damages. Plaintiffs in these cases seek various forms of relief including damages in amounts to be determined by the trier of fact. Sotera Health LLC filed motions to dismiss in each case on personal jurisdiction grounds. That motion was denied in one case pending in the State Court of Gwinnett County and the other motions remain pending. Sterigenics U.S., LLC and Sotera Health LLC filed a motion to dismiss the strict liability claim in each case. That motion was denied in one case pending in the State Court of Gwinnett County and the other motions remain pending.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Suspension of Georgia Facility Operations &amp; Related Litigation</w:t>
      </w:r>
    </w:p>
    <w:p>
      <w:pPr>
        <w:spacing w:after="0" w:line="176"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spacing w:after="0" w:line="161"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53"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Defendants filed a motion to dismiss the claims. On November 9, 2020, the Court held a hearing and denied the motion to dismiss. The parties are conducting discovery, which is presently scheduled to end on July 23, 2021. A settlement conference is scheduled to be held by September 27, 2021.</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Ethylene Oxide Litigation – New Mexico</w:t>
      </w:r>
    </w:p>
    <w:p>
      <w:pPr>
        <w:spacing w:after="0" w:line="176"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On December 22, 2020 the New Mexico Attorney General filed a lawsuit in the Third Judicial District Court, Doña Ana County, New Mexico (“the Third Judicial District”) against the Company, Sterigenics U.S., LLC and other subsidiaries alleging that emissions of EO from Sterigenics U.S., LLC’s sterilization facility in Santa Teresa, New Mexico constitute a public nuisance and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a request for a temporary restraining order and preliminary injunctive relief. On December 28, 2020 Sterigenics U.S., LLC removed the case to the United States District Court for the District of New Mexico. On April 13, 2021 the case was remanded to the Third Judicial District where Plaintiff’s Emergency Motion for Temporary Restraining Order and Preliminary Injunction has been scheduled for a preliminary injunction hearing on May 26, 2021.</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The Emergency Motion does not demand facility closure but seeks an order requiring Defendants to cease any and all uncontrolled emissions or releases of EO from the Santa Teresa facility, including by making certain modifications to sterilization processes at the facility.</w:t>
      </w:r>
    </w:p>
    <w:p>
      <w:pPr>
        <w:spacing w:after="0" w:line="76" w:lineRule="exact"/>
        <w:rPr>
          <w:sz w:val="20"/>
          <w:szCs w:val="20"/>
          <w:color w:val="auto"/>
        </w:rPr>
      </w:pPr>
    </w:p>
    <w:p>
      <w:pPr>
        <w:jc w:val="center"/>
        <w:ind w:right="-39"/>
        <w:spacing w:after="0"/>
        <w:tabs>
          <w:tab w:leader="none" w:pos="140" w:val="left"/>
          <w:tab w:leader="none" w:pos="1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0"/>
          <w:szCs w:val="10"/>
          <w:color w:val="auto"/>
        </w:rPr>
        <w:t>*</w:t>
      </w:r>
    </w:p>
    <w:p>
      <w:pPr>
        <w:spacing w:after="0" w:line="166" w:lineRule="exact"/>
        <w:rPr>
          <w:sz w:val="20"/>
          <w:szCs w:val="20"/>
          <w:color w:val="auto"/>
        </w:rPr>
      </w:pPr>
    </w:p>
    <w:p>
      <w:pPr>
        <w:ind w:right="40"/>
        <w:spacing w:after="0" w:line="333" w:lineRule="auto"/>
        <w:rPr>
          <w:sz w:val="20"/>
          <w:szCs w:val="20"/>
          <w:color w:val="auto"/>
        </w:rPr>
      </w:pPr>
      <w:r>
        <w:rPr>
          <w:rFonts w:ascii="Arial" w:cs="Arial" w:eastAsia="Arial" w:hAnsi="Arial"/>
          <w:sz w:val="13"/>
          <w:szCs w:val="13"/>
          <w:color w:val="auto"/>
        </w:rPr>
        <w:t>We carry insurance for alleged environmental liabilities (including litigation like that pending in Illinois, Georgia and New Mexico described above), with limits of $10.0 million per occurrence and $20.0 million in the aggregate. The per occurrence limit related to the Willowbrook government and EO tort litigation was fully utilized by June 30, 2020.</w:t>
      </w:r>
    </w:p>
    <w:p>
      <w:pPr>
        <w:spacing w:after="0" w:line="107" w:lineRule="exact"/>
        <w:rPr>
          <w:sz w:val="20"/>
          <w:szCs w:val="20"/>
          <w:color w:val="auto"/>
        </w:rPr>
      </w:pPr>
    </w:p>
    <w:p>
      <w:pPr>
        <w:ind w:right="20"/>
        <w:spacing w:after="0" w:line="333" w:lineRule="auto"/>
        <w:rPr>
          <w:sz w:val="20"/>
          <w:szCs w:val="20"/>
          <w:color w:val="auto"/>
        </w:rPr>
      </w:pPr>
      <w:r>
        <w:rPr>
          <w:rFonts w:ascii="Arial" w:cs="Arial" w:eastAsia="Arial" w:hAnsi="Arial"/>
          <w:sz w:val="13"/>
          <w:szCs w:val="13"/>
          <w:color w:val="auto"/>
        </w:rPr>
        <w:t>Additional personal injury, property devaluation or other lawsuits may be filed in the future against us or our subsidiaries relating to Sterigenics’ Willowbrook, Atlanta, Santa Teresa or other EO sterilization facilities. The Company, Sterigenics U.S., LLC and other Company subsidiaries intend to defend themselves vigorously in all such current or future EO litigation.</w:t>
      </w:r>
    </w:p>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While an adverse outcome in one or more of the proceedings could have a material adverse effect on our business, financial condition and results of operations, no contingency reserve has been reflected in our consolidated financial statements as a loss is not deemed probable, nor is a loss or range of losses reasonably estimable.</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Financial Instruments and Financial Risk</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Derivative Instruments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We do not use derivatives for trading or speculative purposes and are not a party to leveraged derivatives.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Derivatives Designated in Hedge Relationships</w:t>
      </w:r>
    </w:p>
    <w:p>
      <w:pPr>
        <w:spacing w:after="0" w:line="89"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During the third quarter of 2019, we entered into two interest rate swap agreements to hedge our exposure to interest rate movements and to manage interest expense related to our then outstanding variable-rate debt. The notional amount of the interest rate swap agreements totaled $1,000.0 million. These swaps were designated as cash flow hedges and were designed to hedge the variability of cash flows attributable to changes in LIBOR, the benchmark interest rate being hedged. We received interest at one-month LIBOR and paid a fixed interest rate under the terms of the swap agreement. The swap agreements terminated on August 31, 2020.</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Derivatives Not Designated in Hedge Relationships</w:t>
      </w:r>
    </w:p>
    <w:p>
      <w:pPr>
        <w:spacing w:after="0" w:line="89" w:lineRule="exact"/>
        <w:rPr>
          <w:sz w:val="20"/>
          <w:szCs w:val="20"/>
          <w:color w:val="auto"/>
        </w:rPr>
      </w:pPr>
    </w:p>
    <w:p>
      <w:pPr>
        <w:ind w:right="320"/>
        <w:spacing w:after="0" w:line="333" w:lineRule="auto"/>
        <w:rPr>
          <w:sz w:val="20"/>
          <w:szCs w:val="20"/>
          <w:color w:val="auto"/>
        </w:rPr>
      </w:pPr>
      <w:r>
        <w:rPr>
          <w:rFonts w:ascii="Arial" w:cs="Arial" w:eastAsia="Arial" w:hAnsi="Arial"/>
          <w:sz w:val="13"/>
          <w:szCs w:val="13"/>
          <w:color w:val="auto"/>
        </w:rPr>
        <w:t>In October 2017, we entered into two interest rate cap agreements with a total notional amount of $400.0 million for a total option premium of $0.6 million; these agreements terminated on September 30, 2020. The interest rate caps limited the Company’s cash flow exposure related to LIBOR under the variable rate Term Loan borrowings to 3.0%.</w:t>
      </w:r>
    </w:p>
    <w:p>
      <w:pPr>
        <w:spacing w:after="0" w:line="107" w:lineRule="exact"/>
        <w:rPr>
          <w:sz w:val="20"/>
          <w:szCs w:val="20"/>
          <w:color w:val="auto"/>
        </w:rPr>
      </w:pPr>
    </w:p>
    <w:p>
      <w:pPr>
        <w:ind w:right="160"/>
        <w:spacing w:after="0" w:line="290" w:lineRule="auto"/>
        <w:rPr>
          <w:sz w:val="20"/>
          <w:szCs w:val="20"/>
          <w:color w:val="auto"/>
        </w:rPr>
      </w:pPr>
      <w:r>
        <w:rPr>
          <w:rFonts w:ascii="Arial" w:cs="Arial" w:eastAsia="Arial" w:hAnsi="Arial"/>
          <w:sz w:val="13"/>
          <w:szCs w:val="13"/>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 We also entered into two additional interest rate cap agreements in February 2021 with a combined notional amount of $1,000.0 million, for a total option premium of $0.4 million. These instruments are effective September 30, 2021, and will terminate on March 31, 2022. The amended and new interest rate caps limit our cash flow exposure related to LIBOR under a portion of our variable rate borrowings to 0.5%.</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interest rate caps were entered into to manage economic risks associated with our variable rate borrowings, but were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360"/>
        <w:spacing w:after="0" w:line="249" w:lineRule="auto"/>
        <w:rPr>
          <w:sz w:val="20"/>
          <w:szCs w:val="20"/>
          <w:color w:val="auto"/>
        </w:rPr>
      </w:pPr>
      <w:r>
        <w:rPr>
          <w:rFonts w:ascii="Arial" w:cs="Arial" w:eastAsia="Arial" w:hAnsi="Arial"/>
          <w:sz w:val="15"/>
          <w:szCs w:val="15"/>
          <w:color w:val="auto"/>
        </w:rPr>
        <w:t>The Company also entered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zero as of March 31, 2021 and December 31, 2020,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Embedded Derivatives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We have embedded derivatives in certain of our customer and supply contracts as a result of the currency of the contract being different from the functional currency of the parties involved.</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fair value of the embedded derivatives are recognized in “Other income, net” in the Consolidated Statements of Operations and Comprehensive Income (Loss).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the notional and fair values of our derivative instruments: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March 31, 2021</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December 31, 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2"/>
                <w:szCs w:val="12"/>
                <w:i w:val="1"/>
                <w:iCs w:val="1"/>
                <w:color w:val="auto"/>
              </w:rPr>
              <w:t>(in U.S. Dollars; notional in millions, fair value in thousands)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840" w:type="dxa"/>
            <w:vAlign w:val="bottom"/>
          </w:tcPr>
          <w:p>
            <w:pPr>
              <w:spacing w:after="0"/>
              <w:rPr>
                <w:sz w:val="13"/>
                <w:szCs w:val="13"/>
                <w:color w:val="auto"/>
              </w:rPr>
            </w:pPr>
          </w:p>
        </w:tc>
      </w:tr>
      <w:tr>
        <w:trPr>
          <w:trHeight w:val="24"/>
        </w:trPr>
        <w:tc>
          <w:tcPr>
            <w:tcW w:w="2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Arial" w:cs="Arial" w:eastAsia="Arial" w:hAnsi="Arial"/>
                <w:sz w:val="13"/>
                <w:szCs w:val="13"/>
                <w:b w:val="1"/>
                <w:bCs w:val="1"/>
                <w:color w:val="auto"/>
              </w:rPr>
              <w:t>Notional</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1"/>
              <w:spacing w:after="0"/>
              <w:rPr>
                <w:sz w:val="20"/>
                <w:szCs w:val="20"/>
                <w:color w:val="auto"/>
              </w:rPr>
            </w:pPr>
            <w:r>
              <w:rPr>
                <w:rFonts w:ascii="Arial" w:cs="Arial" w:eastAsia="Arial" w:hAnsi="Arial"/>
                <w:sz w:val="13"/>
                <w:szCs w:val="13"/>
                <w:b w:val="1"/>
                <w:bCs w:val="1"/>
                <w:color w:val="auto"/>
              </w:rPr>
              <w:t>Derivative</w:t>
            </w:r>
          </w:p>
        </w:tc>
        <w:tc>
          <w:tcPr>
            <w:tcW w:w="3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200" w:type="dxa"/>
            <w:vAlign w:val="bottom"/>
          </w:tcPr>
          <w:p>
            <w:pPr>
              <w:spacing w:after="0"/>
              <w:rPr>
                <w:sz w:val="13"/>
                <w:szCs w:val="13"/>
                <w:color w:val="auto"/>
              </w:rPr>
            </w:pPr>
          </w:p>
        </w:tc>
        <w:tc>
          <w:tcPr>
            <w:tcW w:w="980" w:type="dxa"/>
            <w:vAlign w:val="bottom"/>
          </w:tcPr>
          <w:p>
            <w:pPr>
              <w:jc w:val="right"/>
              <w:ind w:right="310"/>
              <w:spacing w:after="0"/>
              <w:rPr>
                <w:sz w:val="20"/>
                <w:szCs w:val="20"/>
                <w:color w:val="auto"/>
              </w:rPr>
            </w:pPr>
            <w:r>
              <w:rPr>
                <w:rFonts w:ascii="Arial" w:cs="Arial" w:eastAsia="Arial" w:hAnsi="Arial"/>
                <w:sz w:val="13"/>
                <w:szCs w:val="13"/>
                <w:b w:val="1"/>
                <w:bCs w:val="1"/>
                <w:color w:val="auto"/>
              </w:rPr>
              <w:t>Notional</w:t>
            </w:r>
          </w:p>
        </w:tc>
        <w:tc>
          <w:tcPr>
            <w:tcW w:w="180" w:type="dxa"/>
            <w:vAlign w:val="bottom"/>
          </w:tcPr>
          <w:p>
            <w:pPr>
              <w:spacing w:after="0"/>
              <w:rPr>
                <w:sz w:val="13"/>
                <w:szCs w:val="13"/>
                <w:color w:val="auto"/>
              </w:rPr>
            </w:pPr>
          </w:p>
        </w:tc>
        <w:tc>
          <w:tcPr>
            <w:tcW w:w="960" w:type="dxa"/>
            <w:vAlign w:val="bottom"/>
          </w:tcPr>
          <w:p>
            <w:pPr>
              <w:jc w:val="right"/>
              <w:ind w:right="211"/>
              <w:spacing w:after="0"/>
              <w:rPr>
                <w:sz w:val="20"/>
                <w:szCs w:val="20"/>
                <w:color w:val="auto"/>
              </w:rPr>
            </w:pPr>
            <w:r>
              <w:rPr>
                <w:rFonts w:ascii="Arial" w:cs="Arial" w:eastAsia="Arial" w:hAnsi="Arial"/>
                <w:sz w:val="13"/>
                <w:szCs w:val="13"/>
                <w:b w:val="1"/>
                <w:bCs w:val="1"/>
                <w:color w:val="auto"/>
              </w:rPr>
              <w:t>Derivative</w:t>
            </w:r>
          </w:p>
        </w:tc>
        <w:tc>
          <w:tcPr>
            <w:tcW w:w="32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b w:val="1"/>
                <w:bCs w:val="1"/>
                <w:color w:val="auto"/>
              </w:rPr>
              <w:t>Derivative</w:t>
            </w:r>
          </w:p>
        </w:tc>
      </w:tr>
      <w:tr>
        <w:trPr>
          <w:trHeight w:val="177"/>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10"/>
              <w:spacing w:after="0"/>
              <w:rPr>
                <w:sz w:val="20"/>
                <w:szCs w:val="20"/>
                <w:color w:val="auto"/>
              </w:rPr>
            </w:pPr>
            <w:r>
              <w:rPr>
                <w:rFonts w:ascii="Arial" w:cs="Arial" w:eastAsia="Arial" w:hAnsi="Arial"/>
                <w:sz w:val="13"/>
                <w:szCs w:val="13"/>
                <w:b w:val="1"/>
                <w:bCs w:val="1"/>
                <w:color w:val="auto"/>
              </w:rPr>
              <w:t>Amount</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Arial" w:cs="Arial" w:eastAsia="Arial" w:hAnsi="Arial"/>
                <w:sz w:val="13"/>
                <w:szCs w:val="13"/>
                <w:b w:val="1"/>
                <w:bCs w:val="1"/>
                <w:color w:val="auto"/>
              </w:rPr>
              <w:t>Assets</w:t>
            </w:r>
          </w:p>
        </w:tc>
        <w:tc>
          <w:tcPr>
            <w:tcW w:w="3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Pr>
          <w:p>
            <w:pPr>
              <w:spacing w:after="0"/>
              <w:rPr>
                <w:sz w:val="15"/>
                <w:szCs w:val="15"/>
                <w:color w:val="auto"/>
              </w:rPr>
            </w:pPr>
          </w:p>
        </w:tc>
        <w:tc>
          <w:tcPr>
            <w:tcW w:w="980" w:type="dxa"/>
            <w:vAlign w:val="bottom"/>
          </w:tcPr>
          <w:p>
            <w:pPr>
              <w:jc w:val="right"/>
              <w:ind w:right="33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960" w:type="dxa"/>
            <w:vAlign w:val="bottom"/>
          </w:tcPr>
          <w:p>
            <w:pPr>
              <w:jc w:val="right"/>
              <w:ind w:right="331"/>
              <w:spacing w:after="0"/>
              <w:rPr>
                <w:sz w:val="20"/>
                <w:szCs w:val="20"/>
                <w:color w:val="auto"/>
              </w:rPr>
            </w:pPr>
            <w:r>
              <w:rPr>
                <w:rFonts w:ascii="Arial" w:cs="Arial" w:eastAsia="Arial" w:hAnsi="Arial"/>
                <w:sz w:val="13"/>
                <w:szCs w:val="13"/>
                <w:b w:val="1"/>
                <w:bCs w:val="1"/>
                <w:color w:val="auto"/>
              </w:rPr>
              <w:t>Assets</w:t>
            </w:r>
          </w:p>
        </w:tc>
        <w:tc>
          <w:tcPr>
            <w:tcW w:w="3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b w:val="1"/>
                <w:bCs w:val="1"/>
                <w:color w:val="auto"/>
              </w:rPr>
              <w:t>Liabilities</w:t>
            </w:r>
          </w:p>
        </w:tc>
      </w:tr>
      <w:tr>
        <w:trPr>
          <w:trHeight w:val="197"/>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9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Derivatives not designated as hedging instruments</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3920" w:type="dxa"/>
            <w:vAlign w:val="bottom"/>
            <w:gridSpan w:val="2"/>
          </w:tcPr>
          <w:p>
            <w:pPr>
              <w:ind w:left="180"/>
              <w:spacing w:after="0"/>
              <w:rPr>
                <w:sz w:val="20"/>
                <w:szCs w:val="20"/>
                <w:color w:val="auto"/>
              </w:rPr>
            </w:pPr>
            <w:r>
              <w:rPr>
                <w:rFonts w:ascii="Arial" w:cs="Arial" w:eastAsia="Arial" w:hAnsi="Arial"/>
                <w:sz w:val="15"/>
                <w:szCs w:val="15"/>
                <w:color w:val="auto"/>
              </w:rPr>
              <w:t>Interest rate caps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2,500.0</w:t>
            </w:r>
          </w:p>
        </w:tc>
        <w:tc>
          <w:tcPr>
            <w:tcW w:w="4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5"/>
                <w:szCs w:val="15"/>
                <w:b w:val="1"/>
                <w:bCs w:val="1"/>
                <w:color w:val="auto"/>
              </w:rPr>
              <w:t>9</w:t>
            </w:r>
          </w:p>
        </w:tc>
        <w:tc>
          <w:tcPr>
            <w:tcW w:w="34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0"/>
              <w:spacing w:after="0"/>
              <w:rPr>
                <w:sz w:val="20"/>
                <w:szCs w:val="20"/>
                <w:color w:val="auto"/>
              </w:rPr>
            </w:pPr>
            <w:r>
              <w:rPr>
                <w:rFonts w:ascii="Arial" w:cs="Arial" w:eastAsia="Arial" w:hAnsi="Arial"/>
                <w:sz w:val="15"/>
                <w:szCs w:val="15"/>
                <w:color w:val="auto"/>
              </w:rPr>
              <w:t>1,500.0</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1"/>
              <w:spacing w:after="0"/>
              <w:rPr>
                <w:sz w:val="20"/>
                <w:szCs w:val="20"/>
                <w:color w:val="auto"/>
              </w:rPr>
            </w:pPr>
            <w:r>
              <w:rPr>
                <w:rFonts w:ascii="Arial" w:cs="Arial" w:eastAsia="Arial" w:hAnsi="Arial"/>
                <w:sz w:val="15"/>
                <w:szCs w:val="15"/>
                <w:color w:val="auto"/>
              </w:rPr>
              <w:t>7</w:t>
            </w:r>
          </w:p>
        </w:tc>
        <w:tc>
          <w:tcPr>
            <w:tcW w:w="32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Embedded derivatives</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77.7</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9"/>
                <w:szCs w:val="9"/>
                <w:color w:val="auto"/>
              </w:rPr>
              <w:t>(a)</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b w:val="1"/>
                <w:bCs w:val="1"/>
                <w:color w:val="auto"/>
              </w:rPr>
              <w:t>403</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83.3</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670</w:t>
            </w:r>
          </w:p>
        </w:tc>
      </w:tr>
      <w:tr>
        <w:trPr>
          <w:trHeight w:val="208"/>
        </w:trPr>
        <w:tc>
          <w:tcPr>
            <w:tcW w:w="20" w:type="dxa"/>
            <w:vAlign w:val="bottom"/>
          </w:tcPr>
          <w:p>
            <w:pPr>
              <w:spacing w:after="0"/>
              <w:rPr>
                <w:sz w:val="18"/>
                <w:szCs w:val="18"/>
                <w:color w:val="auto"/>
              </w:rPr>
            </w:pPr>
          </w:p>
        </w:tc>
        <w:tc>
          <w:tcPr>
            <w:tcW w:w="3920" w:type="dxa"/>
            <w:vAlign w:val="bottom"/>
            <w:gridSpan w:val="2"/>
          </w:tcPr>
          <w:p>
            <w:pPr>
              <w:ind w:left="26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2,577.7</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5"/>
                <w:szCs w:val="15"/>
                <w:b w:val="1"/>
                <w:bCs w:val="1"/>
                <w:color w:val="auto"/>
              </w:rPr>
              <w:t>412</w:t>
            </w:r>
          </w:p>
        </w:tc>
        <w:tc>
          <w:tcPr>
            <w:tcW w:w="3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1,583.3</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5"/>
                <w:szCs w:val="15"/>
                <w:color w:val="auto"/>
              </w:rPr>
              <w:t>7</w:t>
            </w:r>
          </w:p>
        </w:tc>
        <w:tc>
          <w:tcPr>
            <w:tcW w:w="32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670</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3"/>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5"/>
          <w:szCs w:val="15"/>
          <w:color w:val="auto"/>
        </w:rPr>
        <w:t>Represents the total notional amounts for certain of the Company’s supply and sales contracts accounted for as embedded derivatives.</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The interest rate caps and embedded derivative assets are included in “Prepaid expenses and other current assets” on our consolidated balance sheets. Embedded derivative liabilities are included in “Accrued liabilities”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summarize the activities of our derivative instruments for the periods presented, and the line item they are recorded in in the Consolidated Statements of Operations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Comprehensive Income (Loss):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87"/>
              </w:rPr>
              <w:t>(thousands of U.S. dollars)</w:t>
            </w:r>
          </w:p>
        </w:tc>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Three Months March 31,</w:t>
            </w:r>
          </w:p>
        </w:tc>
        <w:tc>
          <w:tcPr>
            <w:tcW w:w="300" w:type="dxa"/>
            <w:vAlign w:val="bottom"/>
          </w:tcPr>
          <w:p>
            <w:pPr>
              <w:spacing w:after="0"/>
              <w:rPr>
                <w:sz w:val="13"/>
                <w:szCs w:val="13"/>
                <w:color w:val="auto"/>
              </w:rPr>
            </w:pPr>
          </w:p>
        </w:tc>
        <w:tc>
          <w:tcPr>
            <w:tcW w:w="940" w:type="dxa"/>
            <w:vAlign w:val="bottom"/>
          </w:tcPr>
          <w:p>
            <w:pPr>
              <w:jc w:val="right"/>
              <w:ind w:right="43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31"/>
              <w:spacing w:after="0"/>
              <w:rPr>
                <w:sz w:val="20"/>
                <w:szCs w:val="20"/>
                <w:color w:val="auto"/>
              </w:rPr>
            </w:pPr>
            <w:r>
              <w:rPr>
                <w:rFonts w:ascii="Arial" w:cs="Arial" w:eastAsia="Arial" w:hAnsi="Arial"/>
                <w:sz w:val="12"/>
                <w:szCs w:val="12"/>
                <w:b w:val="1"/>
                <w:bCs w:val="1"/>
                <w:color w:val="auto"/>
              </w:rPr>
              <w:t>2020</w:t>
            </w:r>
          </w:p>
        </w:tc>
      </w:tr>
      <w:tr>
        <w:trPr>
          <w:trHeight w:val="24"/>
        </w:trPr>
        <w:tc>
          <w:tcPr>
            <w:tcW w:w="20" w:type="dxa"/>
            <w:vAlign w:val="bottom"/>
            <w:tcBorders>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8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Unrealized loss on interest rate caps recorded in interest expense, net</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8700" w:type="dxa"/>
            <w:vAlign w:val="bottom"/>
            <w:gridSpan w:val="3"/>
          </w:tcPr>
          <w:p>
            <w:pPr>
              <w:spacing w:after="0"/>
              <w:rPr>
                <w:sz w:val="20"/>
                <w:szCs w:val="20"/>
                <w:color w:val="auto"/>
              </w:rPr>
            </w:pPr>
            <w:r>
              <w:rPr>
                <w:rFonts w:ascii="Arial" w:cs="Arial" w:eastAsia="Arial" w:hAnsi="Arial"/>
                <w:sz w:val="15"/>
                <w:szCs w:val="15"/>
                <w:color w:val="auto"/>
              </w:rPr>
              <w:t>Unrealized (gain) loss on embedded derivatives recorded in other income,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(853)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4,819</w:t>
            </w:r>
          </w:p>
        </w:tc>
      </w:tr>
      <w:tr>
        <w:trPr>
          <w:trHeight w:val="2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Realized gain on foreign currency forward contracts recorded in foreign exchange (gain) loss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(2,374)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3"/>
        </w:trPr>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5"/>
          <w:szCs w:val="15"/>
          <w:color w:val="auto"/>
        </w:rPr>
        <w:t>In addition, during the three months ended March 31, 2020, we recognized $3.5 million of losses, net of tax, in accumulated other comprehensive income (loss) related to the change in fair value of the interest rate swaps.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Credit Risk</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Certain of our financial assets, including cash and cash equivalents, are exposed to credit risk.</w:t>
      </w:r>
    </w:p>
    <w:p>
      <w:pPr>
        <w:spacing w:after="0" w:line="176" w:lineRule="exact"/>
        <w:rPr>
          <w:sz w:val="20"/>
          <w:szCs w:val="20"/>
          <w:color w:val="auto"/>
        </w:rPr>
      </w:pPr>
    </w:p>
    <w:p>
      <w:pPr>
        <w:ind w:right="540"/>
        <w:spacing w:after="0" w:line="257" w:lineRule="auto"/>
        <w:rPr>
          <w:sz w:val="20"/>
          <w:szCs w:val="20"/>
          <w:color w:val="auto"/>
        </w:rPr>
      </w:pPr>
      <w:r>
        <w:rPr>
          <w:rFonts w:ascii="Arial" w:cs="Arial" w:eastAsia="Arial" w:hAnsi="Arial"/>
          <w:sz w:val="15"/>
          <w:szCs w:val="15"/>
          <w:color w:val="auto"/>
        </w:rPr>
        <w:t>We are also exposed, in our normal course of business, to credit risk from our customers. As of March 31, 2021 and December 31, 2020, accounts receivable was net of an allowance for uncollectible accounts of $0.6 million and $0.7 million, respectively.</w:t>
      </w:r>
    </w:p>
    <w:p>
      <w:pPr>
        <w:spacing w:after="0" w:line="153" w:lineRule="exact"/>
        <w:rPr>
          <w:sz w:val="20"/>
          <w:szCs w:val="20"/>
          <w:color w:val="auto"/>
        </w:rPr>
      </w:pPr>
    </w:p>
    <w:p>
      <w:pPr>
        <w:ind w:right="40"/>
        <w:spacing w:after="0" w:line="333" w:lineRule="auto"/>
        <w:rPr>
          <w:sz w:val="20"/>
          <w:szCs w:val="20"/>
          <w:color w:val="auto"/>
        </w:rPr>
      </w:pPr>
      <w:r>
        <w:rPr>
          <w:rFonts w:ascii="Arial" w:cs="Arial" w:eastAsia="Arial" w:hAnsi="Arial"/>
          <w:sz w:val="13"/>
          <w:szCs w:val="13"/>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high credit quality. In the event of non-performance by counterparties, the carrying value of our financial instruments represents the maximum amount of loss that would be incurred.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Hierarchy</w:t>
      </w:r>
    </w:p>
    <w:p>
      <w:pPr>
        <w:spacing w:after="0" w:line="89" w:lineRule="exact"/>
        <w:rPr>
          <w:sz w:val="20"/>
          <w:szCs w:val="20"/>
          <w:color w:val="auto"/>
        </w:rPr>
      </w:pPr>
    </w:p>
    <w:p>
      <w:pPr>
        <w:ind w:right="200"/>
        <w:spacing w:after="0" w:line="293" w:lineRule="auto"/>
        <w:rPr>
          <w:sz w:val="20"/>
          <w:szCs w:val="20"/>
          <w:color w:val="auto"/>
        </w:rPr>
      </w:pPr>
      <w:r>
        <w:rPr>
          <w:rFonts w:ascii="Arial" w:cs="Arial" w:eastAsia="Arial" w:hAnsi="Arial"/>
          <w:sz w:val="13"/>
          <w:szCs w:val="13"/>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ectPr>
          <w:pgSz w:w="11900" w:h="16838" w:orient="portrait"/>
          <w:cols w:equalWidth="0" w:num="1">
            <w:col w:w="11280"/>
          </w:cols>
          <w:pgMar w:left="300" w:top="135" w:right="31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discloses the fair value of our financial assets and liabilities: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280" w:type="dxa"/>
            <w:vAlign w:val="bottom"/>
            <w:gridSpan w:val="4"/>
          </w:tcPr>
          <w:p>
            <w:pPr>
              <w:spacing w:after="0"/>
              <w:rPr>
                <w:sz w:val="20"/>
                <w:szCs w:val="20"/>
                <w:color w:val="auto"/>
              </w:rPr>
            </w:pPr>
            <w:r>
              <w:rPr>
                <w:rFonts w:ascii="Arial" w:cs="Arial" w:eastAsia="Arial" w:hAnsi="Arial"/>
                <w:sz w:val="12"/>
                <w:szCs w:val="12"/>
                <w:b w:val="1"/>
                <w:bCs w:val="1"/>
                <w:color w:val="auto"/>
              </w:rPr>
              <w:t>As of March 31, 2021</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11"/>
              <w:spacing w:after="0"/>
              <w:rPr>
                <w:sz w:val="20"/>
                <w:szCs w:val="20"/>
                <w:color w:val="auto"/>
              </w:rPr>
            </w:pPr>
            <w:r>
              <w:rPr>
                <w:rFonts w:ascii="Arial" w:cs="Arial" w:eastAsia="Arial" w:hAnsi="Arial"/>
                <w:sz w:val="12"/>
                <w:szCs w:val="12"/>
                <w:b w:val="1"/>
                <w:bCs w:val="1"/>
                <w:color w:val="auto"/>
                <w:w w:val="93"/>
              </w:rPr>
              <w:t>Carrying</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6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2"/>
                <w:szCs w:val="12"/>
                <w:i w:val="1"/>
                <w:iCs w:val="1"/>
                <w:color w:val="auto"/>
                <w:w w:val="87"/>
              </w:rPr>
              <w:t>(thousands of U.S. dollars)</w:t>
            </w:r>
          </w:p>
        </w:tc>
        <w:tc>
          <w:tcPr>
            <w:tcW w:w="4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center"/>
              <w:ind w:right="231"/>
              <w:spacing w:after="0" w:line="126" w:lineRule="exact"/>
              <w:rPr>
                <w:sz w:val="20"/>
                <w:szCs w:val="20"/>
                <w:color w:val="auto"/>
              </w:rPr>
            </w:pPr>
            <w:r>
              <w:rPr>
                <w:rFonts w:ascii="Arial" w:cs="Arial" w:eastAsia="Arial" w:hAnsi="Arial"/>
                <w:sz w:val="12"/>
                <w:szCs w:val="12"/>
                <w:b w:val="1"/>
                <w:bCs w:val="1"/>
                <w:color w:val="auto"/>
                <w:w w:val="88"/>
              </w:rPr>
              <w:t>Amount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5280" w:type="dxa"/>
            <w:vAlign w:val="bottom"/>
            <w:gridSpan w:val="4"/>
            <w:vMerge w:val="restart"/>
          </w:tcPr>
          <w:p>
            <w:pPr>
              <w:spacing w:after="0"/>
              <w:rPr>
                <w:sz w:val="20"/>
                <w:szCs w:val="20"/>
                <w:color w:val="auto"/>
              </w:rPr>
            </w:pPr>
            <w:r>
              <w:rPr>
                <w:rFonts w:ascii="Arial" w:cs="Arial" w:eastAsia="Arial" w:hAnsi="Arial"/>
                <w:sz w:val="15"/>
                <w:szCs w:val="15"/>
                <w:color w:val="auto"/>
              </w:rPr>
              <w:t>Derivatives not designated as hedging instruments</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280" w:type="dxa"/>
            <w:vAlign w:val="bottom"/>
            <w:gridSpan w:val="4"/>
            <w:vMerge w:val="continue"/>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Interest rate caps</w:t>
            </w:r>
          </w:p>
        </w:tc>
        <w:tc>
          <w:tcPr>
            <w:tcW w:w="300" w:type="dxa"/>
            <w:vAlign w:val="bottom"/>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Embedded derivative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Embedded derivative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80" w:type="dxa"/>
            <w:vAlign w:val="bottom"/>
            <w:gridSpan w:val="4"/>
          </w:tcPr>
          <w:p>
            <w:pPr>
              <w:spacing w:after="0"/>
              <w:rPr>
                <w:sz w:val="20"/>
                <w:szCs w:val="20"/>
                <w:color w:val="auto"/>
              </w:rPr>
            </w:pPr>
            <w:r>
              <w:rPr>
                <w:rFonts w:ascii="Arial" w:cs="Arial" w:eastAsia="Arial" w:hAnsi="Arial"/>
                <w:sz w:val="15"/>
                <w:szCs w:val="15"/>
                <w:color w:val="auto"/>
              </w:rPr>
              <w:t>Long-Term Debt</w:t>
            </w:r>
            <w:r>
              <w:rPr>
                <w:rFonts w:ascii="Arial" w:cs="Arial" w:eastAsia="Arial" w:hAnsi="Arial"/>
                <w:sz w:val="18"/>
                <w:szCs w:val="18"/>
                <w:color w:val="auto"/>
                <w:vertAlign w:val="superscript"/>
              </w:rPr>
              <w:t>(b)</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Term loan, due 2026</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1,740,071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Senior notes, due 2026</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96,458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Other long-term debt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1,051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5280" w:type="dxa"/>
            <w:vAlign w:val="bottom"/>
            <w:gridSpan w:val="4"/>
          </w:tcPr>
          <w:p>
            <w:pPr>
              <w:spacing w:after="0"/>
              <w:rPr>
                <w:sz w:val="20"/>
                <w:szCs w:val="20"/>
                <w:color w:val="auto"/>
              </w:rPr>
            </w:pPr>
            <w:r>
              <w:rPr>
                <w:rFonts w:ascii="Arial" w:cs="Arial" w:eastAsia="Arial" w:hAnsi="Arial"/>
                <w:sz w:val="15"/>
                <w:szCs w:val="15"/>
                <w:color w:val="auto"/>
              </w:rPr>
              <w:t>Finance Lease Obligations (with current portion)</w:t>
            </w:r>
            <w:r>
              <w:rPr>
                <w:rFonts w:ascii="Arial" w:cs="Arial" w:eastAsia="Arial" w:hAnsi="Arial"/>
                <w:sz w:val="18"/>
                <w:szCs w:val="18"/>
                <w:color w:val="auto"/>
                <w:vertAlign w:val="superscript"/>
              </w:rPr>
              <w:t>(c)</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34,540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5280" w:type="dxa"/>
            <w:vAlign w:val="bottom"/>
            <w:gridSpan w:val="4"/>
          </w:tcPr>
          <w:p>
            <w:pPr>
              <w:spacing w:after="0"/>
              <w:rPr>
                <w:sz w:val="20"/>
                <w:szCs w:val="20"/>
                <w:color w:val="auto"/>
              </w:rPr>
            </w:pPr>
            <w:r>
              <w:rPr>
                <w:rFonts w:ascii="Arial" w:cs="Arial" w:eastAsia="Arial" w:hAnsi="Arial"/>
                <w:sz w:val="12"/>
                <w:szCs w:val="12"/>
                <w:b w:val="1"/>
                <w:bCs w:val="1"/>
                <w:color w:val="auto"/>
              </w:rPr>
              <w:t>As of December 31, 2020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11"/>
              <w:spacing w:after="0"/>
              <w:rPr>
                <w:sz w:val="20"/>
                <w:szCs w:val="20"/>
                <w:color w:val="auto"/>
              </w:rPr>
            </w:pPr>
            <w:r>
              <w:rPr>
                <w:rFonts w:ascii="Arial" w:cs="Arial" w:eastAsia="Arial" w:hAnsi="Arial"/>
                <w:sz w:val="12"/>
                <w:szCs w:val="12"/>
                <w:b w:val="1"/>
                <w:bCs w:val="1"/>
                <w:color w:val="auto"/>
                <w:w w:val="93"/>
              </w:rPr>
              <w:t>Carrying</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6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2"/>
                <w:szCs w:val="12"/>
                <w:i w:val="1"/>
                <w:iCs w:val="1"/>
                <w:color w:val="auto"/>
                <w:w w:val="87"/>
              </w:rPr>
              <w:t>(thousands of U.S. dollars)</w:t>
            </w:r>
          </w:p>
        </w:tc>
        <w:tc>
          <w:tcPr>
            <w:tcW w:w="4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center"/>
              <w:ind w:right="231"/>
              <w:spacing w:after="0" w:line="126" w:lineRule="exact"/>
              <w:rPr>
                <w:sz w:val="20"/>
                <w:szCs w:val="20"/>
                <w:color w:val="auto"/>
              </w:rPr>
            </w:pPr>
            <w:r>
              <w:rPr>
                <w:rFonts w:ascii="Arial" w:cs="Arial" w:eastAsia="Arial" w:hAnsi="Arial"/>
                <w:sz w:val="12"/>
                <w:szCs w:val="12"/>
                <w:b w:val="1"/>
                <w:bCs w:val="1"/>
                <w:color w:val="auto"/>
                <w:w w:val="88"/>
              </w:rPr>
              <w:t>Amount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5280" w:type="dxa"/>
            <w:vAlign w:val="bottom"/>
            <w:gridSpan w:val="4"/>
            <w:vMerge w:val="restart"/>
          </w:tcPr>
          <w:p>
            <w:pPr>
              <w:spacing w:after="0"/>
              <w:rPr>
                <w:sz w:val="20"/>
                <w:szCs w:val="20"/>
                <w:color w:val="auto"/>
              </w:rPr>
            </w:pPr>
            <w:r>
              <w:rPr>
                <w:rFonts w:ascii="Arial" w:cs="Arial" w:eastAsia="Arial" w:hAnsi="Arial"/>
                <w:sz w:val="15"/>
                <w:szCs w:val="15"/>
                <w:color w:val="auto"/>
              </w:rPr>
              <w:t>Derivatives not designated as hedging instruments</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5280" w:type="dxa"/>
            <w:vAlign w:val="bottom"/>
            <w:gridSpan w:val="4"/>
            <w:vMerge w:val="continue"/>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Interest rate caps</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Embedded derivative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5280" w:type="dxa"/>
            <w:vAlign w:val="bottom"/>
            <w:gridSpan w:val="4"/>
          </w:tcPr>
          <w:p>
            <w:pPr>
              <w:spacing w:after="0"/>
              <w:rPr>
                <w:sz w:val="20"/>
                <w:szCs w:val="20"/>
                <w:color w:val="auto"/>
              </w:rPr>
            </w:pPr>
            <w:r>
              <w:rPr>
                <w:rFonts w:ascii="Arial" w:cs="Arial" w:eastAsia="Arial" w:hAnsi="Arial"/>
                <w:sz w:val="15"/>
                <w:szCs w:val="15"/>
                <w:color w:val="auto"/>
              </w:rPr>
              <w:t>Long-Term Debt</w:t>
            </w:r>
            <w:r>
              <w:rPr>
                <w:rFonts w:ascii="Arial" w:cs="Arial" w:eastAsia="Arial" w:hAnsi="Arial"/>
                <w:sz w:val="18"/>
                <w:szCs w:val="18"/>
                <w:color w:val="auto"/>
                <w:vertAlign w:val="superscript"/>
              </w:rPr>
              <w:t>(b)</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Term loan, due 2026</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1,728,018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Senior notes, due 2026</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96,329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gridSpan w:val="4"/>
          </w:tcPr>
          <w:p>
            <w:pPr>
              <w:ind w:left="180"/>
              <w:spacing w:after="0"/>
              <w:rPr>
                <w:sz w:val="20"/>
                <w:szCs w:val="20"/>
                <w:color w:val="auto"/>
              </w:rPr>
            </w:pPr>
            <w:r>
              <w:rPr>
                <w:rFonts w:ascii="Arial" w:cs="Arial" w:eastAsia="Arial" w:hAnsi="Arial"/>
                <w:sz w:val="15"/>
                <w:szCs w:val="15"/>
                <w:color w:val="auto"/>
              </w:rPr>
              <w:t>Other long-term debt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5280" w:type="dxa"/>
            <w:vAlign w:val="bottom"/>
            <w:gridSpan w:val="4"/>
          </w:tcPr>
          <w:p>
            <w:pPr>
              <w:spacing w:after="0"/>
              <w:rPr>
                <w:sz w:val="20"/>
                <w:szCs w:val="20"/>
                <w:color w:val="auto"/>
              </w:rPr>
            </w:pPr>
            <w:r>
              <w:rPr>
                <w:rFonts w:ascii="Arial" w:cs="Arial" w:eastAsia="Arial" w:hAnsi="Arial"/>
                <w:sz w:val="15"/>
                <w:szCs w:val="15"/>
                <w:color w:val="auto"/>
              </w:rPr>
              <w:t>Finance Lease Obligations (with current portion)</w:t>
            </w:r>
            <w:r>
              <w:rPr>
                <w:rFonts w:ascii="Arial" w:cs="Arial" w:eastAsia="Arial" w:hAnsi="Arial"/>
                <w:sz w:val="18"/>
                <w:szCs w:val="18"/>
                <w:color w:val="auto"/>
                <w:vertAlign w:val="superscript"/>
              </w:rPr>
              <w:t>(c)</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36,112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-2764155</wp:posOffset>
            </wp:positionV>
            <wp:extent cx="7158990" cy="138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138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-2487930</wp:posOffset>
            </wp:positionV>
            <wp:extent cx="715899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1797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-2170430</wp:posOffset>
            </wp:positionV>
            <wp:extent cx="7158990" cy="138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138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-1893570</wp:posOffset>
            </wp:positionV>
            <wp:extent cx="715899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1797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-3082290</wp:posOffset>
            </wp:positionV>
            <wp:extent cx="715899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1797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-919480</wp:posOffset>
            </wp:positionV>
            <wp:extent cx="7158990" cy="138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138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-601345</wp:posOffset>
            </wp:positionV>
            <wp:extent cx="7158990" cy="138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138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-325120</wp:posOffset>
            </wp:positionV>
            <wp:extent cx="7158990" cy="138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138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-1237615</wp:posOffset>
            </wp:positionV>
            <wp:extent cx="715899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540"/>
        <w:spacing w:after="0"/>
        <w:rPr>
          <w:sz w:val="20"/>
          <w:szCs w:val="20"/>
          <w:color w:val="auto"/>
        </w:rPr>
      </w:pPr>
      <w:r>
        <w:rPr>
          <w:rFonts w:ascii="Arial" w:cs="Arial" w:eastAsia="Arial" w:hAnsi="Arial"/>
          <w:sz w:val="12"/>
          <w:szCs w:val="12"/>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20320</wp:posOffset>
            </wp:positionV>
            <wp:extent cx="283337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3370" cy="6985"/>
                    </a:xfrm>
                    <a:prstGeom prst="rect">
                      <a:avLst/>
                    </a:prstGeom>
                    <a:noFill/>
                  </pic:spPr>
                </pic:pic>
              </a:graphicData>
            </a:graphic>
          </wp:anchor>
        </w:drawing>
      </w:r>
    </w:p>
    <w:p>
      <w:pPr>
        <w:spacing w:after="0" w:line="114" w:lineRule="exact"/>
        <w:rPr>
          <w:sz w:val="20"/>
          <w:szCs w:val="20"/>
          <w:color w:val="auto"/>
        </w:rPr>
      </w:pPr>
    </w:p>
    <w:p>
      <w:pPr>
        <w:spacing w:after="0"/>
        <w:tabs>
          <w:tab w:leader="none" w:pos="1500" w:val="left"/>
          <w:tab w:leader="none" w:pos="3000" w:val="left"/>
        </w:tabs>
        <w:rPr>
          <w:sz w:val="20"/>
          <w:szCs w:val="20"/>
          <w:color w:val="auto"/>
        </w:rPr>
      </w:pPr>
      <w:r>
        <w:rPr>
          <w:rFonts w:ascii="Arial" w:cs="Arial" w:eastAsia="Arial" w:hAnsi="Arial"/>
          <w:sz w:val="12"/>
          <w:szCs w:val="12"/>
          <w:b w:val="1"/>
          <w:bCs w:val="1"/>
          <w:color w:val="auto"/>
        </w:rPr>
        <w:t>Level 1</w:t>
      </w:r>
      <w:r>
        <w:rPr>
          <w:sz w:val="20"/>
          <w:szCs w:val="20"/>
          <w:color w:val="auto"/>
        </w:rPr>
        <w:tab/>
      </w:r>
      <w:r>
        <w:rPr>
          <w:rFonts w:ascii="Arial" w:cs="Arial" w:eastAsia="Arial" w:hAnsi="Arial"/>
          <w:sz w:val="12"/>
          <w:szCs w:val="12"/>
          <w:b w:val="1"/>
          <w:bCs w:val="1"/>
          <w:color w:val="auto"/>
        </w:rPr>
        <w:t>Level 2</w:t>
      </w:r>
      <w:r>
        <w:rPr>
          <w:sz w:val="20"/>
          <w:szCs w:val="20"/>
          <w:color w:val="auto"/>
        </w:rPr>
        <w:tab/>
      </w:r>
      <w:r>
        <w:rPr>
          <w:rFonts w:ascii="Arial" w:cs="Arial" w:eastAsia="Arial" w:hAnsi="Arial"/>
          <w:sz w:val="10"/>
          <w:szCs w:val="10"/>
          <w:b w:val="1"/>
          <w:bCs w:val="1"/>
          <w:color w:val="auto"/>
        </w:rPr>
        <w:t>Level 3</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80" w:type="dxa"/>
            <w:vAlign w:val="bottom"/>
          </w:tcPr>
          <w:p>
            <w:pPr>
              <w:spacing w:after="0"/>
              <w:rPr>
                <w:sz w:val="16"/>
                <w:szCs w:val="16"/>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501"/>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1,760,896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97,587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1,051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283"/>
        </w:trPr>
        <w:tc>
          <w:tcPr>
            <w:tcW w:w="9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34,540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5"/>
                <w:szCs w:val="15"/>
                <w:b w:val="1"/>
                <w:bCs w:val="1"/>
                <w:color w:val="auto"/>
              </w:rPr>
              <w:t>—</w:t>
            </w:r>
          </w:p>
        </w:tc>
      </w:tr>
      <w:tr>
        <w:trPr>
          <w:trHeight w:val="449"/>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Fair Value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2"/>
        </w:trPr>
        <w:tc>
          <w:tcPr>
            <w:tcW w:w="980" w:type="dxa"/>
            <w:vAlign w:val="bottom"/>
          </w:tcPr>
          <w:p>
            <w:pPr>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3"/>
              </w:rPr>
              <w:t>Level 2</w:t>
            </w:r>
          </w:p>
        </w:tc>
        <w:tc>
          <w:tcPr>
            <w:tcW w:w="320" w:type="dxa"/>
            <w:vAlign w:val="bottom"/>
          </w:tcPr>
          <w:p>
            <w:pPr>
              <w:spacing w:after="0"/>
              <w:rPr>
                <w:sz w:val="23"/>
                <w:szCs w:val="23"/>
                <w:color w:val="auto"/>
              </w:rPr>
            </w:pP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Level 3</w:t>
            </w:r>
          </w:p>
        </w:tc>
      </w:tr>
      <w:tr>
        <w:trPr>
          <w:trHeight w:val="53"/>
        </w:trPr>
        <w:tc>
          <w:tcPr>
            <w:tcW w:w="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457"/>
        </w:trPr>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1120" w:type="dxa"/>
            <w:vAlign w:val="bottom"/>
          </w:tcPr>
          <w:p>
            <w:pPr>
              <w:ind w:left="920"/>
              <w:spacing w:after="0"/>
              <w:rPr>
                <w:sz w:val="20"/>
                <w:szCs w:val="20"/>
                <w:color w:val="auto"/>
              </w:rPr>
            </w:pPr>
            <w:r>
              <w:rPr>
                <w:rFonts w:ascii="Arial" w:cs="Arial" w:eastAsia="Arial" w:hAnsi="Arial"/>
                <w:sz w:val="15"/>
                <w:szCs w:val="15"/>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color w:val="auto"/>
              </w:rPr>
              <w:t>—</w:t>
            </w:r>
          </w:p>
        </w:tc>
      </w:tr>
      <w:tr>
        <w:trPr>
          <w:trHeight w:val="501"/>
        </w:trPr>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1,772,180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5"/>
                <w:szCs w:val="15"/>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99,863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color w:val="auto"/>
              </w:rPr>
              <w:t>—</w:t>
            </w:r>
          </w:p>
        </w:tc>
      </w:tr>
      <w:tr>
        <w:trPr>
          <w:trHeight w:val="218"/>
        </w:trPr>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5"/>
                <w:szCs w:val="15"/>
                <w:color w:val="auto"/>
              </w:rPr>
              <w:t>—</w:t>
            </w:r>
          </w:p>
        </w:tc>
      </w:tr>
      <w:tr>
        <w:trPr>
          <w:trHeight w:val="283"/>
        </w:trPr>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36,112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-1407795</wp:posOffset>
            </wp:positionV>
            <wp:extent cx="283337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3370" cy="698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6900" w:space="460"/>
            <w:col w:w="3920"/>
          </w:cols>
          <w:pgMar w:left="300" w:top="135" w:right="319" w:bottom="1440" w:gutter="0" w:footer="0" w:header="0"/>
          <w:type w:val="continuous"/>
        </w:sectPr>
      </w:pPr>
    </w:p>
    <w:p>
      <w:pPr>
        <w:ind w:left="400" w:right="60" w:hanging="393"/>
        <w:spacing w:after="0" w:line="284" w:lineRule="auto"/>
        <w:tabs>
          <w:tab w:leader="none" w:pos="398"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Derivatives that are not designated as hedging instruments are measured at fair value with gains or losses recognized immediately in the Consolidated Statements of Operations and Comprehensive Income (Loss).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ind w:left="400" w:right="180" w:hanging="393"/>
        <w:spacing w:after="0" w:line="242" w:lineRule="auto"/>
        <w:tabs>
          <w:tab w:leader="none" w:pos="395" w:val="left"/>
        </w:tabs>
        <w:numPr>
          <w:ilvl w:val="0"/>
          <w:numId w:val="15"/>
        </w:numPr>
        <w:rPr>
          <w:rFonts w:ascii="Arial" w:cs="Arial" w:eastAsia="Arial" w:hAnsi="Arial"/>
          <w:sz w:val="15"/>
          <w:szCs w:val="15"/>
          <w:color w:val="auto"/>
        </w:rPr>
      </w:pPr>
      <w:r>
        <w:rPr>
          <w:rFonts w:ascii="Arial" w:cs="Arial" w:eastAsia="Arial" w:hAnsi="Arial"/>
          <w:sz w:val="15"/>
          <w:szCs w:val="15"/>
          <w:color w:val="auto"/>
        </w:rPr>
        <w:t>Carrying amounts of long-term debt instruments are reported net of discounts and debt issuance costs. The estimated fair value of these instruments is based on information provided by the agent under the Company’s senior secured credit facility. Fair value approximates carrying value for “Other long-term debt.”</w:t>
      </w:r>
    </w:p>
    <w:p>
      <w:pPr>
        <w:ind w:left="400" w:hanging="393"/>
        <w:spacing w:after="0"/>
        <w:tabs>
          <w:tab w:leader="none" w:pos="4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Fair value approximates carrying value.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Segment Information</w:t>
      </w:r>
    </w:p>
    <w:p>
      <w:pPr>
        <w:spacing w:after="0" w:line="93"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our 2020 Form 10-K.</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Sterigenics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The Sterigenics segment provides outsourced terminal sterilization and irradiation services for the medical device, pharmaceutical, food safety and advanced applications markets.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Nordion</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Nordion is a global provider of Co-60 and gamma irradiators, which are key components to the gamma sterilization process.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Nelson Labs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Nelson Labs provides outsourced microbiological and analytical chemistry testing and advisory services for the medical device and biopharmaceutical industries.</w:t>
      </w:r>
    </w:p>
    <w:p>
      <w:pPr>
        <w:spacing w:after="0" w:line="176"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For the three months ended March 31, 2021, three customers reported within the Nordion segment individually represented 10% or more of the segment’s total net revenues. These customers represented 23.7%, 20.0%, and 12.2% of the total segment’s external net revenues for the three months ended March 31, 2021. For the three months ended March 31, 2020, two customers reported within the Nordion segment individually represented 10% or more of the segment's total net revenues. These customers represented 18.7% and 11.6% of the total segment's external net revenues for the three months ended March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8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March 31, 2021</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5"/>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Sterigenics</w:t>
            </w:r>
          </w:p>
        </w:tc>
        <w:tc>
          <w:tcPr>
            <w:tcW w:w="300" w:type="dxa"/>
            <w:vAlign w:val="bottom"/>
          </w:tcPr>
          <w:p>
            <w:pPr>
              <w:spacing w:after="0"/>
              <w:rPr>
                <w:sz w:val="12"/>
                <w:szCs w:val="12"/>
                <w:color w:val="auto"/>
              </w:rPr>
            </w:pP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Nordion</w:t>
            </w:r>
          </w:p>
        </w:tc>
        <w:tc>
          <w:tcPr>
            <w:tcW w:w="240" w:type="dxa"/>
            <w:vAlign w:val="bottom"/>
          </w:tcPr>
          <w:p>
            <w:pPr>
              <w:spacing w:after="0"/>
              <w:rPr>
                <w:sz w:val="12"/>
                <w:szCs w:val="12"/>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Nelson Labs</w:t>
            </w:r>
          </w:p>
        </w:tc>
        <w:tc>
          <w:tcPr>
            <w:tcW w:w="240" w:type="dxa"/>
            <w:vAlign w:val="bottom"/>
          </w:tcPr>
          <w:p>
            <w:pPr>
              <w:spacing w:after="0"/>
              <w:rPr>
                <w:sz w:val="12"/>
                <w:szCs w:val="12"/>
                <w:color w:val="auto"/>
              </w:rPr>
            </w:pPr>
          </w:p>
        </w:tc>
        <w:tc>
          <w:tcPr>
            <w:tcW w:w="1200" w:type="dxa"/>
            <w:vAlign w:val="bottom"/>
          </w:tcPr>
          <w:p>
            <w:pPr>
              <w:jc w:val="right"/>
              <w:ind w:right="331"/>
              <w:spacing w:after="0"/>
              <w:rPr>
                <w:sz w:val="20"/>
                <w:szCs w:val="20"/>
                <w:color w:val="auto"/>
              </w:rPr>
            </w:pPr>
            <w:r>
              <w:rPr>
                <w:rFonts w:ascii="Arial" w:cs="Arial" w:eastAsia="Arial" w:hAnsi="Arial"/>
                <w:sz w:val="12"/>
                <w:szCs w:val="12"/>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revenues</w:t>
            </w:r>
            <w:r>
              <w:rPr>
                <w:rFonts w:ascii="Arial" w:cs="Arial" w:eastAsia="Arial" w:hAnsi="Arial"/>
                <w:sz w:val="18"/>
                <w:szCs w:val="18"/>
                <w:b w:val="1"/>
                <w:bCs w:val="1"/>
                <w:color w:val="auto"/>
                <w:vertAlign w:val="superscript"/>
              </w:rPr>
              <w:t>(a)</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131,151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25,918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55,079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212,148</w:t>
            </w:r>
          </w:p>
        </w:tc>
      </w:tr>
      <w:tr>
        <w:trPr>
          <w:trHeight w:val="305"/>
        </w:trPr>
        <w:tc>
          <w:tcPr>
            <w:tcW w:w="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Segment income</w:t>
            </w:r>
            <w:r>
              <w:rPr>
                <w:rFonts w:ascii="Arial" w:cs="Arial" w:eastAsia="Arial" w:hAnsi="Arial"/>
                <w:sz w:val="18"/>
                <w:szCs w:val="18"/>
                <w:b w:val="1"/>
                <w:bCs w:val="1"/>
                <w:color w:val="auto"/>
                <w:vertAlign w:val="superscript"/>
              </w:rPr>
              <w:t>(b)</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68,461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13,786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23,070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105,317</w:t>
            </w: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Capital expenditures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19,514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20,942</w:t>
            </w: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March 31, 2020</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Sterigenics</w:t>
            </w:r>
          </w:p>
        </w:tc>
        <w:tc>
          <w:tcPr>
            <w:tcW w:w="30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Nordion</w:t>
            </w: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Nelson Labs</w:t>
            </w:r>
          </w:p>
        </w:tc>
        <w:tc>
          <w:tcPr>
            <w:tcW w:w="240" w:type="dxa"/>
            <w:vAlign w:val="bottom"/>
          </w:tcPr>
          <w:p>
            <w:pPr>
              <w:spacing w:after="0"/>
              <w:rPr>
                <w:sz w:val="15"/>
                <w:szCs w:val="15"/>
                <w:color w:val="auto"/>
              </w:rPr>
            </w:pPr>
          </w:p>
        </w:tc>
        <w:tc>
          <w:tcPr>
            <w:tcW w:w="1200" w:type="dxa"/>
            <w:vAlign w:val="bottom"/>
          </w:tcPr>
          <w:p>
            <w:pPr>
              <w:jc w:val="right"/>
              <w:ind w:right="331"/>
              <w:spacing w:after="0"/>
              <w:rPr>
                <w:sz w:val="20"/>
                <w:szCs w:val="20"/>
                <w:color w:val="auto"/>
              </w:rPr>
            </w:pPr>
            <w:r>
              <w:rPr>
                <w:rFonts w:ascii="Arial" w:cs="Arial" w:eastAsia="Arial" w:hAnsi="Arial"/>
                <w:sz w:val="12"/>
                <w:szCs w:val="12"/>
                <w:b w:val="1"/>
                <w:bCs w:val="1"/>
                <w:color w:val="auto"/>
              </w:rPr>
              <w:t>Consolidated</w:t>
            </w:r>
          </w:p>
        </w:tc>
      </w:tr>
      <w:tr>
        <w:trPr>
          <w:trHeight w:val="53"/>
        </w:trPr>
        <w:tc>
          <w:tcPr>
            <w:tcW w:w="20" w:type="dxa"/>
            <w:vAlign w:val="bottom"/>
            <w:tcBorders>
              <w:bottom w:val="single" w:sz="8" w:color="CCEEFF"/>
            </w:tcBorders>
          </w:tcPr>
          <w:p>
            <w:pPr>
              <w:spacing w:after="0"/>
              <w:rPr>
                <w:sz w:val="4"/>
                <w:szCs w:val="4"/>
                <w:color w:val="auto"/>
              </w:rPr>
            </w:pPr>
          </w:p>
        </w:tc>
        <w:tc>
          <w:tcPr>
            <w:tcW w:w="528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85"/>
        </w:trPr>
        <w:tc>
          <w:tcPr>
            <w:tcW w:w="20" w:type="dxa"/>
            <w:vAlign w:val="bottom"/>
            <w:shd w:val="clear" w:color="auto" w:fill="CCEEFF"/>
          </w:tcPr>
          <w:p>
            <w:pPr>
              <w:spacing w:after="0"/>
              <w:rPr>
                <w:sz w:val="24"/>
                <w:szCs w:val="24"/>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revenues</w:t>
            </w:r>
            <w:r>
              <w:rPr>
                <w:rFonts w:ascii="Arial" w:cs="Arial" w:eastAsia="Arial" w:hAnsi="Arial"/>
                <w:sz w:val="18"/>
                <w:szCs w:val="18"/>
                <w:b w:val="1"/>
                <w:bCs w:val="1"/>
                <w:color w:val="auto"/>
                <w:vertAlign w:val="superscript"/>
              </w:rPr>
              <w:t>(a)</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117,280</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23,625</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47,295</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188,200</w:t>
            </w:r>
          </w:p>
        </w:tc>
      </w:tr>
      <w:tr>
        <w:trPr>
          <w:trHeight w:val="305"/>
        </w:trPr>
        <w:tc>
          <w:tcPr>
            <w:tcW w:w="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Segment income</w:t>
            </w:r>
            <w:r>
              <w:rPr>
                <w:rFonts w:ascii="Arial" w:cs="Arial" w:eastAsia="Arial" w:hAnsi="Arial"/>
                <w:sz w:val="18"/>
                <w:szCs w:val="18"/>
                <w:b w:val="1"/>
                <w:bCs w:val="1"/>
                <w:color w:val="auto"/>
                <w:vertAlign w:val="superscript"/>
              </w:rPr>
              <w:t>(b)</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61,091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13,022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17,770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91,883</w:t>
            </w:r>
          </w:p>
        </w:tc>
      </w:tr>
      <w:tr>
        <w:trPr>
          <w:trHeight w:val="194"/>
        </w:trPr>
        <w:tc>
          <w:tcPr>
            <w:tcW w:w="20" w:type="dxa"/>
            <w:vAlign w:val="bottom"/>
            <w:shd w:val="clear" w:color="auto" w:fill="CCEEFF"/>
          </w:tcPr>
          <w:p>
            <w:pPr>
              <w:spacing w:after="0"/>
              <w:rPr>
                <w:sz w:val="16"/>
                <w:szCs w:val="16"/>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Capital expenditures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12,989</w:t>
            </w:r>
          </w:p>
        </w:tc>
      </w:tr>
      <w:tr>
        <w:trPr>
          <w:trHeight w:val="23"/>
        </w:trPr>
        <w:tc>
          <w:tcPr>
            <w:tcW w:w="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ind w:left="400" w:right="100" w:hanging="393"/>
        <w:spacing w:after="0" w:line="286" w:lineRule="auto"/>
        <w:tabs>
          <w:tab w:leader="none" w:pos="398"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Revenues are reported net of intersegment sales. Our Nordion segment recognized $10.5 million and $10.9 million in revenues from sales to our Sterigenics segment for the three months ended March 31, 2021 and 2020, respectively, that is not reflected in net revenues in the table above. Intersegment sales for Sterigenics and Nelson Labs are immaterial for both periods.</w:t>
      </w:r>
    </w:p>
    <w:p>
      <w:pPr>
        <w:spacing w:after="0" w:line="1" w:lineRule="exact"/>
        <w:rPr>
          <w:rFonts w:ascii="Arial" w:cs="Arial" w:eastAsia="Arial" w:hAnsi="Arial"/>
          <w:sz w:val="13"/>
          <w:szCs w:val="13"/>
          <w:color w:val="auto"/>
        </w:rPr>
      </w:pPr>
    </w:p>
    <w:p>
      <w:pPr>
        <w:ind w:left="400" w:hanging="393"/>
        <w:spacing w:after="0"/>
        <w:tabs>
          <w:tab w:leader="none" w:pos="4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Segment income is only provided on a net basis to the chief operating decision maker and is reported net of intersegment profits.</w:t>
      </w:r>
    </w:p>
    <w:p>
      <w:pPr>
        <w:spacing w:after="0" w:line="167" w:lineRule="exact"/>
        <w:rPr>
          <w:sz w:val="20"/>
          <w:szCs w:val="20"/>
          <w:color w:val="auto"/>
        </w:rPr>
      </w:pPr>
    </w:p>
    <w:p>
      <w:pPr>
        <w:ind w:right="420"/>
        <w:spacing w:after="0" w:line="257" w:lineRule="auto"/>
        <w:rPr>
          <w:sz w:val="20"/>
          <w:szCs w:val="20"/>
          <w:color w:val="auto"/>
        </w:rPr>
      </w:pPr>
      <w:r>
        <w:rPr>
          <w:rFonts w:ascii="Arial" w:cs="Arial" w:eastAsia="Arial" w:hAnsi="Arial"/>
          <w:sz w:val="15"/>
          <w:szCs w:val="15"/>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Total assets and depreciation and amortization expense by segment are not readily available and are not reported separately to the chief operating decision maker.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Sotera Health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segment income to consolidated income (loss) before taxes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3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2"/>
                <w:szCs w:val="12"/>
                <w:b w:val="1"/>
                <w:bCs w:val="1"/>
                <w:color w:val="auto"/>
              </w:rPr>
              <w:t>Three Months Ended March 31,</w:t>
            </w:r>
          </w:p>
        </w:tc>
        <w:tc>
          <w:tcPr>
            <w:tcW w:w="340" w:type="dxa"/>
            <w:vAlign w:val="bottom"/>
          </w:tcPr>
          <w:p>
            <w:pPr>
              <w:spacing w:after="0"/>
              <w:rPr>
                <w:sz w:val="13"/>
                <w:szCs w:val="13"/>
                <w:color w:val="auto"/>
              </w:rPr>
            </w:pPr>
          </w:p>
        </w:tc>
        <w:tc>
          <w:tcPr>
            <w:tcW w:w="1080" w:type="dxa"/>
            <w:vAlign w:val="bottom"/>
          </w:tcPr>
          <w:p>
            <w:pPr>
              <w:jc w:val="right"/>
              <w:ind w:right="535"/>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35"/>
              <w:spacing w:after="0"/>
              <w:rPr>
                <w:sz w:val="20"/>
                <w:szCs w:val="20"/>
                <w:color w:val="auto"/>
              </w:rPr>
            </w:pPr>
            <w:r>
              <w:rPr>
                <w:rFonts w:ascii="Arial" w:cs="Arial" w:eastAsia="Arial" w:hAnsi="Arial"/>
                <w:sz w:val="12"/>
                <w:szCs w:val="12"/>
                <w:b w:val="1"/>
                <w:bCs w:val="1"/>
                <w:color w:val="auto"/>
              </w:rPr>
              <w:t>2020</w:t>
            </w:r>
          </w:p>
        </w:tc>
      </w:tr>
      <w:tr>
        <w:trPr>
          <w:trHeight w:val="24"/>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Segment income</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105,317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91,883</w:t>
            </w:r>
          </w:p>
        </w:tc>
      </w:tr>
      <w:tr>
        <w:trPr>
          <w:trHeight w:val="194"/>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Less adjustments: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138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13843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7"/>
          <w:szCs w:val="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5899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179705"/>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Share-based compensation</w:t>
      </w:r>
      <w:r>
        <w:rPr>
          <w:rFonts w:ascii="Arial" w:cs="Arial" w:eastAsia="Arial" w:hAnsi="Arial"/>
          <w:sz w:val="7"/>
          <w:szCs w:val="7"/>
          <w:color w:val="auto"/>
        </w:rPr>
        <w:t>(b)</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(Gain) loss on foreign currency and embedded derivatives</w:t>
      </w:r>
      <w:r>
        <w:rPr>
          <w:rFonts w:ascii="Arial" w:cs="Arial" w:eastAsia="Arial" w:hAnsi="Arial"/>
          <w:sz w:val="7"/>
          <w:szCs w:val="7"/>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5899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179705"/>
                    </a:xfrm>
                    <a:prstGeom prst="rect">
                      <a:avLst/>
                    </a:prstGeom>
                    <a:noFill/>
                  </pic:spPr>
                </pic:pic>
              </a:graphicData>
            </a:graphic>
          </wp:anchor>
        </w:drawing>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Acquisition and divestiture related charges, net</w:t>
      </w:r>
      <w:r>
        <w:rPr>
          <w:rFonts w:ascii="Arial" w:cs="Arial" w:eastAsia="Arial" w:hAnsi="Arial"/>
          <w:sz w:val="7"/>
          <w:szCs w:val="7"/>
          <w:color w:val="auto"/>
        </w:rPr>
        <w:t>(d)</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Business optimization project expenses</w:t>
      </w:r>
      <w:r>
        <w:rPr>
          <w:rFonts w:ascii="Arial" w:cs="Arial" w:eastAsia="Arial" w:hAnsi="Arial"/>
          <w:sz w:val="7"/>
          <w:szCs w:val="7"/>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5899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179705"/>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5"/>
          <w:szCs w:val="15"/>
          <w:color w:val="auto"/>
        </w:rPr>
        <w:t>Plant closure expenses</w:t>
      </w:r>
      <w:r>
        <w:rPr>
          <w:rFonts w:ascii="Arial" w:cs="Arial" w:eastAsia="Arial" w:hAnsi="Arial"/>
          <w:sz w:val="7"/>
          <w:szCs w:val="7"/>
          <w:color w:val="auto"/>
        </w:rPr>
        <w:t>(f)</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Loss on extinguishment of debt</w:t>
      </w:r>
      <w:r>
        <w:rPr>
          <w:rFonts w:ascii="Arial" w:cs="Arial" w:eastAsia="Arial" w:hAnsi="Arial"/>
          <w:sz w:val="7"/>
          <w:szCs w:val="7"/>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5899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179705"/>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Professional services relating to EO sterilization facilities</w:t>
      </w:r>
      <w:r>
        <w:rPr>
          <w:rFonts w:ascii="Arial" w:cs="Arial" w:eastAsia="Arial" w:hAnsi="Arial"/>
          <w:sz w:val="7"/>
          <w:szCs w:val="7"/>
          <w:color w:val="auto"/>
        </w:rPr>
        <w:t>(h)</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Accretion of asset retirement obligation</w:t>
      </w:r>
      <w:r>
        <w:rPr>
          <w:rFonts w:ascii="Arial" w:cs="Arial" w:eastAsia="Arial" w:hAnsi="Arial"/>
          <w:sz w:val="7"/>
          <w:szCs w:val="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5899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17970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COVID-19 expenses</w:t>
      </w:r>
      <w:r>
        <w:rPr>
          <w:rFonts w:ascii="Arial" w:cs="Arial" w:eastAsia="Arial" w:hAnsi="Arial"/>
          <w:sz w:val="18"/>
          <w:szCs w:val="18"/>
          <w:color w:val="auto"/>
          <w:vertAlign w:val="superscript"/>
        </w:rPr>
        <w:t>(j)</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income (loss) before taxes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980"/>
        <w:spacing w:after="0"/>
        <w:tabs>
          <w:tab w:leader="none" w:pos="2460" w:val="left"/>
        </w:tabs>
        <w:rPr>
          <w:sz w:val="20"/>
          <w:szCs w:val="20"/>
          <w:color w:val="auto"/>
        </w:rPr>
      </w:pPr>
      <w:r>
        <w:rPr>
          <w:rFonts w:ascii="Arial" w:cs="Arial" w:eastAsia="Arial" w:hAnsi="Arial"/>
          <w:sz w:val="13"/>
          <w:szCs w:val="13"/>
          <w:b w:val="1"/>
          <w:bCs w:val="1"/>
          <w:color w:val="auto"/>
        </w:rPr>
        <w:t>21,282</w:t>
      </w:r>
      <w:r>
        <w:rPr>
          <w:sz w:val="20"/>
          <w:szCs w:val="20"/>
          <w:color w:val="auto"/>
        </w:rPr>
        <w:tab/>
      </w:r>
      <w:r>
        <w:rPr>
          <w:rFonts w:ascii="Arial" w:cs="Arial" w:eastAsia="Arial" w:hAnsi="Arial"/>
          <w:sz w:val="13"/>
          <w:szCs w:val="13"/>
          <w:color w:val="auto"/>
        </w:rPr>
        <w:t>56,562</w:t>
      </w:r>
    </w:p>
    <w:p>
      <w:pPr>
        <w:spacing w:after="0" w:line="155" w:lineRule="exact"/>
        <w:rPr>
          <w:sz w:val="20"/>
          <w:szCs w:val="20"/>
          <w:color w:val="auto"/>
        </w:rPr>
      </w:pPr>
    </w:p>
    <w:p>
      <w:pPr>
        <w:ind w:left="980"/>
        <w:spacing w:after="0"/>
        <w:tabs>
          <w:tab w:leader="none" w:pos="2460" w:val="left"/>
        </w:tabs>
        <w:rPr>
          <w:sz w:val="20"/>
          <w:szCs w:val="20"/>
          <w:color w:val="auto"/>
        </w:rPr>
      </w:pPr>
      <w:r>
        <w:rPr>
          <w:rFonts w:ascii="Arial" w:cs="Arial" w:eastAsia="Arial" w:hAnsi="Arial"/>
          <w:sz w:val="13"/>
          <w:szCs w:val="13"/>
          <w:b w:val="1"/>
          <w:bCs w:val="1"/>
          <w:color w:val="auto"/>
        </w:rPr>
        <w:t>37,661</w:t>
      </w:r>
      <w:r>
        <w:rPr>
          <w:sz w:val="20"/>
          <w:szCs w:val="20"/>
          <w:color w:val="auto"/>
        </w:rPr>
        <w:tab/>
      </w:r>
      <w:r>
        <w:rPr>
          <w:rFonts w:ascii="Arial" w:cs="Arial" w:eastAsia="Arial" w:hAnsi="Arial"/>
          <w:sz w:val="13"/>
          <w:szCs w:val="13"/>
          <w:color w:val="auto"/>
        </w:rPr>
        <w:t>36,023</w:t>
      </w:r>
    </w:p>
    <w:p>
      <w:pPr>
        <w:spacing w:after="0" w:line="133" w:lineRule="exact"/>
        <w:rPr>
          <w:sz w:val="20"/>
          <w:szCs w:val="20"/>
          <w:color w:val="auto"/>
        </w:rPr>
      </w:pPr>
    </w:p>
    <w:p>
      <w:pPr>
        <w:ind w:left="1040"/>
        <w:spacing w:after="0"/>
        <w:tabs>
          <w:tab w:leader="none" w:pos="2540" w:val="left"/>
        </w:tabs>
        <w:rPr>
          <w:sz w:val="20"/>
          <w:szCs w:val="20"/>
          <w:color w:val="auto"/>
        </w:rPr>
      </w:pPr>
      <w:r>
        <w:rPr>
          <w:rFonts w:ascii="Arial" w:cs="Arial" w:eastAsia="Arial" w:hAnsi="Arial"/>
          <w:sz w:val="13"/>
          <w:szCs w:val="13"/>
          <w:b w:val="1"/>
          <w:bCs w:val="1"/>
          <w:color w:val="auto"/>
        </w:rPr>
        <w:t>3,449</w:t>
      </w:r>
      <w:r>
        <w:rPr>
          <w:sz w:val="20"/>
          <w:szCs w:val="20"/>
          <w:color w:val="auto"/>
        </w:rPr>
        <w:tab/>
      </w:r>
      <w:r>
        <w:rPr>
          <w:rFonts w:ascii="Arial" w:cs="Arial" w:eastAsia="Arial" w:hAnsi="Arial"/>
          <w:sz w:val="13"/>
          <w:szCs w:val="13"/>
          <w:color w:val="auto"/>
        </w:rPr>
        <w:t>1,725</w:t>
      </w:r>
    </w:p>
    <w:p>
      <w:pPr>
        <w:spacing w:after="0" w:line="137" w:lineRule="exact"/>
        <w:rPr>
          <w:sz w:val="20"/>
          <w:szCs w:val="20"/>
          <w:color w:val="auto"/>
        </w:rPr>
      </w:pPr>
    </w:p>
    <w:p>
      <w:pPr>
        <w:ind w:left="2560" w:hanging="1467"/>
        <w:spacing w:after="0"/>
        <w:tabs>
          <w:tab w:leader="none" w:pos="256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4,267</w:t>
      </w:r>
    </w:p>
    <w:p>
      <w:pPr>
        <w:spacing w:after="0" w:line="129" w:lineRule="exact"/>
        <w:rPr>
          <w:sz w:val="20"/>
          <w:szCs w:val="20"/>
          <w:color w:val="auto"/>
        </w:rPr>
      </w:pPr>
    </w:p>
    <w:p>
      <w:pPr>
        <w:ind w:left="1100"/>
        <w:spacing w:after="0"/>
        <w:tabs>
          <w:tab w:leader="none" w:pos="2640" w:val="left"/>
        </w:tabs>
        <w:rPr>
          <w:sz w:val="20"/>
          <w:szCs w:val="20"/>
          <w:color w:val="auto"/>
        </w:rPr>
      </w:pPr>
      <w:r>
        <w:rPr>
          <w:rFonts w:ascii="Arial" w:cs="Arial" w:eastAsia="Arial" w:hAnsi="Arial"/>
          <w:sz w:val="15"/>
          <w:szCs w:val="15"/>
          <w:b w:val="1"/>
          <w:bCs w:val="1"/>
          <w:color w:val="auto"/>
        </w:rPr>
        <w:t>(185)</w:t>
      </w:r>
      <w:r>
        <w:rPr>
          <w:sz w:val="20"/>
          <w:szCs w:val="20"/>
          <w:color w:val="auto"/>
        </w:rPr>
        <w:tab/>
      </w:r>
      <w:r>
        <w:rPr>
          <w:rFonts w:ascii="Arial" w:cs="Arial" w:eastAsia="Arial" w:hAnsi="Arial"/>
          <w:sz w:val="15"/>
          <w:szCs w:val="15"/>
          <w:color w:val="auto"/>
        </w:rPr>
        <w:t>994</w:t>
      </w:r>
    </w:p>
    <w:p>
      <w:pPr>
        <w:spacing w:after="0" w:line="114" w:lineRule="exact"/>
        <w:rPr>
          <w:sz w:val="20"/>
          <w:szCs w:val="20"/>
          <w:color w:val="auto"/>
        </w:rPr>
      </w:pPr>
    </w:p>
    <w:p>
      <w:pPr>
        <w:ind w:left="2560" w:hanging="1407"/>
        <w:spacing w:after="0"/>
        <w:tabs>
          <w:tab w:leader="none" w:pos="256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1,049</w:t>
      </w:r>
    </w:p>
    <w:p>
      <w:pPr>
        <w:spacing w:after="0" w:line="129" w:lineRule="exact"/>
        <w:rPr>
          <w:sz w:val="20"/>
          <w:szCs w:val="20"/>
          <w:color w:val="auto"/>
        </w:rPr>
      </w:pPr>
    </w:p>
    <w:p>
      <w:pPr>
        <w:ind w:left="1160"/>
        <w:spacing w:after="0"/>
        <w:tabs>
          <w:tab w:leader="none" w:pos="2640" w:val="left"/>
        </w:tabs>
        <w:rPr>
          <w:sz w:val="20"/>
          <w:szCs w:val="20"/>
          <w:color w:val="auto"/>
        </w:rPr>
      </w:pPr>
      <w:r>
        <w:rPr>
          <w:rFonts w:ascii="Arial" w:cs="Arial" w:eastAsia="Arial" w:hAnsi="Arial"/>
          <w:sz w:val="15"/>
          <w:szCs w:val="15"/>
          <w:b w:val="1"/>
          <w:bCs w:val="1"/>
          <w:color w:val="auto"/>
        </w:rPr>
        <w:t>542</w:t>
      </w:r>
      <w:r>
        <w:rPr>
          <w:sz w:val="20"/>
          <w:szCs w:val="20"/>
          <w:color w:val="auto"/>
        </w:rPr>
        <w:tab/>
      </w:r>
      <w:r>
        <w:rPr>
          <w:rFonts w:ascii="Arial" w:cs="Arial" w:eastAsia="Arial" w:hAnsi="Arial"/>
          <w:sz w:val="15"/>
          <w:szCs w:val="15"/>
          <w:color w:val="auto"/>
        </w:rPr>
        <w:t>771</w:t>
      </w:r>
    </w:p>
    <w:p>
      <w:pPr>
        <w:spacing w:after="0" w:line="110"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5"/>
          <w:szCs w:val="15"/>
          <w:b w:val="1"/>
          <w:bCs w:val="1"/>
          <w:color w:val="auto"/>
        </w:rPr>
        <w:t>14,312</w:t>
      </w:r>
      <w:r>
        <w:rPr>
          <w:sz w:val="20"/>
          <w:szCs w:val="20"/>
          <w:color w:val="auto"/>
        </w:rPr>
        <w:tab/>
      </w:r>
      <w:r>
        <w:rPr>
          <w:rFonts w:ascii="Arial" w:cs="Arial" w:eastAsia="Arial" w:hAnsi="Arial"/>
          <w:sz w:val="15"/>
          <w:szCs w:val="15"/>
          <w:color w:val="auto"/>
        </w:rPr>
        <w:t>—</w:t>
      </w:r>
    </w:p>
    <w:p>
      <w:pPr>
        <w:spacing w:after="0" w:line="110"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13"/>
          <w:szCs w:val="13"/>
          <w:b w:val="1"/>
          <w:bCs w:val="1"/>
          <w:color w:val="auto"/>
        </w:rPr>
        <w:t>13,399</w:t>
      </w:r>
      <w:r>
        <w:rPr>
          <w:sz w:val="20"/>
          <w:szCs w:val="20"/>
          <w:color w:val="auto"/>
        </w:rPr>
        <w:tab/>
      </w:r>
      <w:r>
        <w:rPr>
          <w:rFonts w:ascii="Arial" w:cs="Arial" w:eastAsia="Arial" w:hAnsi="Arial"/>
          <w:sz w:val="13"/>
          <w:szCs w:val="13"/>
          <w:color w:val="auto"/>
        </w:rPr>
        <w:t>4,146</w:t>
      </w:r>
    </w:p>
    <w:p>
      <w:pPr>
        <w:spacing w:after="0" w:line="133" w:lineRule="exact"/>
        <w:rPr>
          <w:sz w:val="20"/>
          <w:szCs w:val="20"/>
          <w:color w:val="auto"/>
        </w:rPr>
      </w:pPr>
    </w:p>
    <w:p>
      <w:pPr>
        <w:ind w:left="1160"/>
        <w:spacing w:after="0"/>
        <w:tabs>
          <w:tab w:leader="none" w:pos="2640" w:val="left"/>
        </w:tabs>
        <w:rPr>
          <w:sz w:val="20"/>
          <w:szCs w:val="20"/>
          <w:color w:val="auto"/>
        </w:rPr>
      </w:pPr>
      <w:r>
        <w:rPr>
          <w:rFonts w:ascii="Arial" w:cs="Arial" w:eastAsia="Arial" w:hAnsi="Arial"/>
          <w:sz w:val="15"/>
          <w:szCs w:val="15"/>
          <w:b w:val="1"/>
          <w:bCs w:val="1"/>
          <w:color w:val="auto"/>
        </w:rPr>
        <w:t>551</w:t>
      </w:r>
      <w:r>
        <w:rPr>
          <w:sz w:val="20"/>
          <w:szCs w:val="20"/>
          <w:color w:val="auto"/>
        </w:rPr>
        <w:tab/>
      </w:r>
      <w:r>
        <w:rPr>
          <w:rFonts w:ascii="Arial" w:cs="Arial" w:eastAsia="Arial" w:hAnsi="Arial"/>
          <w:sz w:val="15"/>
          <w:szCs w:val="15"/>
          <w:color w:val="auto"/>
        </w:rPr>
        <w:t>490</w:t>
      </w:r>
    </w:p>
    <w:p>
      <w:pPr>
        <w:spacing w:after="0" w:line="110" w:lineRule="exact"/>
        <w:rPr>
          <w:sz w:val="20"/>
          <w:szCs w:val="20"/>
          <w:color w:val="auto"/>
        </w:rPr>
      </w:pPr>
    </w:p>
    <w:p>
      <w:pPr>
        <w:ind w:left="1160"/>
        <w:spacing w:after="0"/>
        <w:tabs>
          <w:tab w:leader="none" w:pos="2720" w:val="left"/>
        </w:tabs>
        <w:rPr>
          <w:sz w:val="20"/>
          <w:szCs w:val="20"/>
          <w:color w:val="auto"/>
        </w:rPr>
      </w:pPr>
      <w:r>
        <w:rPr>
          <w:rFonts w:ascii="Arial" w:cs="Arial" w:eastAsia="Arial" w:hAnsi="Arial"/>
          <w:sz w:val="15"/>
          <w:szCs w:val="15"/>
          <w:b w:val="1"/>
          <w:bCs w:val="1"/>
          <w:color w:val="auto"/>
        </w:rPr>
        <w:t>299</w:t>
      </w:r>
      <w:r>
        <w:rPr>
          <w:sz w:val="20"/>
          <w:szCs w:val="20"/>
          <w:color w:val="auto"/>
        </w:rPr>
        <w:tab/>
      </w: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187261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72615" cy="6985"/>
                    </a:xfrm>
                    <a:prstGeom prst="rect">
                      <a:avLst/>
                    </a:prstGeom>
                    <a:noFill/>
                  </pic:spPr>
                </pic:pic>
              </a:graphicData>
            </a:graphic>
          </wp:anchor>
        </w:drawing>
      </w:r>
    </w:p>
    <w:p>
      <w:pPr>
        <w:spacing w:after="0" w:line="36" w:lineRule="exact"/>
        <w:rPr>
          <w:sz w:val="20"/>
          <w:szCs w:val="20"/>
          <w:color w:val="auto"/>
        </w:rPr>
      </w:pPr>
    </w:p>
    <w:p>
      <w:pPr>
        <w:spacing w:after="0"/>
        <w:tabs>
          <w:tab w:leader="none" w:pos="960" w:val="left"/>
          <w:tab w:leader="none" w:pos="1500" w:val="left"/>
          <w:tab w:leader="none" w:pos="240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14,082</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(14,220)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187261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72615" cy="2794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7620" w:space="720"/>
            <w:col w:w="2940"/>
          </w:cols>
          <w:pgMar w:left="300" w:top="135" w:right="319" w:bottom="1440" w:gutter="0" w:footer="0" w:header="0"/>
          <w:type w:val="continuous"/>
        </w:sectPr>
      </w:pPr>
    </w:p>
    <w:p>
      <w:pPr>
        <w:spacing w:after="0" w:line="12" w:lineRule="exact"/>
        <w:rPr>
          <w:sz w:val="20"/>
          <w:szCs w:val="20"/>
          <w:color w:val="auto"/>
        </w:rPr>
      </w:pPr>
    </w:p>
    <w:p>
      <w:pPr>
        <w:ind w:left="400" w:hanging="393"/>
        <w:spacing w:after="0"/>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depreciation of Co-60 held at gamma irradiation sites.</w:t>
      </w:r>
    </w:p>
    <w:p>
      <w:pPr>
        <w:spacing w:after="0" w:line="10" w:lineRule="exact"/>
        <w:rPr>
          <w:rFonts w:ascii="Arial" w:cs="Arial" w:eastAsia="Arial" w:hAnsi="Arial"/>
          <w:sz w:val="15"/>
          <w:szCs w:val="15"/>
          <w:color w:val="auto"/>
        </w:rPr>
      </w:pPr>
    </w:p>
    <w:p>
      <w:pPr>
        <w:ind w:left="400" w:hanging="393"/>
        <w:spacing w:after="0"/>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non-cash share-based compensation expense.</w:t>
      </w:r>
    </w:p>
    <w:p>
      <w:pPr>
        <w:spacing w:after="0" w:line="1" w:lineRule="exact"/>
        <w:rPr>
          <w:rFonts w:ascii="Arial" w:cs="Arial" w:eastAsia="Arial" w:hAnsi="Arial"/>
          <w:sz w:val="15"/>
          <w:szCs w:val="15"/>
          <w:color w:val="auto"/>
        </w:rPr>
      </w:pPr>
    </w:p>
    <w:p>
      <w:pPr>
        <w:ind w:left="400" w:right="120" w:hanging="393"/>
        <w:spacing w:after="0" w:line="279" w:lineRule="auto"/>
        <w:tabs>
          <w:tab w:leader="none" w:pos="398"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400" w:right="40" w:hanging="393"/>
        <w:spacing w:after="0" w:line="279" w:lineRule="auto"/>
        <w:tabs>
          <w:tab w:leader="none" w:pos="395"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(i) certain direct and incremental costs related to the acquisitions of BioScience in 2021, Iotron in July 2020 and Nelson Labs Fairfield in 2018 (including the first quarter 2021 gain on the mandatorily redeemable noncontrolling interest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3"/>
          <w:szCs w:val="13"/>
          <w:color w:val="auto"/>
        </w:rPr>
      </w:pPr>
    </w:p>
    <w:p>
      <w:pPr>
        <w:ind w:left="400" w:right="40" w:hanging="393"/>
        <w:spacing w:after="0" w:line="279" w:lineRule="auto"/>
        <w:tabs>
          <w:tab w:leader="none" w:pos="398"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ind w:left="400" w:right="440" w:hanging="393"/>
        <w:spacing w:after="0" w:line="242" w:lineRule="auto"/>
        <w:tabs>
          <w:tab w:leader="none" w:pos="393"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w:t>
      </w:r>
    </w:p>
    <w:p>
      <w:pPr>
        <w:ind w:left="400" w:hanging="393"/>
        <w:spacing w:after="0"/>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expenses incurred in connection with the repricing of our Term Loan in January 2021 including accelerated amortization of prior debt issuance and discount costs.</w:t>
      </w:r>
    </w:p>
    <w:p>
      <w:pPr>
        <w:spacing w:after="0" w:line="24" w:lineRule="exact"/>
        <w:rPr>
          <w:rFonts w:ascii="Arial" w:cs="Arial" w:eastAsia="Arial" w:hAnsi="Arial"/>
          <w:sz w:val="13"/>
          <w:szCs w:val="13"/>
          <w:color w:val="auto"/>
        </w:rPr>
      </w:pPr>
    </w:p>
    <w:p>
      <w:pPr>
        <w:ind w:left="400" w:hanging="393"/>
        <w:spacing w:after="0"/>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professional fees related to litigation associated with our EO sterilization facilities and other related professional fees. See Note 16, “Commitments and Contingencies”.</w:t>
      </w:r>
    </w:p>
    <w:p>
      <w:pPr>
        <w:spacing w:after="0" w:line="24" w:lineRule="exact"/>
        <w:rPr>
          <w:rFonts w:ascii="Arial" w:cs="Arial" w:eastAsia="Arial" w:hAnsi="Arial"/>
          <w:sz w:val="13"/>
          <w:szCs w:val="13"/>
          <w:color w:val="auto"/>
        </w:rPr>
      </w:pPr>
    </w:p>
    <w:p>
      <w:pPr>
        <w:ind w:left="400" w:right="100" w:hanging="393"/>
        <w:spacing w:after="0" w:line="242" w:lineRule="auto"/>
        <w:tabs>
          <w:tab w:leader="none" w:pos="395"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400" w:hanging="393"/>
        <w:spacing w:after="0"/>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3"/>
          <w:szCs w:val="13"/>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2020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2020 Form 10-K.</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3"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7"/>
          <w:szCs w:val="7"/>
          <w:color w:val="auto"/>
        </w:rPr>
        <w:t>®</w:t>
      </w:r>
      <w:r>
        <w:rPr>
          <w:rFonts w:ascii="Arial" w:cs="Arial" w:eastAsia="Arial" w:hAnsi="Arial"/>
          <w:sz w:val="15"/>
          <w:szCs w:val="15"/>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31"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For the three months ended March 31, 2021, we recorded net revenues of $212.1 million, net income of $11.1 million, Adjusted Net Income of $51.5 million and Adjusted EBITDA of $105.3 million. For the definition of Adjusted Net Income and Adjusted EBITDA and the reconciliation of these non-GAAP measures from net income (loss), please see “Non-GAAP Financial Measures.”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DEVELOPMENTS AND KEY FACTORS AFFECTING OUR RESULTS OF OPERATIONS</w:t>
      </w:r>
    </w:p>
    <w:p>
      <w:pPr>
        <w:spacing w:after="0" w:line="93" w:lineRule="exact"/>
        <w:rPr>
          <w:sz w:val="20"/>
          <w:szCs w:val="20"/>
          <w:color w:val="auto"/>
        </w:rPr>
      </w:pPr>
    </w:p>
    <w:p>
      <w:pPr>
        <w:ind w:right="500"/>
        <w:spacing w:after="0" w:line="257" w:lineRule="auto"/>
        <w:rPr>
          <w:sz w:val="20"/>
          <w:szCs w:val="20"/>
          <w:color w:val="auto"/>
        </w:rPr>
      </w:pPr>
      <w:r>
        <w:rPr>
          <w:rFonts w:ascii="Arial" w:cs="Arial" w:eastAsia="Arial" w:hAnsi="Arial"/>
          <w:sz w:val="15"/>
          <w:szCs w:val="15"/>
          <w:color w:val="auto"/>
        </w:rPr>
        <w:t>The following summarizes strategic developments and key factors that have underpinned our operating results for the three months ended March 31, 2021 and may continue to affect our performance and financial condition in future periods.</w:t>
      </w:r>
    </w:p>
    <w:p>
      <w:pPr>
        <w:spacing w:after="0" w:line="62" w:lineRule="exact"/>
        <w:rPr>
          <w:sz w:val="20"/>
          <w:szCs w:val="20"/>
          <w:color w:val="auto"/>
        </w:rPr>
      </w:pPr>
    </w:p>
    <w:p>
      <w:pPr>
        <w:ind w:left="520" w:right="40" w:hanging="252"/>
        <w:spacing w:after="0" w:line="252" w:lineRule="auto"/>
        <w:tabs>
          <w:tab w:leader="none" w:pos="516" w:val="left"/>
        </w:tabs>
        <w:numPr>
          <w:ilvl w:val="0"/>
          <w:numId w:val="20"/>
        </w:numPr>
        <w:rPr>
          <w:rFonts w:ascii="Arial" w:cs="Arial" w:eastAsia="Arial" w:hAnsi="Arial"/>
          <w:sz w:val="15"/>
          <w:szCs w:val="15"/>
          <w:color w:val="auto"/>
        </w:rPr>
      </w:pPr>
      <w:r>
        <w:rPr>
          <w:rFonts w:ascii="Arial" w:cs="Arial" w:eastAsia="Arial" w:hAnsi="Arial"/>
          <w:sz w:val="15"/>
          <w:szCs w:val="15"/>
          <w:b w:val="1"/>
          <w:bCs w:val="1"/>
          <w:color w:val="auto"/>
        </w:rPr>
        <w:t>Driving organic growth</w:t>
      </w:r>
      <w:r>
        <w:rPr>
          <w:rFonts w:ascii="Arial" w:cs="Arial" w:eastAsia="Arial" w:hAnsi="Arial"/>
          <w:sz w:val="15"/>
          <w:szCs w:val="15"/>
          <w:color w:val="auto"/>
        </w:rPr>
        <w:t>. During the three months ended March 31, 2021, we continued to make investments to expand capacity and implement EO facility enhancements in our</w:t>
      </w:r>
      <w:r>
        <w:rPr>
          <w:rFonts w:ascii="Arial" w:cs="Arial" w:eastAsia="Arial" w:hAnsi="Arial"/>
          <w:sz w:val="15"/>
          <w:szCs w:val="15"/>
          <w:b w:val="1"/>
          <w:bCs w:val="1"/>
          <w:color w:val="auto"/>
        </w:rPr>
        <w:t xml:space="preserve"> </w:t>
      </w:r>
      <w:r>
        <w:rPr>
          <w:rFonts w:ascii="Arial" w:cs="Arial" w:eastAsia="Arial" w:hAnsi="Arial"/>
          <w:sz w:val="15"/>
          <w:szCs w:val="15"/>
          <w:color w:val="auto"/>
        </w:rPr>
        <w:t>Sterigenics business and expand our cobalt development resources in our Nordion business. In addition, we continue to expand capacity to meet demand for microbiological testing and extractables and leachables testing in our Nelson Labs business.</w:t>
      </w:r>
    </w:p>
    <w:p>
      <w:pPr>
        <w:spacing w:after="0" w:line="66" w:lineRule="exact"/>
        <w:rPr>
          <w:rFonts w:ascii="Arial" w:cs="Arial" w:eastAsia="Arial" w:hAnsi="Arial"/>
          <w:sz w:val="15"/>
          <w:szCs w:val="15"/>
          <w:color w:val="auto"/>
        </w:rPr>
      </w:pPr>
    </w:p>
    <w:p>
      <w:pPr>
        <w:ind w:left="520" w:right="20" w:hanging="252"/>
        <w:spacing w:after="0" w:line="287" w:lineRule="auto"/>
        <w:tabs>
          <w:tab w:leader="none" w:pos="516"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Disciplined and strategic M&amp;A activity</w:t>
      </w:r>
      <w:r>
        <w:rPr>
          <w:rFonts w:ascii="Arial" w:cs="Arial" w:eastAsia="Arial" w:hAnsi="Arial"/>
          <w:sz w:val="13"/>
          <w:szCs w:val="13"/>
          <w:color w:val="auto"/>
        </w:rPr>
        <w:t>. We continue to pursue strategic acquisitions to grow our footprint and expand our capabilities. On March 8, 2021, we acquired BioScience</w:t>
      </w:r>
      <w:r>
        <w:rPr>
          <w:rFonts w:ascii="Arial" w:cs="Arial" w:eastAsia="Arial" w:hAnsi="Arial"/>
          <w:sz w:val="13"/>
          <w:szCs w:val="13"/>
          <w:b w:val="1"/>
          <w:bCs w:val="1"/>
          <w:color w:val="auto"/>
        </w:rPr>
        <w:t xml:space="preserve"> </w:t>
      </w:r>
      <w:r>
        <w:rPr>
          <w:rFonts w:ascii="Arial" w:cs="Arial" w:eastAsia="Arial" w:hAnsi="Arial"/>
          <w:sz w:val="13"/>
          <w:szCs w:val="13"/>
          <w:color w:val="auto"/>
        </w:rPr>
        <w:t>Laboratories, LLC (“BioScience”) with one location in Bozeman, Montana for approximately $13.2 million, net of $0.8 million of cash acquired plus the repayment of BioScience's outstanding debt of $1.9 million. BioScience is a provider of outsourced topical antimicrobial product testing in the pharmaceutical, medical device, and consumer products industries. BioScience’s expertise in analytical testing and clinical trial services will complement Nelson Labs’ existing strengths in antimicrobial and virology testing. On February 8, 2021, we entered into binding agreements to purchase the outstanding noncontrolling interests of 15% and 33% of our two China subsidiaries, respectively, for a total purchase price of $8.6 million. The purchase transactions are expected to close in the second quarter of 2021. In addition, on March 11, 2021, we completed the acquisition of the remaining 15% ownership of Nelson Labs Fairfield for $12.4 million. Pursuant to the terms of the transaction, we acquired 85% of the equity interests of Nelson Labs Fairfield in August 2018 and were required to acquire the 15% noncontrolling interest within three years from the date of the acquisition. In July 2020, we acquired Iotron Industries Canada, Inc. (“Iotron”), an E-beam processing services and equipment provider.</w:t>
      </w:r>
    </w:p>
    <w:p>
      <w:pPr>
        <w:spacing w:after="0" w:line="45" w:lineRule="exact"/>
        <w:rPr>
          <w:rFonts w:ascii="Arial" w:cs="Arial" w:eastAsia="Arial" w:hAnsi="Arial"/>
          <w:sz w:val="13"/>
          <w:szCs w:val="13"/>
          <w:color w:val="auto"/>
        </w:rPr>
      </w:pPr>
    </w:p>
    <w:p>
      <w:pPr>
        <w:ind w:left="520" w:right="80" w:hanging="252"/>
        <w:spacing w:after="0" w:line="262" w:lineRule="auto"/>
        <w:tabs>
          <w:tab w:leader="none" w:pos="516" w:val="left"/>
        </w:tabs>
        <w:numPr>
          <w:ilvl w:val="0"/>
          <w:numId w:val="20"/>
        </w:numPr>
        <w:rPr>
          <w:rFonts w:ascii="Arial" w:cs="Arial" w:eastAsia="Arial" w:hAnsi="Arial"/>
          <w:sz w:val="15"/>
          <w:szCs w:val="15"/>
          <w:color w:val="auto"/>
        </w:rPr>
      </w:pPr>
      <w:r>
        <w:rPr>
          <w:rFonts w:ascii="Arial" w:cs="Arial" w:eastAsia="Arial" w:hAnsi="Arial"/>
          <w:sz w:val="15"/>
          <w:szCs w:val="15"/>
          <w:b w:val="1"/>
          <w:bCs w:val="1"/>
          <w:color w:val="auto"/>
        </w:rPr>
        <w:t xml:space="preserve">Borrowings and financing costs. </w:t>
      </w:r>
      <w:r>
        <w:rPr>
          <w:rFonts w:ascii="Arial" w:cs="Arial" w:eastAsia="Arial" w:hAnsi="Arial"/>
          <w:sz w:val="15"/>
          <w:szCs w:val="15"/>
          <w:color w:val="auto"/>
        </w:rPr>
        <w:t>A combination of lower outstanding borrowings and reduced pricing on our debt resulted in a reduction in cash interest expense for the three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March 31, 2021 compared to the three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039" w:right="339" w:bottom="1440" w:gutter="0" w:footer="0" w:header="0"/>
        </w:sectPr>
      </w:pPr>
    </w:p>
    <w:bookmarkStart w:id="30" w:name="page31"/>
    <w:bookmarkEnd w:id="30"/>
    <w:p>
      <w:pPr>
        <w:ind w:left="520"/>
        <w:spacing w:after="0" w:line="290" w:lineRule="auto"/>
        <w:rPr>
          <w:sz w:val="20"/>
          <w:szCs w:val="20"/>
          <w:color w:val="auto"/>
        </w:rPr>
      </w:pPr>
      <w:r>
        <w:rPr>
          <w:rFonts w:ascii="Arial" w:cs="Arial" w:eastAsia="Arial" w:hAnsi="Arial"/>
          <w:sz w:val="13"/>
          <w:szCs w:val="13"/>
          <w:color w:val="auto"/>
        </w:rPr>
        <w:t>months ended March 31, 2020. On January 20, 2021 we amended our Term Loan to reduce the interest rate spread over LIBOR from 4.50% to 2.75%, and the LIBOR floor from 1.00% to 0.50%. The changes resulted in an effective reduction in current interest rates of 2.25%. We expect the amendment to provide additional cash interest savings of approximately $40.0 million per year based on the outstanding principal balance as of the date of the amendment. Interest savings in 2021 will be offset by cash and non-cash charges associated with the repricing amendment. In connection with this transaction, we wrote off approximately $11.3 million in debt issuance costs and debt discounts and incurred approximately $2.9 million in costs directly related to the refinancing transaction. In addition, on March 26, 2021, we amended our Revolving Credit Facility to reduce the interest rate spread over LIBOR applicable to revolving loans from 3.50% to 2.75%.</w:t>
      </w:r>
    </w:p>
    <w:p>
      <w:pPr>
        <w:spacing w:after="0" w:line="44" w:lineRule="exact"/>
        <w:rPr>
          <w:sz w:val="20"/>
          <w:szCs w:val="20"/>
          <w:color w:val="auto"/>
        </w:rPr>
      </w:pPr>
    </w:p>
    <w:p>
      <w:pPr>
        <w:ind w:left="520" w:right="360" w:hanging="252"/>
        <w:spacing w:after="0" w:line="294"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Impacts of our IPO</w:t>
      </w:r>
      <w:r>
        <w:rPr>
          <w:rFonts w:ascii="Arial" w:cs="Arial" w:eastAsia="Arial" w:hAnsi="Arial"/>
          <w:sz w:val="13"/>
          <w:szCs w:val="13"/>
          <w:color w:val="auto"/>
        </w:rPr>
        <w:t>. As a newly public company, we continue to incur certain expenses on an ongoing basis that we did not incur as a private company including third-party and</w:t>
      </w:r>
      <w:r>
        <w:rPr>
          <w:rFonts w:ascii="Arial" w:cs="Arial" w:eastAsia="Arial" w:hAnsi="Arial"/>
          <w:sz w:val="13"/>
          <w:szCs w:val="13"/>
          <w:b w:val="1"/>
          <w:bCs w:val="1"/>
          <w:color w:val="auto"/>
        </w:rPr>
        <w:t xml:space="preserve"> </w:t>
      </w:r>
      <w:r>
        <w:rPr>
          <w:rFonts w:ascii="Arial" w:cs="Arial" w:eastAsia="Arial" w:hAnsi="Arial"/>
          <w:sz w:val="13"/>
          <w:szCs w:val="13"/>
          <w:color w:val="auto"/>
        </w:rPr>
        <w:t>internal resources related to accounting, auditing, Sarbanes-Oxley Act compliance, legal, and investor and public relations expenses. These costs are primarily classified as selling, general and administrative (“SG&amp;A”) expenses. We continue to dedicate internal resources, hire additional personnel, and engage outside consultants to assess and document the adequacy of internal controls over financial reporting. In addition, we incurred costs related to a secondary offering of 25 million shares of our common stock offered by selling stockholders, which included certain affiliates of Warburg Pincus LLC and GTCR, LLC as well as certain current and former members of management of the Company.</w:t>
      </w:r>
    </w:p>
    <w:p>
      <w:pPr>
        <w:spacing w:after="0" w:line="41" w:lineRule="exact"/>
        <w:rPr>
          <w:rFonts w:ascii="Arial" w:cs="Arial" w:eastAsia="Arial" w:hAnsi="Arial"/>
          <w:sz w:val="13"/>
          <w:szCs w:val="13"/>
          <w:color w:val="auto"/>
        </w:rPr>
      </w:pPr>
    </w:p>
    <w:p>
      <w:pPr>
        <w:ind w:left="520" w:right="60" w:hanging="252"/>
        <w:spacing w:after="0" w:line="252" w:lineRule="auto"/>
        <w:tabs>
          <w:tab w:leader="none" w:pos="516" w:val="left"/>
        </w:tabs>
        <w:numPr>
          <w:ilvl w:val="0"/>
          <w:numId w:val="21"/>
        </w:numPr>
        <w:rPr>
          <w:rFonts w:ascii="Arial" w:cs="Arial" w:eastAsia="Arial" w:hAnsi="Arial"/>
          <w:sz w:val="15"/>
          <w:szCs w:val="15"/>
          <w:color w:val="auto"/>
        </w:rPr>
      </w:pPr>
      <w:r>
        <w:rPr>
          <w:rFonts w:ascii="Arial" w:cs="Arial" w:eastAsia="Arial" w:hAnsi="Arial"/>
          <w:sz w:val="15"/>
          <w:szCs w:val="15"/>
          <w:b w:val="1"/>
          <w:bCs w:val="1"/>
          <w:color w:val="auto"/>
        </w:rPr>
        <w:t>Exit activities and litigation costs</w:t>
      </w:r>
      <w:r>
        <w:rPr>
          <w:rFonts w:ascii="Arial" w:cs="Arial" w:eastAsia="Arial" w:hAnsi="Arial"/>
          <w:sz w:val="15"/>
          <w:szCs w:val="15"/>
          <w:color w:val="auto"/>
        </w:rPr>
        <w:t>. In connection with the ongoing litigation related to our Willowbrook, Illinois, Atlanta, Georgia and Santa Teresa, New Mexico facilities, as</w:t>
      </w:r>
      <w:r>
        <w:rPr>
          <w:rFonts w:ascii="Arial" w:cs="Arial" w:eastAsia="Arial" w:hAnsi="Arial"/>
          <w:sz w:val="15"/>
          <w:szCs w:val="15"/>
          <w:b w:val="1"/>
          <w:bCs w:val="1"/>
          <w:color w:val="auto"/>
        </w:rPr>
        <w:t xml:space="preserve"> </w:t>
      </w:r>
      <w:r>
        <w:rPr>
          <w:rFonts w:ascii="Arial" w:cs="Arial" w:eastAsia="Arial" w:hAnsi="Arial"/>
          <w:sz w:val="15"/>
          <w:szCs w:val="15"/>
          <w:color w:val="auto"/>
        </w:rPr>
        <w:t>described in Note 16, “Commitments and Contingencies”, we recorded costs of $13.4 million for the three months ended March 31, 2021 relating to legal and other professional service costs, as well as $0.5 million related to the closure of the Willowbrook, Illinois facility.</w:t>
      </w:r>
    </w:p>
    <w:p>
      <w:pPr>
        <w:spacing w:after="0" w:line="66" w:lineRule="exact"/>
        <w:rPr>
          <w:rFonts w:ascii="Arial" w:cs="Arial" w:eastAsia="Arial" w:hAnsi="Arial"/>
          <w:sz w:val="15"/>
          <w:szCs w:val="15"/>
          <w:color w:val="auto"/>
        </w:rPr>
      </w:pPr>
    </w:p>
    <w:p>
      <w:pPr>
        <w:ind w:left="520" w:right="380" w:hanging="252"/>
        <w:spacing w:after="0" w:line="252" w:lineRule="auto"/>
        <w:tabs>
          <w:tab w:leader="none" w:pos="516" w:val="left"/>
        </w:tabs>
        <w:numPr>
          <w:ilvl w:val="0"/>
          <w:numId w:val="21"/>
        </w:numPr>
        <w:rPr>
          <w:rFonts w:ascii="Arial" w:cs="Arial" w:eastAsia="Arial" w:hAnsi="Arial"/>
          <w:sz w:val="15"/>
          <w:szCs w:val="15"/>
          <w:color w:val="auto"/>
        </w:rPr>
      </w:pPr>
      <w:r>
        <w:rPr>
          <w:rFonts w:ascii="Arial" w:cs="Arial" w:eastAsia="Arial" w:hAnsi="Arial"/>
          <w:sz w:val="15"/>
          <w:szCs w:val="15"/>
          <w:b w:val="1"/>
          <w:bCs w:val="1"/>
          <w:color w:val="auto"/>
        </w:rPr>
        <w:t>Impact of COVID-19 pandemic</w:t>
      </w:r>
      <w:r>
        <w:rPr>
          <w:rFonts w:ascii="Arial" w:cs="Arial" w:eastAsia="Arial" w:hAnsi="Arial"/>
          <w:sz w:val="15"/>
          <w:szCs w:val="15"/>
          <w:color w:val="auto"/>
        </w:rPr>
        <w:t>. We remain subject to risks and uncertainties as a result of the COVID-19 pandemic. Our business continuity plans remain in effect and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maintained certain measures to decrease exposure risk and manage our supply chain for critical materials. The extent to which our operations will continue to be impacted by the pandemic will largely depend on future developments, which still remain uncertain and cannot be predicted.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Three Months Ended March 31, 2021 as compared to Three Months Ended March 31,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results of operations for the three months ended March 31, 2021 and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3"/>
                <w:szCs w:val="13"/>
                <w:color w:val="auto"/>
              </w:rPr>
            </w:pPr>
          </w:p>
        </w:tc>
        <w:tc>
          <w:tcPr>
            <w:tcW w:w="1080" w:type="dxa"/>
            <w:vAlign w:val="bottom"/>
          </w:tcPr>
          <w:p>
            <w:pPr>
              <w:jc w:val="right"/>
              <w:ind w:right="52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2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color w:val="auto"/>
              </w:rPr>
              <w:t>$ Change</w:t>
            </w:r>
          </w:p>
        </w:tc>
        <w:tc>
          <w:tcPr>
            <w:tcW w:w="1540" w:type="dxa"/>
            <w:vAlign w:val="bottom"/>
          </w:tcPr>
          <w:p>
            <w:pPr>
              <w:jc w:val="right"/>
              <w:ind w:right="469"/>
              <w:spacing w:after="0"/>
              <w:rPr>
                <w:sz w:val="20"/>
                <w:szCs w:val="20"/>
                <w:color w:val="auto"/>
              </w:rPr>
            </w:pPr>
            <w:r>
              <w:rPr>
                <w:rFonts w:ascii="Arial" w:cs="Arial" w:eastAsia="Arial" w:hAnsi="Arial"/>
                <w:sz w:val="12"/>
                <w:szCs w:val="12"/>
                <w:color w:val="auto"/>
              </w:rPr>
              <w:t>% Change</w:t>
            </w: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net revenues</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212,148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188,200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23,948</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12.7 %</w:t>
            </w: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b w:val="1"/>
                <w:bCs w:val="1"/>
                <w:color w:val="auto"/>
              </w:rPr>
              <w:t>Total cost of revenues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96,776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91,683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5,093</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5.6 %</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69,008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51,652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17,356</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33.6 %</w:t>
            </w: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b w:val="1"/>
                <w:bCs w:val="1"/>
                <w:color w:val="auto"/>
              </w:rPr>
              <w:t>Operating income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46,364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44,865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1,499</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3.3 %</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income (loss)</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11,065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13,051</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657.2 %</w:t>
            </w:r>
          </w:p>
        </w:tc>
      </w:tr>
      <w:tr>
        <w:trPr>
          <w:trHeight w:val="260"/>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5"/>
                <w:szCs w:val="15"/>
                <w:b w:val="1"/>
                <w:bCs w:val="1"/>
                <w:color w:val="auto"/>
              </w:rPr>
              <w:t>Adjusted Net Income</w:t>
            </w:r>
            <w:r>
              <w:rPr>
                <w:rFonts w:ascii="Arial" w:cs="Arial" w:eastAsia="Arial" w:hAnsi="Arial"/>
                <w:sz w:val="7"/>
                <w:szCs w:val="7"/>
                <w:b w:val="1"/>
                <w:bCs w:val="1"/>
                <w:color w:val="auto"/>
              </w:rPr>
              <w:t>(a)</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51,506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23,738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27,768</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117.0 %</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EBITDA</w:t>
            </w:r>
            <w:r>
              <w:rPr>
                <w:rFonts w:ascii="Arial" w:cs="Arial" w:eastAsia="Arial" w:hAnsi="Arial"/>
                <w:sz w:val="7"/>
                <w:szCs w:val="7"/>
                <w:b w:val="1"/>
                <w:bCs w:val="1"/>
                <w:color w:val="auto"/>
              </w:rPr>
              <w: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105,317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91,883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13,434</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14.6 %</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400" w:right="300" w:hanging="393"/>
        <w:spacing w:after="0" w:line="265" w:lineRule="auto"/>
        <w:tabs>
          <w:tab w:leader="none" w:pos="396"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Total Net Revenues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compares our revenues by type for the three months ended March 31, 2021 to the three months ended March 31,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20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49"/>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2"/>
                <w:szCs w:val="12"/>
                <w:b w:val="1"/>
                <w:bCs w:val="1"/>
                <w:color w:val="auto"/>
              </w:rPr>
              <w:t>Net revenues for the three months ended March 31,</w:t>
            </w:r>
          </w:p>
        </w:tc>
        <w:tc>
          <w:tcPr>
            <w:tcW w:w="340" w:type="dxa"/>
            <w:vAlign w:val="bottom"/>
          </w:tcPr>
          <w:p>
            <w:pPr>
              <w:spacing w:after="0"/>
              <w:rPr>
                <w:sz w:val="21"/>
                <w:szCs w:val="21"/>
                <w:color w:val="auto"/>
              </w:rPr>
            </w:pPr>
          </w:p>
        </w:tc>
        <w:tc>
          <w:tcPr>
            <w:tcW w:w="1080" w:type="dxa"/>
            <w:vAlign w:val="bottom"/>
          </w:tcPr>
          <w:p>
            <w:pPr>
              <w:jc w:val="right"/>
              <w:ind w:right="53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Arial" w:cs="Arial" w:eastAsia="Arial" w:hAnsi="Arial"/>
                <w:sz w:val="12"/>
                <w:szCs w:val="12"/>
                <w:color w:val="auto"/>
              </w:rPr>
              <w:t>$ Change</w:t>
            </w:r>
          </w:p>
        </w:tc>
        <w:tc>
          <w:tcPr>
            <w:tcW w:w="1560" w:type="dxa"/>
            <w:vAlign w:val="bottom"/>
          </w:tcPr>
          <w:p>
            <w:pPr>
              <w:jc w:val="right"/>
              <w:ind w:right="471"/>
              <w:spacing w:after="0"/>
              <w:rPr>
                <w:sz w:val="20"/>
                <w:szCs w:val="20"/>
                <w:color w:val="auto"/>
              </w:rPr>
            </w:pPr>
            <w:r>
              <w:rPr>
                <w:rFonts w:ascii="Arial" w:cs="Arial" w:eastAsia="Arial" w:hAnsi="Arial"/>
                <w:sz w:val="12"/>
                <w:szCs w:val="12"/>
                <w:color w:val="auto"/>
              </w:rPr>
              <w:t>% Change</w:t>
            </w:r>
          </w:p>
        </w:tc>
      </w:tr>
      <w:tr>
        <w:trPr>
          <w:trHeight w:val="24"/>
        </w:trPr>
        <w:tc>
          <w:tcPr>
            <w:tcW w:w="20" w:type="dxa"/>
            <w:vAlign w:val="bottom"/>
          </w:tcPr>
          <w:p>
            <w:pPr>
              <w:spacing w:after="0"/>
              <w:rPr>
                <w:sz w:val="2"/>
                <w:szCs w:val="2"/>
                <w:color w:val="auto"/>
              </w:rPr>
            </w:pPr>
          </w:p>
        </w:tc>
        <w:tc>
          <w:tcPr>
            <w:tcW w:w="254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Service</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188,698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167,405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21,293</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12.7 %</w:t>
            </w:r>
          </w:p>
        </w:tc>
      </w:tr>
      <w:tr>
        <w:trPr>
          <w:trHeight w:val="194"/>
        </w:trPr>
        <w:tc>
          <w:tcPr>
            <w:tcW w:w="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Product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23,450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20,795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2,655</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12.8 %</w:t>
            </w:r>
          </w:p>
        </w:tc>
      </w:tr>
      <w:tr>
        <w:trPr>
          <w:trHeight w:val="23"/>
        </w:trPr>
        <w:tc>
          <w:tcPr>
            <w:tcW w:w="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net revenues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212,148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188,200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23,948</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Net revenues were $212.1 million in the three months ended March 31, 2021, an increase of $23.9 million, or 12.7%, as compared with the three months ended March 31, 2020. Excluding the impact of foreign currency exchange rates, net revenues in the three months ended March 31, 2021 increased approximately 10.9% compared with the same period in the three months ended March 31, 2020.</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Service revenues</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Service revenues increased $21.3 million, or 12.7%, to $188.7 million in the three months ended March 31, 2021 as compared to $167.4 million in the three months ended March 31, 2020. The increase in net service revenues reflected a $5.8 million increase due to the July 31, 2020 acquisition of Iotron, coupled with favorable pricing and organic sales volume growth in our Sterigenics segment of $3.8 million and $2.7 million, respectively. Service revenue growth was also attributable to a $4.9 million increase in demand for testing services related to personal protective equipment used to provide protection against COVID-19 and a $1.6 million increase due to favorable pricing of laboratory and testing services in our Nelson Labs segment. The remainder of the increase is primarily due to a favorable impact from foreign exchange rates of $2.4 million.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 revenues</w:t>
      </w:r>
    </w:p>
    <w:p>
      <w:pPr>
        <w:spacing w:after="0" w:line="89" w:lineRule="exact"/>
        <w:rPr>
          <w:sz w:val="20"/>
          <w:szCs w:val="20"/>
          <w:color w:val="auto"/>
        </w:rPr>
      </w:pPr>
    </w:p>
    <w:p>
      <w:pPr>
        <w:jc w:val="both"/>
        <w:ind w:right="320"/>
        <w:spacing w:after="0" w:line="249" w:lineRule="auto"/>
        <w:rPr>
          <w:sz w:val="20"/>
          <w:szCs w:val="20"/>
          <w:color w:val="auto"/>
        </w:rPr>
      </w:pPr>
      <w:r>
        <w:rPr>
          <w:rFonts w:ascii="Arial" w:cs="Arial" w:eastAsia="Arial" w:hAnsi="Arial"/>
          <w:sz w:val="15"/>
          <w:szCs w:val="15"/>
          <w:color w:val="auto"/>
        </w:rPr>
        <w:t>Product revenues increased $2.7 million, or 12.8%, to $23.5 million in the three months ended March 31, 2021 as compared to $20.8 million in the three months ended March 31, 2020. The increase in product revenues was primarily attributable to a $1.3 million overall net volume increase driven largely by shipments of medical use Co-60 and a favorable impact from foreign exchange rates of $1.0 million.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Cost of Revenues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compares our cost of revenues by type for the three months ended March 31, 2021 to the three months ended March 31,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Cost of revenues for the three months ended March 31,</w:t>
            </w:r>
          </w:p>
        </w:tc>
        <w:tc>
          <w:tcPr>
            <w:tcW w:w="340" w:type="dxa"/>
            <w:vAlign w:val="bottom"/>
          </w:tcPr>
          <w:p>
            <w:pPr>
              <w:spacing w:after="0"/>
              <w:rPr>
                <w:sz w:val="20"/>
                <w:szCs w:val="20"/>
                <w:color w:val="auto"/>
              </w:rPr>
            </w:pPr>
          </w:p>
        </w:tc>
        <w:tc>
          <w:tcPr>
            <w:tcW w:w="1080" w:type="dxa"/>
            <w:vAlign w:val="bottom"/>
            <w:vMerge w:val="restart"/>
          </w:tcPr>
          <w:p>
            <w:pPr>
              <w:jc w:val="right"/>
              <w:ind w:right="53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restart"/>
          </w:tcPr>
          <w:p>
            <w:pPr>
              <w:jc w:val="right"/>
              <w:ind w:right="53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20"/>
              <w:spacing w:after="0"/>
              <w:rPr>
                <w:sz w:val="20"/>
                <w:szCs w:val="20"/>
                <w:color w:val="auto"/>
              </w:rPr>
            </w:pPr>
            <w:r>
              <w:rPr>
                <w:rFonts w:ascii="Arial" w:cs="Arial" w:eastAsia="Arial" w:hAnsi="Arial"/>
                <w:sz w:val="12"/>
                <w:szCs w:val="12"/>
                <w:color w:val="auto"/>
              </w:rPr>
              <w:t>Change</w:t>
            </w:r>
          </w:p>
        </w:tc>
        <w:tc>
          <w:tcPr>
            <w:tcW w:w="1540" w:type="dxa"/>
            <w:vAlign w:val="bottom"/>
          </w:tcPr>
          <w:p>
            <w:pPr>
              <w:jc w:val="right"/>
              <w:ind w:right="471"/>
              <w:spacing w:after="0"/>
              <w:rPr>
                <w:sz w:val="20"/>
                <w:szCs w:val="20"/>
                <w:color w:val="auto"/>
              </w:rPr>
            </w:pPr>
            <w:r>
              <w:rPr>
                <w:rFonts w:ascii="Arial" w:cs="Arial" w:eastAsia="Arial" w:hAnsi="Arial"/>
                <w:sz w:val="12"/>
                <w:szCs w:val="12"/>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2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Service</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85,036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83,069</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1,967</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color w:val="auto"/>
              </w:rPr>
              <w:t>Product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11,740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8,614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3,126</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36.3 %</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cost of revenues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96,776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91,683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5,093</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Total cost of revenues accounted for approximately 45.6% and 48.7% of our consolidated net revenues for the three months ended March 31, 2021 and 2020,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service revenues</w:t>
      </w:r>
    </w:p>
    <w:p>
      <w:pPr>
        <w:spacing w:after="0" w:line="89" w:lineRule="exact"/>
        <w:rPr>
          <w:sz w:val="20"/>
          <w:szCs w:val="20"/>
          <w:color w:val="auto"/>
        </w:rPr>
      </w:pPr>
    </w:p>
    <w:p>
      <w:pPr>
        <w:jc w:val="both"/>
        <w:ind w:right="20"/>
        <w:spacing w:after="0" w:line="257" w:lineRule="auto"/>
        <w:rPr>
          <w:sz w:val="20"/>
          <w:szCs w:val="20"/>
          <w:color w:val="auto"/>
        </w:rPr>
      </w:pPr>
      <w:r>
        <w:rPr>
          <w:rFonts w:ascii="Arial" w:cs="Arial" w:eastAsia="Arial" w:hAnsi="Arial"/>
          <w:sz w:val="15"/>
          <w:szCs w:val="15"/>
          <w:color w:val="auto"/>
        </w:rPr>
        <w:t>Cost of service revenues increased $2.0 million, or 2.4%, for the three months ended March 31, 2021 as compared to the three months ended March 31, 2020. The increase was attributable to the Iotron acquisition and the impact of foreign currency exchange rates on cost of sales within our foreign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product revenues</w:t>
      </w:r>
    </w:p>
    <w:p>
      <w:pPr>
        <w:spacing w:after="0" w:line="89" w:lineRule="exact"/>
        <w:rPr>
          <w:sz w:val="20"/>
          <w:szCs w:val="20"/>
          <w:color w:val="auto"/>
        </w:rPr>
      </w:pPr>
    </w:p>
    <w:p>
      <w:pPr>
        <w:ind w:right="300"/>
        <w:spacing w:after="0" w:line="333" w:lineRule="auto"/>
        <w:rPr>
          <w:sz w:val="20"/>
          <w:szCs w:val="20"/>
          <w:color w:val="auto"/>
        </w:rPr>
      </w:pPr>
      <w:r>
        <w:rPr>
          <w:rFonts w:ascii="Arial" w:cs="Arial" w:eastAsia="Arial" w:hAnsi="Arial"/>
          <w:sz w:val="13"/>
          <w:szCs w:val="13"/>
          <w:color w:val="auto"/>
        </w:rPr>
        <w:t>Cost of product revenues increased $3.1 million, or 36.3%, for the three months ended March 31, 2021 as compared to the three months ended March 31, 2020. The increase was primarily a result of incremental costs associated with increased sales volumes. The remainder of the increase is primarily due to an unfavorable impact from foreign exchange rates of $0.7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compares our operating expenses for the three months ended March 31, 2021 to the three months ended March 31,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49"/>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Operating expenses for the three months ended March 31,</w:t>
            </w:r>
          </w:p>
        </w:tc>
        <w:tc>
          <w:tcPr>
            <w:tcW w:w="340" w:type="dxa"/>
            <w:vAlign w:val="bottom"/>
          </w:tcPr>
          <w:p>
            <w:pPr>
              <w:spacing w:after="0"/>
              <w:rPr>
                <w:sz w:val="21"/>
                <w:szCs w:val="21"/>
                <w:color w:val="auto"/>
              </w:rPr>
            </w:pPr>
          </w:p>
        </w:tc>
        <w:tc>
          <w:tcPr>
            <w:tcW w:w="1080" w:type="dxa"/>
            <w:vAlign w:val="bottom"/>
          </w:tcPr>
          <w:p>
            <w:pPr>
              <w:jc w:val="right"/>
              <w:ind w:right="53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3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color w:val="auto"/>
              </w:rPr>
              <w:t>$ Change</w:t>
            </w:r>
          </w:p>
        </w:tc>
        <w:tc>
          <w:tcPr>
            <w:tcW w:w="1540" w:type="dxa"/>
            <w:vAlign w:val="bottom"/>
          </w:tcPr>
          <w:p>
            <w:pPr>
              <w:jc w:val="right"/>
              <w:ind w:right="471"/>
              <w:spacing w:after="0"/>
              <w:rPr>
                <w:sz w:val="20"/>
                <w:szCs w:val="20"/>
                <w:color w:val="auto"/>
              </w:rPr>
            </w:pPr>
            <w:r>
              <w:rPr>
                <w:rFonts w:ascii="Arial" w:cs="Arial" w:eastAsia="Arial" w:hAnsi="Arial"/>
                <w:sz w:val="12"/>
                <w:szCs w:val="12"/>
                <w:color w:val="auto"/>
              </w:rPr>
              <w:t>% Change</w:t>
            </w:r>
          </w:p>
        </w:tc>
      </w:tr>
      <w:tr>
        <w:trPr>
          <w:trHeight w:val="24"/>
        </w:trPr>
        <w:tc>
          <w:tcPr>
            <w:tcW w:w="2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Selling, general and administrative expenses</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52,465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37,053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15,412</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41.6 %</w:t>
            </w: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16,543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14,599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1,944</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13.3 %</w:t>
            </w:r>
          </w:p>
        </w:tc>
      </w:tr>
      <w:tr>
        <w:trPr>
          <w:trHeight w:val="23"/>
        </w:trPr>
        <w:tc>
          <w:tcPr>
            <w:tcW w:w="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69,008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51,652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17,356</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accounted for approximately 32.5% and 27.4% of our consolidated net revenues for the three months ended March 31,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SG&amp;A</w:t>
      </w:r>
    </w:p>
    <w:p>
      <w:pPr>
        <w:spacing w:after="0" w:line="89" w:lineRule="exact"/>
        <w:rPr>
          <w:sz w:val="20"/>
          <w:szCs w:val="20"/>
          <w:color w:val="auto"/>
        </w:rPr>
      </w:pPr>
    </w:p>
    <w:p>
      <w:pPr>
        <w:ind w:right="580"/>
        <w:spacing w:after="0" w:line="257" w:lineRule="auto"/>
        <w:rPr>
          <w:sz w:val="20"/>
          <w:szCs w:val="20"/>
          <w:color w:val="auto"/>
        </w:rPr>
      </w:pPr>
      <w:r>
        <w:rPr>
          <w:rFonts w:ascii="Arial" w:cs="Arial" w:eastAsia="Arial" w:hAnsi="Arial"/>
          <w:sz w:val="15"/>
          <w:szCs w:val="15"/>
          <w:color w:val="auto"/>
        </w:rPr>
        <w:t>SG&amp;A increased $15.4 million, or 41.6%, for the three months ended March 31, 2021 as compared to the three months ended March 31, 2020. The increase was driven primarily by the following:</w:t>
      </w:r>
    </w:p>
    <w:p>
      <w:pPr>
        <w:spacing w:after="0" w:line="66" w:lineRule="exact"/>
        <w:rPr>
          <w:sz w:val="20"/>
          <w:szCs w:val="20"/>
          <w:color w:val="auto"/>
        </w:rPr>
      </w:pPr>
    </w:p>
    <w:p>
      <w:pPr>
        <w:ind w:left="520" w:hanging="252"/>
        <w:spacing w:after="0"/>
        <w:tabs>
          <w:tab w:leader="none" w:pos="520" w:val="left"/>
        </w:tabs>
        <w:numPr>
          <w:ilvl w:val="0"/>
          <w:numId w:val="23"/>
        </w:numPr>
        <w:rPr>
          <w:rFonts w:ascii="Arial" w:cs="Arial" w:eastAsia="Arial" w:hAnsi="Arial"/>
          <w:sz w:val="15"/>
          <w:szCs w:val="15"/>
          <w:color w:val="231F20"/>
        </w:rPr>
      </w:pPr>
      <w:r>
        <w:rPr>
          <w:rFonts w:ascii="Arial" w:cs="Arial" w:eastAsia="Arial" w:hAnsi="Arial"/>
          <w:sz w:val="15"/>
          <w:szCs w:val="15"/>
          <w:color w:val="auto"/>
        </w:rPr>
        <w:t>A $9.3 million increase in legal and other professional services expense associated with EO litigation;</w:t>
      </w:r>
    </w:p>
    <w:p>
      <w:pPr>
        <w:spacing w:after="0" w:line="88" w:lineRule="exact"/>
        <w:rPr>
          <w:rFonts w:ascii="Arial" w:cs="Arial" w:eastAsia="Arial" w:hAnsi="Arial"/>
          <w:sz w:val="15"/>
          <w:szCs w:val="15"/>
          <w:color w:val="231F20"/>
        </w:rPr>
      </w:pPr>
    </w:p>
    <w:p>
      <w:pPr>
        <w:ind w:left="520" w:right="280" w:hanging="252"/>
        <w:spacing w:after="0" w:line="257" w:lineRule="auto"/>
        <w:tabs>
          <w:tab w:leader="none" w:pos="5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$4.0 million in incremental corporate expenses largely attributed to costs associated with being a public company. This includes $1.2 million in professional fees associated with the secondary offering of common shares by the selling stockholders in March 2021.</w:t>
      </w:r>
    </w:p>
    <w:p>
      <w:pPr>
        <w:spacing w:after="0" w:line="65" w:lineRule="exact"/>
        <w:rPr>
          <w:rFonts w:ascii="Arial" w:cs="Arial" w:eastAsia="Arial" w:hAnsi="Arial"/>
          <w:sz w:val="15"/>
          <w:szCs w:val="15"/>
          <w:color w:val="auto"/>
        </w:rPr>
      </w:pPr>
    </w:p>
    <w:p>
      <w:pPr>
        <w:ind w:left="520" w:hanging="252"/>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increase in share-based compensation expense of $1.7 million related to our 2020 Omnibus Incentive Plan.</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Amortization of intangible assets</w:t>
      </w:r>
    </w:p>
    <w:p>
      <w:pPr>
        <w:spacing w:after="0" w:line="89"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Amortization of intangible assets was $16.5 million for the three months ended March 31, 2021, or 13.3% above the three months ended March 31, 2020. The change was primarily attributable to amortization on newly acquired intangible assets related to the Iotron and BioScience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89"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Interest expense, net decreased $35.3 million, or 62.4%, for the three months ended March 31, 2021 as compared to the three months ended March 31, 2020. The decrease was largely due to a lower outstanding debt balance for the first quarter of 2021and lower interest rates subsequent to the January 2021 Term Loan refinancing. The weighted average interest rate on our outstanding debt was 3.45% and 7.11% at March 31, 2021 and 2020,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Loss (Gain)</w:t>
      </w:r>
    </w:p>
    <w:p>
      <w:pPr>
        <w:spacing w:after="0" w:line="89"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Foreign exchange loss was $0.6 million for the three months ended March 31, 2021 as compared to a gain of $0.6 million in the three months ended March 31, 2020. The foreign exchange loss (gain) in our Consolidated Statements of Operations and Comprehensive Income (Loss) relates primarily to U.S. dollar denominated intercompany indebtedness with certain of our European and Canadian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89"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Other income, net was $3.9 million for the three months ended March 31, 2021 compared to $3.2 million of expense for the three months ended March 31, 2020. The fluctuation was driven by changes in the fair value of the embedded derivatives in Nordion’s contracts. We recorded an unrealized gain on embedded derivatives of $0.9 million for the three months ended March 31, 2021 as compared to an unrealized loss on embedded derivatives of $4.8 million for the three months ended March 31, 2020. In addition, we recorded $1.2 million of other income related to the gain on purchase of the mandatorily redeemable noncontrolling interest of 15% of Nelson Labs Fairfield as compared to the amount previously accrued.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 (Benefit) for Income Taxes</w:t>
      </w:r>
    </w:p>
    <w:p>
      <w:pPr>
        <w:spacing w:after="0" w:line="89" w:lineRule="exact"/>
        <w:rPr>
          <w:sz w:val="20"/>
          <w:szCs w:val="20"/>
          <w:color w:val="auto"/>
        </w:rPr>
      </w:pPr>
    </w:p>
    <w:p>
      <w:pPr>
        <w:ind w:right="260"/>
        <w:spacing w:after="0" w:line="333" w:lineRule="auto"/>
        <w:rPr>
          <w:sz w:val="20"/>
          <w:szCs w:val="20"/>
          <w:color w:val="auto"/>
        </w:rPr>
      </w:pPr>
      <w:r>
        <w:rPr>
          <w:rFonts w:ascii="Arial" w:cs="Arial" w:eastAsia="Arial" w:hAnsi="Arial"/>
          <w:sz w:val="13"/>
          <w:szCs w:val="13"/>
          <w:color w:val="auto"/>
        </w:rPr>
        <w:t>Provision for income tax increased $15.3 million, or 124.7%, to a net provision of $3.0 million for the three months ended March 31, 2021 as compared to a $12.2 million benefit in the three months ended March 31, 2020. The change was primarily attributable to pre-tax income in the three months ended March 31, 2021 compared to a pre-tax loss in the three months ended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3" w:name="page34"/>
    <w:bookmarkEnd w:id="33"/>
    <w:p>
      <w:pPr>
        <w:ind w:right="60"/>
        <w:spacing w:after="0" w:line="333" w:lineRule="auto"/>
        <w:rPr>
          <w:sz w:val="20"/>
          <w:szCs w:val="20"/>
          <w:color w:val="auto"/>
        </w:rPr>
      </w:pPr>
      <w:r>
        <w:rPr>
          <w:rFonts w:ascii="Arial" w:cs="Arial" w:eastAsia="Arial" w:hAnsi="Arial"/>
          <w:sz w:val="13"/>
          <w:szCs w:val="13"/>
          <w:color w:val="auto"/>
        </w:rPr>
        <w:t>March 31, 2020. In addition, the increased limitation on interest expense deduction provided by the CARES Act in March 2020 resulted in a $9.1 million discrete tax benefit in the three months ended March 31, 2020 as well as a reversal of a $5.6 million valuation allowance on deferred tax assets related to nondeductible interest expense.</w:t>
      </w:r>
    </w:p>
    <w:p>
      <w:pPr>
        <w:spacing w:after="0" w:line="107"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Provision for income taxes for the three months ended March 31, 2021 differed from the statutory rate primarily due to the impact of the foreign rate differential, GILTI, and a net increase in the valuation allowance attributable to the limitation on the deductibility of interest expense. This was partially offset by a discrete item, which reversed the valuation allowance on deferred tax assets related to certain asset retirement obligations. Provision for income taxes for the three months ended March 31, 2020 differed from the statutory rate primarily due to the impact of the CARES Act, including the increased limitation on interest expense deduction and valuation allowance reversal, as described above.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Income (Loss), Adjusted Net Income and Adjusted EBITDA</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Net income for the three months ended March 31, 2021 was $11.1 million, as compared to a net loss of $2.0 million for the three months ended March 31, 2020. Adjusted Net Income was $51.5 million for the three months ended March 31, 2021, as compared to $23.7 million for the three months ended March 31, 2020, due to the factors described above. Adjusted EBITDA was $105.3 million for the three months ended March 31, 2021, as compared to $91.9 million for the three months ended March 31, 2020,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93" w:lineRule="exact"/>
        <w:rPr>
          <w:sz w:val="20"/>
          <w:szCs w:val="20"/>
          <w:color w:val="auto"/>
        </w:rPr>
      </w:pPr>
    </w:p>
    <w:p>
      <w:pPr>
        <w:ind w:right="460"/>
        <w:spacing w:after="0" w:line="257" w:lineRule="auto"/>
        <w:rPr>
          <w:sz w:val="20"/>
          <w:szCs w:val="20"/>
          <w:color w:val="auto"/>
        </w:rPr>
      </w:pPr>
      <w:r>
        <w:rPr>
          <w:rFonts w:ascii="Arial" w:cs="Arial" w:eastAsia="Arial" w:hAnsi="Arial"/>
          <w:sz w:val="15"/>
          <w:szCs w:val="15"/>
          <w:color w:val="231F20"/>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231F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3"/>
          <w:szCs w:val="13"/>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37"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73" w:lineRule="exact"/>
        <w:rPr>
          <w:sz w:val="20"/>
          <w:szCs w:val="20"/>
          <w:color w:val="auto"/>
        </w:rPr>
      </w:pPr>
    </w:p>
    <w:p>
      <w:pPr>
        <w:ind w:left="520" w:right="80" w:hanging="252"/>
        <w:spacing w:after="0" w:line="257" w:lineRule="auto"/>
        <w:tabs>
          <w:tab w:leader="none" w:pos="516" w:val="left"/>
        </w:tabs>
        <w:numPr>
          <w:ilvl w:val="0"/>
          <w:numId w:val="24"/>
        </w:numPr>
        <w:rPr>
          <w:rFonts w:ascii="Arial" w:cs="Arial" w:eastAsia="Arial" w:hAnsi="Arial"/>
          <w:sz w:val="15"/>
          <w:szCs w:val="15"/>
          <w:color w:val="231F20"/>
        </w:rPr>
      </w:pPr>
      <w:r>
        <w:rPr>
          <w:rFonts w:ascii="Arial" w:cs="Arial" w:eastAsia="Arial" w:hAnsi="Arial"/>
          <w:sz w:val="15"/>
          <w:szCs w:val="15"/>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5" w:lineRule="exact"/>
        <w:rPr>
          <w:rFonts w:ascii="Arial" w:cs="Arial" w:eastAsia="Arial" w:hAnsi="Arial"/>
          <w:sz w:val="15"/>
          <w:szCs w:val="15"/>
          <w:color w:val="231F20"/>
        </w:rPr>
      </w:pPr>
    </w:p>
    <w:p>
      <w:pPr>
        <w:ind w:left="520" w:hanging="252"/>
        <w:spacing w:after="0"/>
        <w:tabs>
          <w:tab w:leader="none" w:pos="520" w:val="left"/>
        </w:tabs>
        <w:numPr>
          <w:ilvl w:val="0"/>
          <w:numId w:val="24"/>
        </w:numPr>
        <w:rPr>
          <w:rFonts w:ascii="Arial" w:cs="Arial" w:eastAsia="Arial" w:hAnsi="Arial"/>
          <w:sz w:val="15"/>
          <w:szCs w:val="15"/>
          <w:color w:val="231F20"/>
        </w:rPr>
      </w:pPr>
      <w:r>
        <w:rPr>
          <w:rFonts w:ascii="Arial" w:cs="Arial" w:eastAsia="Arial" w:hAnsi="Arial"/>
          <w:sz w:val="15"/>
          <w:szCs w:val="15"/>
          <w:color w:val="231F20"/>
        </w:rPr>
        <w:t>costs of acquiring and integrating businesses, which will continue to be a part of our growth strategy;</w:t>
      </w:r>
    </w:p>
    <w:p>
      <w:pPr>
        <w:spacing w:after="0" w:line="88" w:lineRule="exact"/>
        <w:rPr>
          <w:rFonts w:ascii="Arial" w:cs="Arial" w:eastAsia="Arial" w:hAnsi="Arial"/>
          <w:sz w:val="15"/>
          <w:szCs w:val="15"/>
          <w:color w:val="231F20"/>
        </w:rPr>
      </w:pPr>
    </w:p>
    <w:p>
      <w:pPr>
        <w:ind w:left="520" w:right="620" w:hanging="252"/>
        <w:spacing w:after="0" w:line="333" w:lineRule="auto"/>
        <w:tabs>
          <w:tab w:leader="none" w:pos="516"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20" w:lineRule="exact"/>
        <w:rPr>
          <w:rFonts w:ascii="Arial" w:cs="Arial" w:eastAsia="Arial" w:hAnsi="Arial"/>
          <w:sz w:val="13"/>
          <w:szCs w:val="13"/>
          <w:color w:val="231F20"/>
        </w:rPr>
      </w:pPr>
    </w:p>
    <w:p>
      <w:pPr>
        <w:ind w:left="520" w:hanging="252"/>
        <w:spacing w:after="0"/>
        <w:tabs>
          <w:tab w:leader="none" w:pos="520" w:val="left"/>
        </w:tabs>
        <w:numPr>
          <w:ilvl w:val="0"/>
          <w:numId w:val="24"/>
        </w:numPr>
        <w:rPr>
          <w:rFonts w:ascii="Arial" w:cs="Arial" w:eastAsia="Arial" w:hAnsi="Arial"/>
          <w:sz w:val="15"/>
          <w:szCs w:val="15"/>
          <w:color w:val="231F20"/>
        </w:rPr>
      </w:pPr>
      <w:r>
        <w:rPr>
          <w:rFonts w:ascii="Arial" w:cs="Arial" w:eastAsia="Arial" w:hAnsi="Arial"/>
          <w:sz w:val="15"/>
          <w:szCs w:val="15"/>
          <w:color w:val="231F20"/>
        </w:rPr>
        <w:t>impairment charges on long-lived assets and intangible assets;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869" w:right="339" w:bottom="1440" w:gutter="0" w:footer="0" w:header="0"/>
        </w:sectPr>
      </w:pPr>
    </w:p>
    <w:bookmarkStart w:id="34" w:name="page35"/>
    <w:bookmarkEnd w:id="34"/>
    <w:p>
      <w:pPr>
        <w:ind w:left="520" w:right="20" w:hanging="252"/>
        <w:spacing w:after="0" w:line="257" w:lineRule="auto"/>
        <w:tabs>
          <w:tab w:leader="none" w:pos="516" w:val="left"/>
        </w:tabs>
        <w:numPr>
          <w:ilvl w:val="0"/>
          <w:numId w:val="25"/>
        </w:numPr>
        <w:rPr>
          <w:rFonts w:ascii="Arial" w:cs="Arial" w:eastAsia="Arial" w:hAnsi="Arial"/>
          <w:sz w:val="15"/>
          <w:szCs w:val="15"/>
          <w:color w:val="231F20"/>
        </w:rPr>
      </w:pPr>
      <w:r>
        <w:rPr>
          <w:rFonts w:ascii="Arial" w:cs="Arial" w:eastAsia="Arial" w:hAnsi="Arial"/>
          <w:sz w:val="15"/>
          <w:szCs w:val="15"/>
          <w:color w:val="231F20"/>
        </w:rPr>
        <w:t>expenses and charges related to the litigation and other activities associated with our EO sterilization facilities in Willowbrook, Illinois, Atlanta, Georgia and Santa Teresa, New Mexico, even though that litigation remains ongoing;</w:t>
      </w:r>
    </w:p>
    <w:p>
      <w:pPr>
        <w:spacing w:after="0" w:line="65" w:lineRule="exact"/>
        <w:rPr>
          <w:rFonts w:ascii="Arial" w:cs="Arial" w:eastAsia="Arial" w:hAnsi="Arial"/>
          <w:sz w:val="15"/>
          <w:szCs w:val="15"/>
          <w:color w:val="231F20"/>
        </w:rPr>
      </w:pPr>
    </w:p>
    <w:p>
      <w:pPr>
        <w:ind w:left="520" w:hanging="252"/>
        <w:spacing w:after="0"/>
        <w:tabs>
          <w:tab w:leader="none" w:pos="520" w:val="left"/>
        </w:tabs>
        <w:numPr>
          <w:ilvl w:val="0"/>
          <w:numId w:val="25"/>
        </w:numPr>
        <w:rPr>
          <w:rFonts w:ascii="Arial" w:cs="Arial" w:eastAsia="Arial" w:hAnsi="Arial"/>
          <w:sz w:val="15"/>
          <w:szCs w:val="15"/>
          <w:color w:val="231F20"/>
        </w:rPr>
      </w:pPr>
      <w:r>
        <w:rPr>
          <w:rFonts w:ascii="Arial" w:cs="Arial" w:eastAsia="Arial" w:hAnsi="Arial"/>
          <w:sz w:val="15"/>
          <w:szCs w:val="15"/>
          <w:color w:val="231F20"/>
        </w:rPr>
        <w:t>in the case of Adjusted EBITDA, interest expense or the cash requirements necessary to service interest or principal payments on our indebtedness; and</w:t>
      </w:r>
    </w:p>
    <w:p>
      <w:pPr>
        <w:spacing w:after="0" w:line="88" w:lineRule="exact"/>
        <w:rPr>
          <w:rFonts w:ascii="Arial" w:cs="Arial" w:eastAsia="Arial" w:hAnsi="Arial"/>
          <w:sz w:val="15"/>
          <w:szCs w:val="15"/>
          <w:color w:val="231F20"/>
        </w:rPr>
      </w:pPr>
    </w:p>
    <w:p>
      <w:pPr>
        <w:ind w:left="520" w:right="500" w:hanging="252"/>
        <w:spacing w:after="0" w:line="257" w:lineRule="auto"/>
        <w:tabs>
          <w:tab w:leader="none" w:pos="516" w:val="left"/>
        </w:tabs>
        <w:numPr>
          <w:ilvl w:val="0"/>
          <w:numId w:val="25"/>
        </w:numPr>
        <w:rPr>
          <w:rFonts w:ascii="Arial" w:cs="Arial" w:eastAsia="Arial" w:hAnsi="Arial"/>
          <w:sz w:val="15"/>
          <w:szCs w:val="15"/>
          <w:color w:val="231F20"/>
        </w:rPr>
      </w:pPr>
      <w:r>
        <w:rPr>
          <w:rFonts w:ascii="Arial" w:cs="Arial" w:eastAsia="Arial" w:hAnsi="Arial"/>
          <w:sz w:val="15"/>
          <w:szCs w:val="15"/>
          <w:color w:val="231F20"/>
        </w:rPr>
        <w:t>share-based compensation expense, which has been, and will continue to be for the foreseeable future, a significant recurring expense and an important part of our compensation strategy.</w:t>
      </w:r>
    </w:p>
    <w:p>
      <w:pPr>
        <w:spacing w:after="0" w:line="153"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231F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61"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96" w:lineRule="exact"/>
        <w:rPr>
          <w:sz w:val="20"/>
          <w:szCs w:val="20"/>
          <w:color w:val="auto"/>
        </w:rPr>
      </w:pPr>
    </w:p>
    <w:p>
      <w:pPr>
        <w:ind w:left="89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5290820</wp:posOffset>
            </wp:positionH>
            <wp:positionV relativeFrom="paragraph">
              <wp:posOffset>22225</wp:posOffset>
            </wp:positionV>
            <wp:extent cx="187261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72615" cy="698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(thousands of U.S. dollars)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2020</w:t>
            </w: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b w:val="1"/>
                <w:bCs w:val="1"/>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11,065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r>
      <w:tr>
        <w:trPr>
          <w:trHeight w:val="188"/>
        </w:trPr>
        <w:tc>
          <w:tcPr>
            <w:tcW w:w="8340" w:type="dxa"/>
            <w:vAlign w:val="bottom"/>
          </w:tcPr>
          <w:p>
            <w:pPr>
              <w:ind w:left="280"/>
              <w:spacing w:after="0"/>
              <w:rPr>
                <w:sz w:val="20"/>
                <w:szCs w:val="20"/>
                <w:color w:val="auto"/>
              </w:rPr>
            </w:pPr>
            <w:r>
              <w:rPr>
                <w:rFonts w:ascii="Arial" w:cs="Arial" w:eastAsia="Arial" w:hAnsi="Arial"/>
                <w:sz w:val="13"/>
                <w:szCs w:val="13"/>
                <w:color w:val="auto"/>
              </w:rPr>
              <w:t>Amortization of intangibles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22,282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19,913</w:t>
            </w:r>
          </w:p>
        </w:tc>
      </w:tr>
      <w:tr>
        <w:trPr>
          <w:trHeight w:val="269"/>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w:t>
            </w:r>
            <w:r>
              <w:rPr>
                <w:rFonts w:ascii="Arial" w:cs="Arial" w:eastAsia="Arial" w:hAnsi="Arial"/>
                <w:sz w:val="16"/>
                <w:szCs w:val="16"/>
                <w:color w:val="auto"/>
                <w:vertAlign w:val="superscript"/>
              </w:rPr>
              <w:t>(a)</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3,449</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r>
      <w:tr>
        <w:trPr>
          <w:trHeight w:val="261"/>
        </w:trPr>
        <w:tc>
          <w:tcPr>
            <w:tcW w:w="8340" w:type="dxa"/>
            <w:vAlign w:val="bottom"/>
          </w:tcPr>
          <w:p>
            <w:pPr>
              <w:ind w:left="280"/>
              <w:spacing w:after="0"/>
              <w:rPr>
                <w:sz w:val="20"/>
                <w:szCs w:val="20"/>
                <w:color w:val="auto"/>
              </w:rPr>
            </w:pPr>
            <w:r>
              <w:rPr>
                <w:rFonts w:ascii="Arial" w:cs="Arial" w:eastAsia="Arial" w:hAnsi="Arial"/>
                <w:sz w:val="13"/>
                <w:szCs w:val="13"/>
                <w:color w:val="auto"/>
              </w:rPr>
              <w:t>(Gain) loss on foreign currency and embedded derivatives</w:t>
            </w:r>
            <w:r>
              <w:rPr>
                <w:rFonts w:ascii="Arial" w:cs="Arial" w:eastAsia="Arial" w:hAnsi="Arial"/>
                <w:sz w:val="16"/>
                <w:szCs w:val="16"/>
                <w:color w:val="auto"/>
                <w:vertAlign w:val="superscript"/>
              </w:rPr>
              <w:t>(b)</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(336)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4,267</w:t>
            </w:r>
          </w:p>
        </w:tc>
      </w:tr>
      <w:tr>
        <w:trPr>
          <w:trHeight w:val="261"/>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Acquisition and divestiture related charges, net</w:t>
            </w:r>
            <w:r>
              <w:rPr>
                <w:rFonts w:ascii="Arial" w:cs="Arial" w:eastAsia="Arial" w:hAnsi="Arial"/>
                <w:sz w:val="16"/>
                <w:szCs w:val="16"/>
                <w:color w:val="auto"/>
                <w:vertAlign w:val="superscript"/>
              </w:rPr>
              <w:t>(c)</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r>
      <w:tr>
        <w:trPr>
          <w:trHeight w:val="261"/>
        </w:trPr>
        <w:tc>
          <w:tcPr>
            <w:tcW w:w="8340" w:type="dxa"/>
            <w:vAlign w:val="bottom"/>
          </w:tcPr>
          <w:p>
            <w:pPr>
              <w:ind w:left="280"/>
              <w:spacing w:after="0"/>
              <w:rPr>
                <w:sz w:val="20"/>
                <w:szCs w:val="20"/>
                <w:color w:val="auto"/>
              </w:rPr>
            </w:pPr>
            <w:r>
              <w:rPr>
                <w:rFonts w:ascii="Arial" w:cs="Arial" w:eastAsia="Arial" w:hAnsi="Arial"/>
                <w:sz w:val="13"/>
                <w:szCs w:val="13"/>
                <w:color w:val="auto"/>
              </w:rPr>
              <w:t>Business optimization project expenses</w:t>
            </w:r>
            <w:r>
              <w:rPr>
                <w:rFonts w:ascii="Arial" w:cs="Arial" w:eastAsia="Arial" w:hAnsi="Arial"/>
                <w:sz w:val="16"/>
                <w:szCs w:val="16"/>
                <w:color w:val="auto"/>
                <w:vertAlign w:val="superscript"/>
              </w:rPr>
              <w:t>(d)</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261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1,049</w:t>
            </w:r>
          </w:p>
        </w:tc>
      </w:tr>
      <w:tr>
        <w:trPr>
          <w:trHeight w:val="261"/>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Plant closure expenses</w:t>
            </w:r>
            <w:r>
              <w:rPr>
                <w:rFonts w:ascii="Arial" w:cs="Arial" w:eastAsia="Arial" w:hAnsi="Arial"/>
                <w:sz w:val="16"/>
                <w:szCs w:val="16"/>
                <w:color w:val="auto"/>
                <w:vertAlign w:val="superscript"/>
              </w:rPr>
              <w:t>(e)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r>
      <w:tr>
        <w:trPr>
          <w:trHeight w:val="261"/>
        </w:trPr>
        <w:tc>
          <w:tcPr>
            <w:tcW w:w="8340" w:type="dxa"/>
            <w:vAlign w:val="bottom"/>
          </w:tcPr>
          <w:p>
            <w:pPr>
              <w:ind w:left="280"/>
              <w:spacing w:after="0"/>
              <w:rPr>
                <w:sz w:val="20"/>
                <w:szCs w:val="20"/>
                <w:color w:val="auto"/>
              </w:rPr>
            </w:pPr>
            <w:r>
              <w:rPr>
                <w:rFonts w:ascii="Arial" w:cs="Arial" w:eastAsia="Arial" w:hAnsi="Arial"/>
                <w:sz w:val="13"/>
                <w:szCs w:val="13"/>
                <w:color w:val="auto"/>
              </w:rPr>
              <w:t>Loss on extinguishment of debt</w:t>
            </w:r>
            <w:r>
              <w:rPr>
                <w:rFonts w:ascii="Arial" w:cs="Arial" w:eastAsia="Arial" w:hAnsi="Arial"/>
                <w:sz w:val="16"/>
                <w:szCs w:val="16"/>
                <w:color w:val="auto"/>
                <w:vertAlign w:val="superscript"/>
              </w:rPr>
              <w:t>(f)</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14,312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1"/>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Professional services relating to EO sterilization facilities</w:t>
            </w:r>
            <w:r>
              <w:rPr>
                <w:rFonts w:ascii="Arial" w:cs="Arial" w:eastAsia="Arial" w:hAnsi="Arial"/>
                <w:sz w:val="16"/>
                <w:szCs w:val="16"/>
                <w:color w:val="auto"/>
                <w:vertAlign w:val="superscript"/>
              </w:rPr>
              <w:t>(g)</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13,399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w:t>
            </w:r>
          </w:p>
        </w:tc>
      </w:tr>
      <w:tr>
        <w:trPr>
          <w:trHeight w:val="261"/>
        </w:trPr>
        <w:tc>
          <w:tcPr>
            <w:tcW w:w="8340" w:type="dxa"/>
            <w:vAlign w:val="bottom"/>
          </w:tcPr>
          <w:p>
            <w:pPr>
              <w:ind w:left="280"/>
              <w:spacing w:after="0"/>
              <w:rPr>
                <w:sz w:val="20"/>
                <w:szCs w:val="20"/>
                <w:color w:val="auto"/>
              </w:rPr>
            </w:pPr>
            <w:r>
              <w:rPr>
                <w:rFonts w:ascii="Arial" w:cs="Arial" w:eastAsia="Arial" w:hAnsi="Arial"/>
                <w:sz w:val="13"/>
                <w:szCs w:val="13"/>
                <w:color w:val="auto"/>
              </w:rPr>
              <w:t>Accretion of asset retirement obligations</w:t>
            </w:r>
            <w:r>
              <w:rPr>
                <w:rFonts w:ascii="Arial" w:cs="Arial" w:eastAsia="Arial" w:hAnsi="Arial"/>
                <w:sz w:val="16"/>
                <w:szCs w:val="16"/>
                <w:color w:val="auto"/>
                <w:vertAlign w:val="superscript"/>
              </w:rPr>
              <w:t>(h)</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551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490</w:t>
            </w:r>
          </w:p>
        </w:tc>
      </w:tr>
      <w:tr>
        <w:trPr>
          <w:trHeight w:val="261"/>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COVID-19 expenses</w:t>
            </w:r>
            <w:r>
              <w:rPr>
                <w:rFonts w:ascii="Arial" w:cs="Arial" w:eastAsia="Arial" w:hAnsi="Arial"/>
                <w:sz w:val="16"/>
                <w:szCs w:val="16"/>
                <w:color w:val="auto"/>
                <w:vertAlign w:val="superscript"/>
              </w:rPr>
              <w:t>(i)</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261"/>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Income tax provision (benefit) associated with pre-tax adjustments</w:t>
            </w:r>
            <w:r>
              <w:rPr>
                <w:rFonts w:ascii="Arial" w:cs="Arial" w:eastAsia="Arial" w:hAnsi="Arial"/>
                <w:sz w:val="16"/>
                <w:szCs w:val="16"/>
                <w:color w:val="auto"/>
                <w:vertAlign w:val="superscript"/>
              </w:rPr>
              <w:t>(j)</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(14,133)</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(7,707)</w:t>
            </w:r>
          </w:p>
        </w:tc>
      </w:tr>
      <w:tr>
        <w:trPr>
          <w:trHeight w:val="179"/>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Adjusted Net Income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51,506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23,738</w:t>
            </w:r>
          </w:p>
        </w:tc>
      </w:tr>
      <w:tr>
        <w:trPr>
          <w:trHeight w:val="187"/>
        </w:trPr>
        <w:tc>
          <w:tcPr>
            <w:tcW w:w="8340" w:type="dxa"/>
            <w:vAlign w:val="bottom"/>
          </w:tcPr>
          <w:p>
            <w:pPr>
              <w:ind w:left="280"/>
              <w:spacing w:after="0"/>
              <w:rPr>
                <w:sz w:val="20"/>
                <w:szCs w:val="20"/>
                <w:color w:val="auto"/>
              </w:rPr>
            </w:pPr>
            <w:r>
              <w:rPr>
                <w:rFonts w:ascii="Arial" w:cs="Arial" w:eastAsia="Arial" w:hAnsi="Arial"/>
                <w:sz w:val="13"/>
                <w:szCs w:val="13"/>
                <w:color w:val="auto"/>
              </w:rPr>
              <w:t>Interest expense,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21,282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56,562</w:t>
            </w:r>
          </w:p>
        </w:tc>
      </w:tr>
      <w:tr>
        <w:trPr>
          <w:trHeight w:val="269"/>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w:t>
            </w:r>
            <w:r>
              <w:rPr>
                <w:rFonts w:ascii="Arial" w:cs="Arial" w:eastAsia="Arial" w:hAnsi="Arial"/>
                <w:sz w:val="16"/>
                <w:szCs w:val="16"/>
                <w:color w:val="auto"/>
                <w:vertAlign w:val="superscript"/>
              </w:rPr>
              <w:t>(k)</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15,379</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16,110</w:t>
            </w:r>
          </w:p>
        </w:tc>
      </w:tr>
      <w:tr>
        <w:trPr>
          <w:trHeight w:val="261"/>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Income tax provision (benefit) applicable to Adjusted Net Income</w:t>
            </w:r>
            <w:r>
              <w:rPr>
                <w:rFonts w:ascii="Arial" w:cs="Arial" w:eastAsia="Arial" w:hAnsi="Arial"/>
                <w:sz w:val="16"/>
                <w:szCs w:val="16"/>
                <w:color w:val="auto"/>
                <w:vertAlign w:val="superscript"/>
              </w:rPr>
              <w:t>(l)</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17,150</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(4,527)</w:t>
            </w: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105,317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91,883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non-cash share-based compensation expense.</w:t>
      </w:r>
    </w:p>
    <w:p>
      <w:pPr>
        <w:spacing w:after="0" w:line="10" w:lineRule="exact"/>
        <w:rPr>
          <w:rFonts w:ascii="Arial" w:cs="Arial" w:eastAsia="Arial" w:hAnsi="Arial"/>
          <w:sz w:val="15"/>
          <w:szCs w:val="15"/>
          <w:color w:val="auto"/>
        </w:rPr>
      </w:pPr>
    </w:p>
    <w:p>
      <w:pPr>
        <w:ind w:left="520" w:right="200" w:hanging="513"/>
        <w:spacing w:after="0" w:line="279" w:lineRule="auto"/>
        <w:tabs>
          <w:tab w:leader="none" w:pos="312"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520" w:right="60" w:hanging="513"/>
        <w:spacing w:after="0" w:line="279" w:lineRule="auto"/>
        <w:tabs>
          <w:tab w:leader="none" w:pos="304"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(i) certain direct and incremental costs related to the acquisitions of BioScience in 2021, Iotron in July 2020 and Nelson Labs Fairfield in 2018 (including the first quarter 2021 gain on the mandatorily redeemable noncontrolling interest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3"/>
          <w:szCs w:val="13"/>
          <w:color w:val="auto"/>
        </w:rPr>
      </w:pPr>
    </w:p>
    <w:p>
      <w:pPr>
        <w:ind w:left="520" w:right="120" w:hanging="513"/>
        <w:spacing w:after="0" w:line="279" w:lineRule="auto"/>
        <w:tabs>
          <w:tab w:leader="none" w:pos="312"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ind w:left="320" w:hanging="313"/>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professional fees, severance and other payroll costs, and other costs including ongoing lease and utility expenses associated with the closure of the Willowbrook, Illinois facility.</w:t>
      </w:r>
    </w:p>
    <w:p>
      <w:pPr>
        <w:spacing w:after="0" w:line="24" w:lineRule="exact"/>
        <w:rPr>
          <w:rFonts w:ascii="Arial" w:cs="Arial" w:eastAsia="Arial" w:hAnsi="Arial"/>
          <w:sz w:val="13"/>
          <w:szCs w:val="13"/>
          <w:color w:val="auto"/>
        </w:rPr>
      </w:pPr>
    </w:p>
    <w:p>
      <w:pPr>
        <w:ind w:left="300" w:hanging="293"/>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expenses incurred in connection with the repricing of our Term Loan in January 2021 including accelerated amortization of prior debt issuance and discount costs.</w:t>
      </w:r>
    </w:p>
    <w:p>
      <w:pPr>
        <w:spacing w:after="0" w:line="24" w:lineRule="exact"/>
        <w:rPr>
          <w:rFonts w:ascii="Arial" w:cs="Arial" w:eastAsia="Arial" w:hAnsi="Arial"/>
          <w:sz w:val="13"/>
          <w:szCs w:val="13"/>
          <w:color w:val="auto"/>
        </w:rPr>
      </w:pPr>
    </w:p>
    <w:p>
      <w:pPr>
        <w:ind w:left="320" w:hanging="313"/>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professional fees related to litigation associated with our EO sterilization facilities and other related professional fees. See Note 16, “Commitments and Contingencies”.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35" w:name="page36"/>
    <w:bookmarkEnd w:id="35"/>
    <w:p>
      <w:pPr>
        <w:ind w:left="520" w:right="440" w:hanging="513"/>
        <w:spacing w:after="0" w:line="246" w:lineRule="auto"/>
        <w:tabs>
          <w:tab w:leader="none" w:pos="312"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5"/>
          <w:szCs w:val="15"/>
          <w:color w:val="auto"/>
        </w:rPr>
      </w:pPr>
    </w:p>
    <w:p>
      <w:pPr>
        <w:ind w:left="280" w:hanging="273"/>
        <w:spacing w:after="0"/>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1" w:lineRule="exact"/>
        <w:rPr>
          <w:rFonts w:ascii="Arial" w:cs="Arial" w:eastAsia="Arial" w:hAnsi="Arial"/>
          <w:sz w:val="15"/>
          <w:szCs w:val="15"/>
          <w:color w:val="auto"/>
        </w:rPr>
      </w:pPr>
    </w:p>
    <w:p>
      <w:pPr>
        <w:ind w:left="520" w:right="160" w:hanging="513"/>
        <w:spacing w:after="0" w:line="242" w:lineRule="auto"/>
        <w:tabs>
          <w:tab w:leader="none" w:pos="280" w:val="left"/>
        </w:tabs>
        <w:numPr>
          <w:ilvl w:val="0"/>
          <w:numId w:val="27"/>
        </w:numPr>
        <w:rPr>
          <w:rFonts w:ascii="Arial" w:cs="Arial" w:eastAsia="Arial" w:hAnsi="Arial"/>
          <w:sz w:val="15"/>
          <w:szCs w:val="15"/>
          <w:color w:val="231F20"/>
        </w:rPr>
      </w:pPr>
      <w:r>
        <w:rPr>
          <w:rFonts w:ascii="Arial" w:cs="Arial" w:eastAsia="Arial" w:hAnsi="Arial"/>
          <w:sz w:val="15"/>
          <w:szCs w:val="15"/>
          <w:color w:val="231F20"/>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ind w:left="320" w:hanging="313"/>
        <w:spacing w:after="0"/>
        <w:tabs>
          <w:tab w:leader="none" w:pos="320" w:val="left"/>
        </w:tabs>
        <w:numPr>
          <w:ilvl w:val="0"/>
          <w:numId w:val="27"/>
        </w:numPr>
        <w:rPr>
          <w:rFonts w:ascii="Arial" w:cs="Arial" w:eastAsia="Arial" w:hAnsi="Arial"/>
          <w:sz w:val="15"/>
          <w:szCs w:val="15"/>
          <w:color w:val="231F20"/>
        </w:rPr>
      </w:pPr>
      <w:r>
        <w:rPr>
          <w:rFonts w:ascii="Arial" w:cs="Arial" w:eastAsia="Arial" w:hAnsi="Arial"/>
          <w:sz w:val="15"/>
          <w:szCs w:val="15"/>
          <w:color w:val="231F20"/>
        </w:rPr>
        <w:t>Includes depreciation of Co-60 held at gamma irradiation sites.</w:t>
      </w:r>
    </w:p>
    <w:p>
      <w:pPr>
        <w:spacing w:after="0" w:line="1" w:lineRule="exact"/>
        <w:rPr>
          <w:rFonts w:ascii="Arial" w:cs="Arial" w:eastAsia="Arial" w:hAnsi="Arial"/>
          <w:sz w:val="15"/>
          <w:szCs w:val="15"/>
          <w:color w:val="231F20"/>
        </w:rPr>
      </w:pPr>
    </w:p>
    <w:p>
      <w:pPr>
        <w:ind w:left="520" w:hanging="513"/>
        <w:spacing w:after="0" w:line="244" w:lineRule="auto"/>
        <w:tabs>
          <w:tab w:leader="none" w:pos="280" w:val="left"/>
        </w:tabs>
        <w:numPr>
          <w:ilvl w:val="0"/>
          <w:numId w:val="27"/>
        </w:numPr>
        <w:rPr>
          <w:rFonts w:ascii="Arial" w:cs="Arial" w:eastAsia="Arial" w:hAnsi="Arial"/>
          <w:sz w:val="15"/>
          <w:szCs w:val="15"/>
          <w:color w:val="231F20"/>
        </w:rPr>
      </w:pPr>
      <w:r>
        <w:rPr>
          <w:rFonts w:ascii="Arial" w:cs="Arial" w:eastAsia="Arial" w:hAnsi="Arial"/>
          <w:sz w:val="15"/>
          <w:szCs w:val="15"/>
          <w:color w:val="231F20"/>
        </w:rPr>
        <w:t>Represents the difference between income tax provision or benefit as determined under U.S. GAAP and the income tax provision or benefit associated with pre-tax adjustments described in footnote (j).</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RESULTS OF OPERATIONS</w:t>
      </w:r>
    </w:p>
    <w:p>
      <w:pPr>
        <w:spacing w:after="0" w:line="93"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Segments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Sterigenics</w:t>
      </w:r>
    </w:p>
    <w:p>
      <w:pPr>
        <w:spacing w:after="0" w:line="89"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Nordion</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Our Nordion business is a global provider of Co-60 and gamma irradiators, which are the key components to the gamma sterilization process.</w:t>
      </w:r>
    </w:p>
    <w:p>
      <w:pPr>
        <w:spacing w:after="0" w:line="176"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Results for our Nordion segment are also impacted by Co-60 supplier mix, harvest schedules and product and service mix.</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Nelson Labs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Our Nelson Labs business provides outsourced microbiological and analytical chemistry testing and advisory services for the medical device and pharmaceutical industries.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regarding our reportable segments please refer to Note 18, “Segment Information” to our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782" w:right="35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Segment Results for the Three Months Ended March 31, 2021 and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compare segment net revenue and segment income for the three months ended March 31, 2021 to the three months ended March 31,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40" w:type="dxa"/>
            <w:vAlign w:val="bottom"/>
            <w:gridSpan w:val="5"/>
          </w:tcPr>
          <w:p>
            <w:pPr>
              <w:ind w:left="440"/>
              <w:spacing w:after="0"/>
              <w:rPr>
                <w:sz w:val="20"/>
                <w:szCs w:val="20"/>
                <w:color w:val="auto"/>
              </w:rPr>
            </w:pPr>
            <w:r>
              <w:rPr>
                <w:rFonts w:ascii="Arial" w:cs="Arial" w:eastAsia="Arial" w:hAnsi="Arial"/>
                <w:sz w:val="12"/>
                <w:szCs w:val="12"/>
                <w:b w:val="1"/>
                <w:bCs w:val="1"/>
                <w:color w:val="auto"/>
              </w:rPr>
              <w:t>Three Months Ended March 31,</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5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 Change</w:t>
            </w:r>
          </w:p>
        </w:tc>
        <w:tc>
          <w:tcPr>
            <w:tcW w:w="1400" w:type="dxa"/>
            <w:vAlign w:val="bottom"/>
            <w:vMerge w:val="restart"/>
          </w:tcPr>
          <w:p>
            <w:pPr>
              <w:jc w:val="right"/>
              <w:ind w:right="37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221"/>
        </w:trPr>
        <w:tc>
          <w:tcPr>
            <w:tcW w:w="5200" w:type="dxa"/>
            <w:vAlign w:val="bottom"/>
          </w:tcPr>
          <w:p>
            <w:pPr>
              <w:ind w:left="20"/>
              <w:spacing w:after="0"/>
              <w:rPr>
                <w:sz w:val="20"/>
                <w:szCs w:val="20"/>
                <w:color w:val="auto"/>
              </w:rPr>
            </w:pPr>
            <w:r>
              <w:rPr>
                <w:rFonts w:ascii="Arial" w:cs="Arial" w:eastAsia="Arial" w:hAnsi="Arial"/>
                <w:sz w:val="12"/>
                <w:szCs w:val="12"/>
                <w:i w:val="1"/>
                <w:iCs w:val="1"/>
                <w:color w:val="auto"/>
              </w:rPr>
              <w:t>(thousands of U.S. dollars)</w:t>
            </w:r>
          </w:p>
        </w:tc>
        <w:tc>
          <w:tcPr>
            <w:tcW w:w="380" w:type="dxa"/>
            <w:vAlign w:val="bottom"/>
          </w:tcPr>
          <w:p>
            <w:pPr>
              <w:spacing w:after="0"/>
              <w:rPr>
                <w:sz w:val="19"/>
                <w:szCs w:val="19"/>
                <w:color w:val="auto"/>
              </w:rPr>
            </w:pPr>
          </w:p>
        </w:tc>
        <w:tc>
          <w:tcPr>
            <w:tcW w:w="1160" w:type="dxa"/>
            <w:vAlign w:val="bottom"/>
          </w:tcPr>
          <w:p>
            <w:pPr>
              <w:jc w:val="right"/>
              <w:ind w:right="591"/>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Revenues</w:t>
            </w: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0" w:type="dxa"/>
            <w:vAlign w:val="bottom"/>
          </w:tcPr>
          <w:p>
            <w:pPr>
              <w:ind w:left="360"/>
              <w:spacing w:after="0"/>
              <w:rPr>
                <w:sz w:val="20"/>
                <w:szCs w:val="20"/>
                <w:color w:val="auto"/>
              </w:rPr>
            </w:pPr>
            <w:r>
              <w:rPr>
                <w:rFonts w:ascii="Arial" w:cs="Arial" w:eastAsia="Arial" w:hAnsi="Arial"/>
                <w:sz w:val="15"/>
                <w:szCs w:val="15"/>
                <w:color w:val="auto"/>
              </w:rPr>
              <w:t>Sterigenics</w:t>
            </w:r>
          </w:p>
        </w:tc>
        <w:tc>
          <w:tcPr>
            <w:tcW w:w="380" w:type="dxa"/>
            <w:vAlign w:val="bottom"/>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131"/>
              <w:spacing w:after="0"/>
              <w:rPr>
                <w:sz w:val="20"/>
                <w:szCs w:val="20"/>
                <w:color w:val="auto"/>
              </w:rPr>
            </w:pPr>
            <w:r>
              <w:rPr>
                <w:rFonts w:ascii="Arial" w:cs="Arial" w:eastAsia="Arial" w:hAnsi="Arial"/>
                <w:sz w:val="15"/>
                <w:szCs w:val="15"/>
                <w:b w:val="1"/>
                <w:bCs w:val="1"/>
                <w:color w:val="auto"/>
              </w:rPr>
              <w:t>131,151</w:t>
            </w:r>
          </w:p>
        </w:tc>
        <w:tc>
          <w:tcPr>
            <w:tcW w:w="1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10"/>
              <w:spacing w:after="0"/>
              <w:rPr>
                <w:sz w:val="20"/>
                <w:szCs w:val="20"/>
                <w:color w:val="auto"/>
              </w:rPr>
            </w:pPr>
            <w:r>
              <w:rPr>
                <w:rFonts w:ascii="Arial" w:cs="Arial" w:eastAsia="Arial" w:hAnsi="Arial"/>
                <w:sz w:val="15"/>
                <w:szCs w:val="15"/>
                <w:color w:val="auto"/>
              </w:rPr>
              <w:t>117,280</w:t>
            </w: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13,871</w:t>
            </w: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11.8 %</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Nordion</w:t>
            </w: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5"/>
                <w:szCs w:val="15"/>
                <w:b w:val="1"/>
                <w:bCs w:val="1"/>
                <w:color w:val="auto"/>
              </w:rPr>
              <w:t>25,918</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23,625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2,293</w:t>
            </w:r>
          </w:p>
        </w:tc>
        <w:tc>
          <w:tcPr>
            <w:tcW w:w="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9.7 %</w:t>
            </w:r>
          </w:p>
        </w:tc>
        <w:tc>
          <w:tcPr>
            <w:tcW w:w="0" w:type="dxa"/>
            <w:vAlign w:val="bottom"/>
          </w:tcPr>
          <w:p>
            <w:pPr>
              <w:spacing w:after="0"/>
              <w:rPr>
                <w:sz w:val="1"/>
                <w:szCs w:val="1"/>
                <w:color w:val="auto"/>
              </w:rPr>
            </w:pPr>
          </w:p>
        </w:tc>
      </w:tr>
      <w:tr>
        <w:trPr>
          <w:trHeight w:val="194"/>
        </w:trPr>
        <w:tc>
          <w:tcPr>
            <w:tcW w:w="5200" w:type="dxa"/>
            <w:vAlign w:val="bottom"/>
          </w:tcPr>
          <w:p>
            <w:pPr>
              <w:ind w:left="360"/>
              <w:spacing w:after="0"/>
              <w:rPr>
                <w:sz w:val="20"/>
                <w:szCs w:val="20"/>
                <w:color w:val="auto"/>
              </w:rPr>
            </w:pPr>
            <w:r>
              <w:rPr>
                <w:rFonts w:ascii="Arial" w:cs="Arial" w:eastAsia="Arial" w:hAnsi="Arial"/>
                <w:sz w:val="15"/>
                <w:szCs w:val="15"/>
                <w:color w:val="auto"/>
              </w:rPr>
              <w:t>Nelson Labs</w:t>
            </w:r>
          </w:p>
        </w:tc>
        <w:tc>
          <w:tcPr>
            <w:tcW w:w="380" w:type="dxa"/>
            <w:vAlign w:val="bottom"/>
          </w:tcPr>
          <w:p>
            <w:pPr>
              <w:spacing w:after="0"/>
              <w:rPr>
                <w:sz w:val="16"/>
                <w:szCs w:val="16"/>
                <w:color w:val="auto"/>
              </w:rPr>
            </w:pPr>
          </w:p>
        </w:tc>
        <w:tc>
          <w:tcPr>
            <w:tcW w:w="1160" w:type="dxa"/>
            <w:vAlign w:val="bottom"/>
          </w:tcPr>
          <w:p>
            <w:pPr>
              <w:jc w:val="right"/>
              <w:ind w:right="131"/>
              <w:spacing w:after="0"/>
              <w:rPr>
                <w:sz w:val="20"/>
                <w:szCs w:val="20"/>
                <w:color w:val="auto"/>
              </w:rPr>
            </w:pPr>
            <w:r>
              <w:rPr>
                <w:rFonts w:ascii="Arial" w:cs="Arial" w:eastAsia="Arial" w:hAnsi="Arial"/>
                <w:sz w:val="15"/>
                <w:szCs w:val="15"/>
                <w:b w:val="1"/>
                <w:bCs w:val="1"/>
                <w:color w:val="auto"/>
              </w:rPr>
              <w:t>55,079</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Arial" w:cs="Arial" w:eastAsia="Arial" w:hAnsi="Arial"/>
                <w:sz w:val="15"/>
                <w:szCs w:val="15"/>
                <w:color w:val="auto"/>
              </w:rPr>
              <w:t>47,295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7,784</w:t>
            </w: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16.5 %</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Income</w:t>
            </w:r>
          </w:p>
        </w:tc>
        <w:tc>
          <w:tcPr>
            <w:tcW w:w="3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00" w:type="dxa"/>
            <w:vAlign w:val="bottom"/>
          </w:tcPr>
          <w:p>
            <w:pPr>
              <w:ind w:left="360"/>
              <w:spacing w:after="0"/>
              <w:rPr>
                <w:sz w:val="20"/>
                <w:szCs w:val="20"/>
                <w:color w:val="auto"/>
              </w:rPr>
            </w:pPr>
            <w:r>
              <w:rPr>
                <w:rFonts w:ascii="Arial" w:cs="Arial" w:eastAsia="Arial" w:hAnsi="Arial"/>
                <w:sz w:val="15"/>
                <w:szCs w:val="15"/>
                <w:color w:val="auto"/>
              </w:rPr>
              <w:t>Sterigenics</w:t>
            </w:r>
          </w:p>
        </w:tc>
        <w:tc>
          <w:tcPr>
            <w:tcW w:w="380" w:type="dxa"/>
            <w:vAlign w:val="bottom"/>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131"/>
              <w:spacing w:after="0"/>
              <w:rPr>
                <w:sz w:val="20"/>
                <w:szCs w:val="20"/>
                <w:color w:val="auto"/>
              </w:rPr>
            </w:pPr>
            <w:r>
              <w:rPr>
                <w:rFonts w:ascii="Arial" w:cs="Arial" w:eastAsia="Arial" w:hAnsi="Arial"/>
                <w:sz w:val="15"/>
                <w:szCs w:val="15"/>
                <w:b w:val="1"/>
                <w:bCs w:val="1"/>
                <w:color w:val="auto"/>
              </w:rPr>
              <w:t>68,461</w:t>
            </w:r>
          </w:p>
        </w:tc>
        <w:tc>
          <w:tcPr>
            <w:tcW w:w="1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10"/>
              <w:spacing w:after="0"/>
              <w:rPr>
                <w:sz w:val="20"/>
                <w:szCs w:val="20"/>
                <w:color w:val="auto"/>
              </w:rPr>
            </w:pPr>
            <w:r>
              <w:rPr>
                <w:rFonts w:ascii="Arial" w:cs="Arial" w:eastAsia="Arial" w:hAnsi="Arial"/>
                <w:sz w:val="15"/>
                <w:szCs w:val="15"/>
                <w:color w:val="auto"/>
              </w:rPr>
              <w:t>61,091</w:t>
            </w: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7,370</w:t>
            </w: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12.1 %</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Nordion</w:t>
            </w: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5"/>
                <w:szCs w:val="15"/>
                <w:b w:val="1"/>
                <w:bCs w:val="1"/>
                <w:color w:val="auto"/>
              </w:rPr>
              <w:t>13,786</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13,022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764</w:t>
            </w:r>
          </w:p>
        </w:tc>
        <w:tc>
          <w:tcPr>
            <w:tcW w:w="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194"/>
        </w:trPr>
        <w:tc>
          <w:tcPr>
            <w:tcW w:w="5200" w:type="dxa"/>
            <w:vAlign w:val="bottom"/>
          </w:tcPr>
          <w:p>
            <w:pPr>
              <w:ind w:left="360"/>
              <w:spacing w:after="0"/>
              <w:rPr>
                <w:sz w:val="20"/>
                <w:szCs w:val="20"/>
                <w:color w:val="auto"/>
              </w:rPr>
            </w:pPr>
            <w:r>
              <w:rPr>
                <w:rFonts w:ascii="Arial" w:cs="Arial" w:eastAsia="Arial" w:hAnsi="Arial"/>
                <w:sz w:val="15"/>
                <w:szCs w:val="15"/>
                <w:color w:val="auto"/>
              </w:rPr>
              <w:t>Nelson Labs</w:t>
            </w:r>
          </w:p>
        </w:tc>
        <w:tc>
          <w:tcPr>
            <w:tcW w:w="380" w:type="dxa"/>
            <w:vAlign w:val="bottom"/>
          </w:tcPr>
          <w:p>
            <w:pPr>
              <w:spacing w:after="0"/>
              <w:rPr>
                <w:sz w:val="16"/>
                <w:szCs w:val="16"/>
                <w:color w:val="auto"/>
              </w:rPr>
            </w:pPr>
          </w:p>
        </w:tc>
        <w:tc>
          <w:tcPr>
            <w:tcW w:w="1160" w:type="dxa"/>
            <w:vAlign w:val="bottom"/>
          </w:tcPr>
          <w:p>
            <w:pPr>
              <w:jc w:val="right"/>
              <w:ind w:right="131"/>
              <w:spacing w:after="0"/>
              <w:rPr>
                <w:sz w:val="20"/>
                <w:szCs w:val="20"/>
                <w:color w:val="auto"/>
              </w:rPr>
            </w:pPr>
            <w:r>
              <w:rPr>
                <w:rFonts w:ascii="Arial" w:cs="Arial" w:eastAsia="Arial" w:hAnsi="Arial"/>
                <w:sz w:val="15"/>
                <w:szCs w:val="15"/>
                <w:b w:val="1"/>
                <w:bCs w:val="1"/>
                <w:color w:val="auto"/>
              </w:rPr>
              <w:t>23,070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Arial" w:cs="Arial" w:eastAsia="Arial" w:hAnsi="Arial"/>
                <w:sz w:val="15"/>
                <w:szCs w:val="15"/>
                <w:color w:val="auto"/>
              </w:rPr>
              <w:t>17,770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5,300</w:t>
            </w: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29.8 %</w:t>
            </w: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Income margin</w:t>
            </w:r>
          </w:p>
        </w:tc>
        <w:tc>
          <w:tcPr>
            <w:tcW w:w="1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194"/>
        </w:trPr>
        <w:tc>
          <w:tcPr>
            <w:tcW w:w="5200" w:type="dxa"/>
            <w:vAlign w:val="bottom"/>
          </w:tcPr>
          <w:p>
            <w:pPr>
              <w:ind w:left="360"/>
              <w:spacing w:after="0"/>
              <w:rPr>
                <w:sz w:val="20"/>
                <w:szCs w:val="20"/>
                <w:color w:val="auto"/>
              </w:rPr>
            </w:pPr>
            <w:r>
              <w:rPr>
                <w:rFonts w:ascii="Arial" w:cs="Arial" w:eastAsia="Arial" w:hAnsi="Arial"/>
                <w:sz w:val="15"/>
                <w:szCs w:val="15"/>
                <w:color w:val="auto"/>
              </w:rPr>
              <w:t>Sterigenics</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52.2 %</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52.1 %</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Nordion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53.2 %</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55.1 %</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4"/>
        </w:trPr>
        <w:tc>
          <w:tcPr>
            <w:tcW w:w="5200" w:type="dxa"/>
            <w:vAlign w:val="bottom"/>
          </w:tcPr>
          <w:p>
            <w:pPr>
              <w:ind w:left="360"/>
              <w:spacing w:after="0"/>
              <w:rPr>
                <w:sz w:val="20"/>
                <w:szCs w:val="20"/>
                <w:color w:val="auto"/>
              </w:rPr>
            </w:pPr>
            <w:r>
              <w:rPr>
                <w:rFonts w:ascii="Arial" w:cs="Arial" w:eastAsia="Arial" w:hAnsi="Arial"/>
                <w:sz w:val="15"/>
                <w:szCs w:val="15"/>
                <w:color w:val="auto"/>
              </w:rPr>
              <w:t>Nelson Labs</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41.9 %</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37.6 %</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Revenues by Segment</w:t>
      </w:r>
    </w:p>
    <w:p>
      <w:pPr>
        <w:spacing w:after="0" w:line="89" w:lineRule="exact"/>
        <w:rPr>
          <w:sz w:val="20"/>
          <w:szCs w:val="20"/>
          <w:color w:val="auto"/>
        </w:rPr>
      </w:pPr>
    </w:p>
    <w:p>
      <w:pPr>
        <w:ind w:right="200"/>
        <w:spacing w:after="0" w:line="333" w:lineRule="auto"/>
        <w:rPr>
          <w:sz w:val="20"/>
          <w:szCs w:val="20"/>
          <w:color w:val="auto"/>
        </w:rPr>
      </w:pPr>
      <w:r>
        <w:rPr>
          <w:rFonts w:ascii="Arial" w:cs="Arial" w:eastAsia="Arial" w:hAnsi="Arial"/>
          <w:sz w:val="13"/>
          <w:szCs w:val="13"/>
          <w:color w:val="auto"/>
        </w:rPr>
        <w:t>Sterigenics net revenues were $131.2 million for the three months ended March 31, 2021, an increase of $13.9 million, or 11.8%, as compared to the three months ended March 31, 2020. The increase reflects a 5.0% increase in revenues attributable to the Iotron acquisition coupled with a 3.2% favorable impact from pricing and 2.3% growth in organic sales volume.</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color w:val="auto"/>
        </w:rPr>
        <w:t>Nordion net revenues were $25.9 million for the three months ended March 31, 2021, an increase of $2.3 million, or 9.7%, as compared to the three months ended March 31, 2020. The increase reflects a 4.2% impact from the strengthening of the Canadian dollar compared to the U.S. dollar for the three months ended March 31, 2021 as compared to the three months ended March 31, 2020, a 3.6% impact from favorable pricing, and a 1.9% impact from higher volumes primarily due to increases in shipments of medical-use Co-60.</w:t>
      </w:r>
    </w:p>
    <w:p>
      <w:pPr>
        <w:spacing w:after="0" w:line="125"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Nelson Labs net revenues were $55.1 million for the three months ended March 31, 2021, an increase of $7.8 million, or 16.5%, as compared to the three months ended March 31, 2020. The increase was primarily driven by a 10.3% increase in testing services related to personal protective equipment used to provide protection against COVID-19 and a 3.5% impact from favorable pricing. The remainder of the increase is primarily due to a favorable impact from foreign exchange rates of 1.7%.</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Segment Income</w:t>
      </w:r>
    </w:p>
    <w:p>
      <w:pPr>
        <w:spacing w:after="0" w:line="89" w:lineRule="exact"/>
        <w:rPr>
          <w:sz w:val="20"/>
          <w:szCs w:val="20"/>
          <w:color w:val="auto"/>
        </w:rPr>
      </w:pPr>
    </w:p>
    <w:p>
      <w:pPr>
        <w:jc w:val="both"/>
        <w:ind w:right="180"/>
        <w:spacing w:after="0" w:line="249" w:lineRule="auto"/>
        <w:rPr>
          <w:sz w:val="20"/>
          <w:szCs w:val="20"/>
          <w:color w:val="auto"/>
        </w:rPr>
      </w:pPr>
      <w:r>
        <w:rPr>
          <w:rFonts w:ascii="Arial" w:cs="Arial" w:eastAsia="Arial" w:hAnsi="Arial"/>
          <w:sz w:val="15"/>
          <w:szCs w:val="15"/>
          <w:color w:val="auto"/>
        </w:rPr>
        <w:t>Sterigenics segment income was $68.5 million for the three months ended March 31, 2021, an increase of $7.4 million, or 12.1%, as compared to the three months ended March 31, 2020. The increase in segment income was primarily a result of the contributions of the Iotron acquisition coupled with revenue growth stemming from both favorable pricing and volume, as referenced above. This was partially offset by incremental overhead associated with being a public company.</w:t>
      </w:r>
    </w:p>
    <w:p>
      <w:pPr>
        <w:spacing w:after="0" w:line="160"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Nordion segment income was $13.8 million for the three months ended March 31, 2021, an increase of $0.8 million, or 5.9%, as compared to the three months ended March 31, 2020. The increase in segment income was primarily due to the favorable impact from foreign exchange rates as well as favorable customer pricing and increases in sales volume, referenced above. This was partially offset by incremental overhead associated with being a public company.</w:t>
      </w:r>
    </w:p>
    <w:p>
      <w:pPr>
        <w:spacing w:after="0" w:line="160"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Nelson Labs segment income was $23.1 million for the three months ended March 31, 2021, an increase of $5.3 million, or 29.8%, as compared to the three months ended March 31, 2020, due to the increase in sales volumes, driven largely by testing of personal protective equipment and favorable pricing. This increase was partially offset by incremental overhead associated with being a public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952"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3" w:lineRule="exact"/>
        <w:rPr>
          <w:sz w:val="20"/>
          <w:szCs w:val="20"/>
          <w:color w:val="auto"/>
        </w:rPr>
      </w:pPr>
    </w:p>
    <w:p>
      <w:pPr>
        <w:ind w:right="160"/>
        <w:spacing w:after="0" w:line="333" w:lineRule="auto"/>
        <w:rPr>
          <w:sz w:val="20"/>
          <w:szCs w:val="20"/>
          <w:color w:val="auto"/>
        </w:rPr>
      </w:pPr>
      <w:r>
        <w:rPr>
          <w:rFonts w:ascii="Arial" w:cs="Arial" w:eastAsia="Arial" w:hAnsi="Arial"/>
          <w:sz w:val="13"/>
          <w:szCs w:val="13"/>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07"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As of March 31, 2021, we had $108.0 million of cash and cash equivalents. This is an increase of $5.6 million from the balance at December 31, 2020. Our foreign subsidiaries held cash of approximately $101.8 million at March 31, 2021 and $88.8 million at December 31, 2020, to meet their liquidity needs. No material restrictions exist to accessing cash held by our foreign subsidiaries notwithstanding any potential tax consequences. Cash balances in the United States decreased in the three months ended March 31, 2021 primarily as a result of the cash outflows for the BioScience acquisition and the purchase of the 15% mandatorily redeemable noncontrolling interest of Nelson Labs Fairfield, coupled with normal quarterly interest payments on our outstanding debt.</w:t>
      </w:r>
    </w:p>
    <w:p>
      <w:pPr>
        <w:spacing w:after="0" w:line="161"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three months ended March 31, 2021, our capital expenditures amounted to $20.9 million, compared to $13.0 million for the three months ended March 31, 2020.</w:t>
      </w:r>
    </w:p>
    <w:p>
      <w:pPr>
        <w:spacing w:after="0" w:line="125"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As of March 31, 2021, there were no outstanding borrowings on the Revolving Credit Facility. We expect to use cash provided by operations in excess of amounts needed for capital expenditures,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March 31, 2021, the amended and new interest rate caps limit our cash flow exposure related to LIBOR for approximately 81% of our variable rate borrowings to the facility LIBOR floor of 0.5%. Refer to Note 17, “Financial Instruments and Financial Risk” under the heading “Derivative Instruments” for additional information regarding the interest rate caps used to manage economic risks associated with our variable rate borrowings.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2021 compared to the Three Months Ended March 31,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54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80" w:type="dxa"/>
            <w:vAlign w:val="bottom"/>
          </w:tcPr>
          <w:p>
            <w:pPr>
              <w:spacing w:after="0"/>
              <w:rPr>
                <w:sz w:val="12"/>
                <w:szCs w:val="12"/>
                <w:color w:val="auto"/>
              </w:rPr>
            </w:pPr>
          </w:p>
        </w:tc>
        <w:tc>
          <w:tcPr>
            <w:tcW w:w="920" w:type="dxa"/>
            <w:vAlign w:val="bottom"/>
          </w:tcPr>
          <w:p>
            <w:pPr>
              <w:jc w:val="right"/>
              <w:ind w:right="41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10"/>
              <w:spacing w:after="0"/>
              <w:rPr>
                <w:sz w:val="20"/>
                <w:szCs w:val="20"/>
                <w:color w:val="auto"/>
              </w:rPr>
            </w:pPr>
            <w:r>
              <w:rPr>
                <w:rFonts w:ascii="Arial" w:cs="Arial" w:eastAsia="Arial" w:hAnsi="Arial"/>
                <w:sz w:val="12"/>
                <w:szCs w:val="12"/>
                <w:b w:val="1"/>
                <w:bCs w:val="1"/>
                <w:color w:val="auto"/>
              </w:rPr>
              <w:t>2020</w:t>
            </w:r>
          </w:p>
        </w:tc>
      </w:tr>
      <w:tr>
        <w:trPr>
          <w:trHeight w:val="24"/>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Cash Provided by (Used in):</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540" w:type="dxa"/>
            <w:vAlign w:val="bottom"/>
            <w:gridSpan w:val="2"/>
          </w:tcPr>
          <w:p>
            <w:pPr>
              <w:ind w:left="340"/>
              <w:spacing w:after="0"/>
              <w:rPr>
                <w:sz w:val="20"/>
                <w:szCs w:val="20"/>
                <w:color w:val="auto"/>
              </w:rPr>
            </w:pPr>
            <w:r>
              <w:rPr>
                <w:rFonts w:ascii="Arial" w:cs="Arial" w:eastAsia="Arial" w:hAnsi="Arial"/>
                <w:sz w:val="15"/>
                <w:szCs w:val="15"/>
                <w:color w:val="auto"/>
              </w:rPr>
              <w:t>Operating activities</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56,159</w:t>
            </w:r>
          </w:p>
        </w:tc>
        <w:tc>
          <w:tcPr>
            <w:tcW w:w="10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5,690</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(46,519)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(12,989)</w:t>
            </w:r>
          </w:p>
        </w:tc>
      </w:tr>
      <w:tr>
        <w:trPr>
          <w:trHeight w:val="194"/>
        </w:trPr>
        <w:tc>
          <w:tcPr>
            <w:tcW w:w="20" w:type="dxa"/>
            <w:vAlign w:val="bottom"/>
          </w:tcPr>
          <w:p>
            <w:pPr>
              <w:spacing w:after="0"/>
              <w:rPr>
                <w:sz w:val="16"/>
                <w:szCs w:val="16"/>
                <w:color w:val="auto"/>
              </w:rPr>
            </w:pPr>
          </w:p>
        </w:tc>
        <w:tc>
          <w:tcPr>
            <w:tcW w:w="8540" w:type="dxa"/>
            <w:vAlign w:val="bottom"/>
            <w:gridSpan w:val="2"/>
          </w:tcPr>
          <w:p>
            <w:pPr>
              <w:ind w:left="340"/>
              <w:spacing w:after="0"/>
              <w:rPr>
                <w:sz w:val="20"/>
                <w:szCs w:val="20"/>
                <w:color w:val="auto"/>
              </w:rPr>
            </w:pPr>
            <w:r>
              <w:rPr>
                <w:rFonts w:ascii="Arial" w:cs="Arial" w:eastAsia="Arial" w:hAnsi="Arial"/>
                <w:sz w:val="15"/>
                <w:szCs w:val="15"/>
                <w:color w:val="auto"/>
              </w:rPr>
              <w:t>Financing activities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(3,783)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49,307</w:t>
            </w: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208"/>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5"/>
                <w:szCs w:val="15"/>
                <w:color w:val="auto"/>
              </w:rPr>
              <w:t>Net increase (decrease) in cash and cash equivalents, including restricted cash, during the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5,562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42,162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89"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Cash flows provided by operating activities increased $50.5 million to net cash provided of $56.2 million in the three months ended March 31, 2021 compared to $5.7 million for the three months ended March 31, 2020. Higher cash flows from operating activities in the three months ended March 31, 2021 compared to the three months ended March 31, 2020 were driven primarily by a decrease in cash paid for interest of $43.8 million, offset by an increase in cash paid for income taxes of $9.7 million. In addition, a decrease in net operating assets for the three months ended March 31, 2021 resulted in a lower use of cash for operating activities of $7.6 million compared to $19.8 million for the three months ended March 31, 2020.</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89" w:lineRule="exact"/>
        <w:rPr>
          <w:sz w:val="20"/>
          <w:szCs w:val="20"/>
          <w:color w:val="auto"/>
        </w:rPr>
      </w:pPr>
    </w:p>
    <w:p>
      <w:pPr>
        <w:ind w:right="380"/>
        <w:spacing w:after="0" w:line="257" w:lineRule="auto"/>
        <w:rPr>
          <w:sz w:val="20"/>
          <w:szCs w:val="20"/>
          <w:color w:val="auto"/>
        </w:rPr>
      </w:pPr>
      <w:r>
        <w:rPr>
          <w:rFonts w:ascii="Arial" w:cs="Arial" w:eastAsia="Arial" w:hAnsi="Arial"/>
          <w:sz w:val="15"/>
          <w:szCs w:val="15"/>
          <w:color w:val="auto"/>
        </w:rPr>
        <w:t>Cash used by investing activities increased $33.5 million to net cash used of $46.5 million in the three months ended March 31, 2021 compared to $13.0 million for the three months ended March 31, 2020. The change was attributable to the acquisition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bookmarkStart w:id="38" w:name="page39"/>
    <w:bookmarkEnd w:id="38"/>
    <w:p>
      <w:pPr>
        <w:ind w:right="200"/>
        <w:spacing w:after="0" w:line="257" w:lineRule="auto"/>
        <w:rPr>
          <w:sz w:val="20"/>
          <w:szCs w:val="20"/>
          <w:color w:val="auto"/>
        </w:rPr>
      </w:pPr>
      <w:r>
        <w:rPr>
          <w:rFonts w:ascii="Arial" w:cs="Arial" w:eastAsia="Arial" w:hAnsi="Arial"/>
          <w:sz w:val="15"/>
          <w:szCs w:val="15"/>
          <w:color w:val="auto"/>
        </w:rPr>
        <w:t>BioScience on March 8, 2021 for a net purchase price of approximately $13.2 million, the acquisition of the mandatorily redeemable noncontrolling interest in Nelson Labs Fairfield for $12.4 million and an increase in cash paid for capital expenditures of $8.0 million.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89"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For the three months ended March 31, 2021, net cash used in financing activities was $3.8 million compared to net cash provided of $49.3 million for the three months ended March 31, 2020. The primary use of cash from financing activities was the payment of $3.4 million of debt issuance costs in connection with our refinancing of the Senior Secured Credit Facilities as described in “Debt Facilities” below. Cash provided by financing activities for the three months ended March 31, 2020 was primarily attributable to a $50.0 million borrowing on our Revolving Credit Facility, which was subsequently repaid in the second quarter of 2020.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Facilities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89" w:lineRule="exact"/>
        <w:rPr>
          <w:sz w:val="20"/>
          <w:szCs w:val="20"/>
          <w:color w:val="auto"/>
        </w:rPr>
      </w:pPr>
    </w:p>
    <w:p>
      <w:pPr>
        <w:ind w:right="200"/>
        <w:spacing w:after="0" w:line="288" w:lineRule="auto"/>
        <w:rPr>
          <w:sz w:val="20"/>
          <w:szCs w:val="20"/>
          <w:color w:val="auto"/>
        </w:rPr>
      </w:pPr>
      <w:r>
        <w:rPr>
          <w:rFonts w:ascii="Arial" w:cs="Arial" w:eastAsia="Arial" w:hAnsi="Arial"/>
          <w:sz w:val="13"/>
          <w:szCs w:val="13"/>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and the Revolving Credit Facility's original maturity date was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March 31, 2021 and December 31, 2020, total borrowings under the Term Loan were $1,763.1 million and $1,763.1 million, respectively, and there were no borrowings outstanding on the Revolving Credit Facility. The weighted average interest rate on borrowings under the Term Loan for the three months ended March 31, 2021 and March 31, 2020 was 3.73% and 6.18%, respectively.</w:t>
      </w:r>
    </w:p>
    <w:p>
      <w:pPr>
        <w:spacing w:after="0" w:line="311" w:lineRule="exact"/>
        <w:rPr>
          <w:sz w:val="20"/>
          <w:szCs w:val="20"/>
          <w:color w:val="auto"/>
        </w:rPr>
      </w:pPr>
    </w:p>
    <w:p>
      <w:pPr>
        <w:ind w:right="220"/>
        <w:spacing w:after="0" w:line="286" w:lineRule="auto"/>
        <w:rPr>
          <w:sz w:val="20"/>
          <w:szCs w:val="20"/>
          <w:color w:val="auto"/>
        </w:rPr>
      </w:pPr>
      <w:r>
        <w:rPr>
          <w:rFonts w:ascii="Arial" w:cs="Arial" w:eastAsia="Arial" w:hAnsi="Arial"/>
          <w:sz w:val="13"/>
          <w:szCs w:val="13"/>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w:t>
      </w:r>
    </w:p>
    <w:p>
      <w:pPr>
        <w:spacing w:after="0" w:line="1" w:lineRule="exact"/>
        <w:rPr>
          <w:sz w:val="20"/>
          <w:szCs w:val="20"/>
          <w:color w:val="auto"/>
        </w:rPr>
      </w:pPr>
    </w:p>
    <w:p>
      <w:pPr>
        <w:jc w:val="both"/>
        <w:ind w:right="100"/>
        <w:spacing w:after="0" w:line="299" w:lineRule="auto"/>
        <w:rPr>
          <w:sz w:val="20"/>
          <w:szCs w:val="20"/>
          <w:color w:val="auto"/>
        </w:rPr>
      </w:pPr>
      <w:r>
        <w:rPr>
          <w:rFonts w:ascii="Arial" w:cs="Arial" w:eastAsia="Arial" w:hAnsi="Arial"/>
          <w:sz w:val="13"/>
          <w:szCs w:val="13"/>
          <w:color w:val="auto"/>
        </w:rPr>
        <w:t>2.25%. As a result of the repricing, we expect cash interest savings of approximately $40.0 million per year based on the outstanding principal balance as of March 31, 2021.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29"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As of March 31, 2021 and December 31, 2020, capitalized debt issuance costs totaled $3.1 million and $3.4 million, respectively, and debt discounts totaled $20.0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60" w:lineRule="exact"/>
        <w:rPr>
          <w:sz w:val="20"/>
          <w:szCs w:val="20"/>
          <w:color w:val="auto"/>
        </w:rPr>
      </w:pPr>
    </w:p>
    <w:p>
      <w:pPr>
        <w:jc w:val="both"/>
        <w:ind w:right="40"/>
        <w:spacing w:after="0" w:line="284" w:lineRule="auto"/>
        <w:rPr>
          <w:sz w:val="20"/>
          <w:szCs w:val="20"/>
          <w:color w:val="auto"/>
        </w:rPr>
      </w:pPr>
      <w:r>
        <w:rPr>
          <w:rFonts w:ascii="Arial" w:cs="Arial" w:eastAsia="Arial" w:hAnsi="Arial"/>
          <w:sz w:val="13"/>
          <w:szCs w:val="13"/>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w:t>
      </w:r>
    </w:p>
    <w:p>
      <w:pPr>
        <w:spacing w:after="0" w:line="163" w:lineRule="exact"/>
        <w:rPr>
          <w:sz w:val="20"/>
          <w:szCs w:val="20"/>
          <w:color w:val="auto"/>
        </w:rPr>
      </w:pPr>
    </w:p>
    <w:p>
      <w:pPr>
        <w:ind w:right="80"/>
        <w:spacing w:after="0" w:line="333" w:lineRule="auto"/>
        <w:rPr>
          <w:sz w:val="20"/>
          <w:szCs w:val="20"/>
          <w:color w:val="auto"/>
        </w:rPr>
      </w:pPr>
      <w:r>
        <w:rPr>
          <w:rFonts w:ascii="Arial" w:cs="Arial" w:eastAsia="Arial" w:hAnsi="Arial"/>
          <w:sz w:val="13"/>
          <w:szCs w:val="13"/>
          <w:color w:val="auto"/>
        </w:rPr>
        <w:t>As of March 31, 2021 and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07"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All of SHH’s obligations under the Senior Secured Credit Facilities are unconditionally guaranteed by the Company and each existing and subsequently acquired or organized direct or indirect wholly-owned domestic restricted subsidiary of the Company,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39" w:name="page40"/>
    <w:bookmarkEnd w:id="39"/>
    <w:p>
      <w:pPr>
        <w:ind w:right="20"/>
        <w:spacing w:after="0" w:line="249" w:lineRule="auto"/>
        <w:rPr>
          <w:sz w:val="20"/>
          <w:szCs w:val="20"/>
          <w:color w:val="auto"/>
        </w:rPr>
      </w:pPr>
      <w:r>
        <w:rPr>
          <w:rFonts w:ascii="Arial" w:cs="Arial" w:eastAsia="Arial" w:hAnsi="Arial"/>
          <w:sz w:val="15"/>
          <w:szCs w:val="15"/>
          <w:color w:val="auto"/>
        </w:rPr>
        <w:t>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0"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Outstanding letters of credit are collateralized by encumbrances against the Revolving Credit Facility and the collateral pledged thereunder, or by cash placed on deposit with the issuing bank. As of March 31, 2021, the Company had $65.8 million of letters of credit issued against the Revolving Credit Facility, resulting in total availability under the Revolving Credit Facility of $281.7 million.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First Lien Notes</w:t>
      </w:r>
    </w:p>
    <w:p>
      <w:pPr>
        <w:spacing w:after="0" w:line="89"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for the three months ended March 31, 2021 was 7.00%.</w:t>
      </w:r>
    </w:p>
    <w:p>
      <w:pPr>
        <w:spacing w:after="0" w:line="160" w:lineRule="exact"/>
        <w:rPr>
          <w:sz w:val="20"/>
          <w:szCs w:val="20"/>
          <w:color w:val="auto"/>
        </w:rPr>
      </w:pPr>
    </w:p>
    <w:p>
      <w:pPr>
        <w:ind w:right="260"/>
        <w:spacing w:after="0" w:line="249" w:lineRule="auto"/>
        <w:rPr>
          <w:sz w:val="20"/>
          <w:szCs w:val="20"/>
          <w:color w:val="auto"/>
        </w:rPr>
      </w:pPr>
      <w:r>
        <w:rPr>
          <w:rFonts w:ascii="Arial" w:cs="Arial" w:eastAsia="Arial" w:hAnsi="Arial"/>
          <w:sz w:val="15"/>
          <w:szCs w:val="15"/>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60"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Such collateral securing the First Lien Notes ranks pari passu with that of the Senior Secured Credit Facilities.</w:t>
      </w:r>
    </w:p>
    <w:p>
      <w:pPr>
        <w:spacing w:after="0" w:line="132" w:lineRule="exact"/>
        <w:rPr>
          <w:sz w:val="20"/>
          <w:szCs w:val="20"/>
          <w:color w:val="auto"/>
        </w:rPr>
      </w:pPr>
    </w:p>
    <w:p>
      <w:pPr>
        <w:ind w:right="60"/>
        <w:spacing w:after="0" w:line="333" w:lineRule="auto"/>
        <w:rPr>
          <w:sz w:val="20"/>
          <w:szCs w:val="20"/>
          <w:color w:val="auto"/>
        </w:rPr>
      </w:pPr>
      <w:r>
        <w:rPr>
          <w:rFonts w:ascii="Arial" w:cs="Arial" w:eastAsia="Arial" w:hAnsi="Arial"/>
          <w:sz w:val="13"/>
          <w:szCs w:val="13"/>
          <w:color w:val="auto"/>
        </w:rPr>
        <w:t>At March 31, 2021 and December 31, 2020, capitalized debt issuance costs were $0.8 million and $0.9 million, respectively, and debt discounts were $2.7 million and $2.8 million, respectively, related to the First Lien Notes, which are recorded as a reduction of debt on our Consolidated Balance Sheets and amortized into interest expense over the term of the debt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Debt Repayments</w:t>
      </w:r>
    </w:p>
    <w:p>
      <w:pPr>
        <w:spacing w:after="0" w:line="89"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On November 24, 2020, we closed our initial public offering (the "IPO”), in which we sold 53,590,000 shares of our common stock at a price of $23.00 per share, which included the full exercise by the underwriters of their option to purchase up to an additional 6,990,000 shares of common stock. We raised approximately $1.2 billion in net proceeds after deducting underwriters’ discounts and commissions. We used the net proceeds received by us from the IPO to (i) redeem $770.0 million in aggregate principal amount of the Second Lien Senior Secured Notes with an original maturity date of December 13, 2027 (the "Second Lien Notes”), plus accrued and unpaid interest thereon and $15.4 million of redemption premium, (ii) repurchase 1,568,445 shares of our common stock from certain of our executive officers at a purchase price per share equal to the IPO price per share of our common stock less an amount equal to the underwriting discounts and commissions payable thereon and (iii) repay $341.0 million of the outstanding indebtedness under the Term Loan, plus accrued and unpaid interest thereon. In connection with the debt repayments, we wrote off $28.9 million of debt issuance and discount costs and recognized $15.4 million in premiums paid for the early extinguishment of the Second Lien Notes. We recognized these costs within “Loss on extinguishment of debt” in our Consolidated Statements of Operations and Comprehensive Income (Loss) in the fourth quarter of 2020.</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0"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782" w:right="339" w:bottom="1440" w:gutter="0" w:footer="0" w:header="0"/>
        </w:sectPr>
      </w:pPr>
    </w:p>
    <w:bookmarkStart w:id="40" w:name="page41"/>
    <w:bookmarkEnd w:id="40"/>
    <w:p>
      <w:pPr>
        <w:spacing w:after="0" w:line="249" w:lineRule="auto"/>
        <w:rPr>
          <w:sz w:val="20"/>
          <w:szCs w:val="20"/>
          <w:color w:val="auto"/>
        </w:rPr>
      </w:pPr>
      <w:r>
        <w:rPr>
          <w:rFonts w:ascii="Arial" w:cs="Arial" w:eastAsia="Arial" w:hAnsi="Arial"/>
          <w:sz w:val="15"/>
          <w:szCs w:val="15"/>
          <w:color w:val="auto"/>
        </w:rPr>
        <w:t>A comprehensive discussion of the Company’s critical accounting policies and management estimates made in connection with the preparation of the financial statements is included in Item 7 of our Annual Report on Form 10-K for the year ended December 31, 2020. There have been no significant changes in critical accounting policies, management estimates or accounting policies since the year ended December 31, 2020.</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For a description of recent accounting pronouncements applicable to our business, see Note 2, “Recent Accounting Standards”.</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Market risks are described within “Quantitative and Qualitative Disclosures About Market Risk” in Part II, Item 7A of our 2020 Form 10-K. These market risks have not materially changed for the three months ended March 31, 2021.</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w:t>
      </w:r>
    </w:p>
    <w:p>
      <w:pPr>
        <w:spacing w:after="0" w:line="93"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During the three months ended March 31, 2021,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956"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5"/>
          <w:szCs w:val="15"/>
          <w:b w:val="1"/>
          <w:bCs w:val="1"/>
          <w:color w:val="auto"/>
        </w:rPr>
        <w:t>Part II—OTHER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180" w:lineRule="exact"/>
        <w:rPr>
          <w:sz w:val="20"/>
          <w:szCs w:val="20"/>
          <w:color w:val="auto"/>
        </w:rPr>
      </w:pPr>
    </w:p>
    <w:p>
      <w:pPr>
        <w:ind w:right="60"/>
        <w:spacing w:after="0" w:line="293" w:lineRule="auto"/>
        <w:rPr>
          <w:sz w:val="20"/>
          <w:szCs w:val="20"/>
          <w:color w:val="auto"/>
        </w:rPr>
      </w:pPr>
      <w:r>
        <w:rPr>
          <w:rFonts w:ascii="Arial" w:cs="Arial" w:eastAsia="Arial" w:hAnsi="Arial"/>
          <w:sz w:val="13"/>
          <w:szCs w:val="13"/>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 Described in Note 16 of Our Consolidated Financial Statements</w:t>
      </w:r>
    </w:p>
    <w:p>
      <w:pPr>
        <w:spacing w:after="0" w:line="93" w:lineRule="exact"/>
        <w:rPr>
          <w:sz w:val="20"/>
          <w:szCs w:val="20"/>
          <w:color w:val="auto"/>
        </w:rPr>
      </w:pPr>
    </w:p>
    <w:p>
      <w:pPr>
        <w:ind w:right="120"/>
        <w:spacing w:after="0" w:line="306" w:lineRule="auto"/>
        <w:rPr>
          <w:sz w:val="20"/>
          <w:szCs w:val="20"/>
          <w:color w:val="auto"/>
        </w:rPr>
      </w:pPr>
      <w:r>
        <w:rPr>
          <w:rFonts w:ascii="Arial" w:cs="Arial" w:eastAsia="Arial" w:hAnsi="Arial"/>
          <w:sz w:val="13"/>
          <w:szCs w:val="13"/>
          <w:color w:val="auto"/>
        </w:rPr>
        <w:t>Note 16, “Commitments and Contingencies” to our consolidated financial statements for the three months ended March 31, 2021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16 for information regarding the following legal proceedings, which information is incorporated into this item by reference:</w:t>
      </w:r>
    </w:p>
    <w:p>
      <w:pPr>
        <w:spacing w:after="0" w:line="125" w:lineRule="exact"/>
        <w:rPr>
          <w:sz w:val="20"/>
          <w:szCs w:val="20"/>
          <w:color w:val="auto"/>
        </w:rPr>
      </w:pPr>
    </w:p>
    <w:p>
      <w:pPr>
        <w:ind w:left="520" w:hanging="252"/>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FM Global Business Interruption Claim (NRU Outage)</w:t>
      </w:r>
    </w:p>
    <w:p>
      <w:pPr>
        <w:spacing w:after="0" w:line="10" w:lineRule="exact"/>
        <w:rPr>
          <w:rFonts w:ascii="Arial" w:cs="Arial" w:eastAsia="Arial" w:hAnsi="Arial"/>
          <w:sz w:val="15"/>
          <w:szCs w:val="15"/>
          <w:color w:val="auto"/>
        </w:rPr>
      </w:pPr>
    </w:p>
    <w:p>
      <w:pPr>
        <w:ind w:left="520" w:hanging="252"/>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Willowbrook, Illinois – Government Litigation</w:t>
      </w:r>
    </w:p>
    <w:p>
      <w:pPr>
        <w:spacing w:after="0" w:line="1" w:lineRule="exact"/>
        <w:rPr>
          <w:rFonts w:ascii="Arial" w:cs="Arial" w:eastAsia="Arial" w:hAnsi="Arial"/>
          <w:sz w:val="15"/>
          <w:szCs w:val="15"/>
          <w:color w:val="auto"/>
        </w:rPr>
      </w:pPr>
    </w:p>
    <w:p>
      <w:pPr>
        <w:ind w:left="520" w:hanging="252"/>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Ethylene Oxide Tort Litigation – Illinois</w:t>
      </w:r>
    </w:p>
    <w:p>
      <w:pPr>
        <w:spacing w:after="0" w:line="1" w:lineRule="exact"/>
        <w:rPr>
          <w:rFonts w:ascii="Arial" w:cs="Arial" w:eastAsia="Arial" w:hAnsi="Arial"/>
          <w:sz w:val="15"/>
          <w:szCs w:val="15"/>
          <w:color w:val="auto"/>
        </w:rPr>
      </w:pPr>
    </w:p>
    <w:p>
      <w:pPr>
        <w:ind w:left="520" w:hanging="252"/>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Ethylene Oxide Tort Litigation – Georgia</w:t>
      </w:r>
    </w:p>
    <w:p>
      <w:pPr>
        <w:spacing w:after="0" w:line="1" w:lineRule="exact"/>
        <w:rPr>
          <w:rFonts w:ascii="Arial" w:cs="Arial" w:eastAsia="Arial" w:hAnsi="Arial"/>
          <w:sz w:val="15"/>
          <w:szCs w:val="15"/>
          <w:color w:val="auto"/>
        </w:rPr>
      </w:pPr>
    </w:p>
    <w:p>
      <w:pPr>
        <w:ind w:left="520" w:hanging="252"/>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Suspension of Georgia Facility Operations &amp; Related Litigation; and</w:t>
      </w:r>
    </w:p>
    <w:p>
      <w:pPr>
        <w:spacing w:after="0" w:line="1" w:lineRule="exact"/>
        <w:rPr>
          <w:rFonts w:ascii="Arial" w:cs="Arial" w:eastAsia="Arial" w:hAnsi="Arial"/>
          <w:sz w:val="15"/>
          <w:szCs w:val="15"/>
          <w:color w:val="auto"/>
        </w:rPr>
      </w:pPr>
    </w:p>
    <w:p>
      <w:pPr>
        <w:ind w:left="520" w:hanging="252"/>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Ethylene Oxide Litigation – New Mexico</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 That Are Not Described in Note 16 to Our Consolidated Financial Statements</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addition to the matters that are identified in Note 16 to our consolidated financial statements for the three months ended March 31, 2021 contained in this Quarterly Report on Form 10-Q, and incorporated into this item by reference, the following matter also constitutes a material pending legal proceeding, other than ordinary course litigation incidental to our business, to which we are or any of our subsidiaries is a party.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Zoetermeer, Holland Criminal Proceedings and Criminal Financial Investigation</w:t>
      </w:r>
    </w:p>
    <w:p>
      <w:pPr>
        <w:spacing w:after="0" w:line="89"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(US$0.9 million) may be imposed.</w:t>
      </w:r>
    </w:p>
    <w:p>
      <w:pPr>
        <w:spacing w:after="0" w:line="125"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(US$0.7 million).</w:t>
      </w:r>
    </w:p>
    <w:p>
      <w:pPr>
        <w:spacing w:after="0" w:line="125"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61" w:lineRule="exact"/>
        <w:rPr>
          <w:sz w:val="20"/>
          <w:szCs w:val="20"/>
          <w:color w:val="auto"/>
        </w:rPr>
      </w:pPr>
    </w:p>
    <w:p>
      <w:pPr>
        <w:spacing w:after="0" w:line="333" w:lineRule="auto"/>
        <w:rPr>
          <w:sz w:val="20"/>
          <w:szCs w:val="20"/>
          <w:color w:val="auto"/>
        </w:rPr>
      </w:pPr>
      <w:r>
        <w:rPr>
          <w:rFonts w:ascii="Arial" w:cs="Arial" w:eastAsia="Arial" w:hAnsi="Arial"/>
          <w:sz w:val="13"/>
          <w:szCs w:val="13"/>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039" w:right="339" w:bottom="1440" w:gutter="0" w:footer="0" w:header="0"/>
        </w:sectPr>
      </w:pPr>
    </w:p>
    <w:bookmarkStart w:id="42" w:name="page43"/>
    <w:bookmarkEnd w:id="42"/>
    <w:p>
      <w:pPr>
        <w:spacing w:after="0" w:line="293" w:lineRule="auto"/>
        <w:rPr>
          <w:sz w:val="20"/>
          <w:szCs w:val="20"/>
          <w:color w:val="auto"/>
        </w:rPr>
      </w:pPr>
      <w:r>
        <w:rPr>
          <w:rFonts w:ascii="Arial" w:cs="Arial" w:eastAsia="Arial" w:hAnsi="Arial"/>
          <w:sz w:val="13"/>
          <w:szCs w:val="13"/>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March 31, 2021, was approximately US$2.1 million and the cash collateral held by ABN Amro to provide security for the claims against us was approximately €2.4 million (US$2.8 million) as of March 31, 2021.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3"/>
          <w:szCs w:val="13"/>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There have been no material changes to the risk factors previously disclosed in our 2020 Form 10-K. Refer to Part I, Item 1A of our 2020 Form 10-K for a detailed discussion of risk factors affecting us.</w:t>
      </w: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843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120"/>
          </w:cols>
          <w:pgMar w:left="300" w:top="956" w:right="4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7"/>
        </w:trPr>
        <w:tc>
          <w:tcPr>
            <w:tcW w:w="1280" w:type="dxa"/>
            <w:vAlign w:val="bottom"/>
            <w:gridSpan w:val="3"/>
          </w:tcPr>
          <w:p>
            <w:pPr>
              <w:spacing w:after="0"/>
              <w:rPr>
                <w:sz w:val="20"/>
                <w:szCs w:val="20"/>
                <w:color w:val="auto"/>
              </w:rPr>
            </w:pPr>
            <w:r>
              <w:rPr>
                <w:rFonts w:ascii="Arial" w:cs="Arial" w:eastAsia="Arial" w:hAnsi="Arial"/>
                <w:sz w:val="15"/>
                <w:szCs w:val="15"/>
                <w:b w:val="1"/>
                <w:bCs w:val="1"/>
                <w:color w:val="auto"/>
              </w:rPr>
              <w:t>Item 6. Exhibits.</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8620" w:type="dxa"/>
            <w:vAlign w:val="bottom"/>
            <w:gridSpan w:val="25"/>
          </w:tcPr>
          <w:p>
            <w:pPr>
              <w:spacing w:after="0"/>
              <w:rPr>
                <w:sz w:val="20"/>
                <w:szCs w:val="20"/>
                <w:color w:val="auto"/>
              </w:rPr>
            </w:pPr>
            <w:r>
              <w:rPr>
                <w:rFonts w:ascii="Arial" w:cs="Arial" w:eastAsia="Arial" w:hAnsi="Arial"/>
                <w:sz w:val="15"/>
                <w:szCs w:val="15"/>
                <w:color w:val="auto"/>
                <w:w w:val="90"/>
              </w:rPr>
              <w:t>The exhibits listed in the following Exhibit Index are filed, furnished, or incorporated by reference as part of this Quarterly Report on Form 10-Q.</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5"/>
                <w:szCs w:val="15"/>
                <w:b w:val="1"/>
                <w:bCs w:val="1"/>
                <w:color w:val="auto"/>
                <w:w w:val="92"/>
              </w:rPr>
              <w:t>Incorporated by Reference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w w:val="89"/>
              </w:rPr>
              <w:t>Furnished/Filed</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Exhibit No</w:t>
            </w:r>
          </w:p>
        </w:tc>
        <w:tc>
          <w:tcPr>
            <w:tcW w:w="20" w:type="dxa"/>
            <w:vAlign w:val="bottom"/>
          </w:tcPr>
          <w:p>
            <w:pPr>
              <w:spacing w:after="0"/>
              <w:rPr>
                <w:sz w:val="16"/>
                <w:szCs w:val="16"/>
                <w:color w:val="auto"/>
              </w:rPr>
            </w:pPr>
          </w:p>
        </w:tc>
        <w:tc>
          <w:tcPr>
            <w:tcW w:w="4500" w:type="dxa"/>
            <w:vAlign w:val="bottom"/>
            <w:gridSpan w:val="18"/>
          </w:tcPr>
          <w:p>
            <w:pPr>
              <w:spacing w:after="0"/>
              <w:rPr>
                <w:sz w:val="20"/>
                <w:szCs w:val="20"/>
                <w:color w:val="auto"/>
              </w:rPr>
            </w:pPr>
            <w:r>
              <w:rPr>
                <w:rFonts w:ascii="Arial" w:cs="Arial" w:eastAsia="Arial" w:hAnsi="Arial"/>
                <w:sz w:val="15"/>
                <w:szCs w:val="15"/>
                <w:b w:val="1"/>
                <w:bCs w:val="1"/>
                <w:color w:val="auto"/>
              </w:rPr>
              <w:t>Description of Exhibits</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5"/>
              </w:rPr>
              <w:t>Form</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8"/>
              </w:rPr>
              <w:t>File No.</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1"/>
              </w:rPr>
              <w:t>Exhibit</w:t>
            </w:r>
          </w:p>
        </w:tc>
        <w:tc>
          <w:tcPr>
            <w:tcW w:w="1000" w:type="dxa"/>
            <w:vAlign w:val="bottom"/>
            <w:gridSpan w:val="2"/>
          </w:tcPr>
          <w:p>
            <w:pPr>
              <w:ind w:left="120"/>
              <w:spacing w:after="0"/>
              <w:rPr>
                <w:sz w:val="20"/>
                <w:szCs w:val="20"/>
                <w:color w:val="auto"/>
              </w:rPr>
            </w:pPr>
            <w:r>
              <w:rPr>
                <w:rFonts w:ascii="Arial" w:cs="Arial" w:eastAsia="Arial" w:hAnsi="Arial"/>
                <w:sz w:val="15"/>
                <w:szCs w:val="15"/>
                <w:b w:val="1"/>
                <w:bCs w:val="1"/>
                <w:color w:val="auto"/>
              </w:rPr>
              <w:t>Filing Date</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w w:val="91"/>
              </w:rPr>
              <w:t>Herewith</w:t>
            </w:r>
          </w:p>
        </w:tc>
        <w:tc>
          <w:tcPr>
            <w:tcW w:w="0" w:type="dxa"/>
            <w:vAlign w:val="bottom"/>
          </w:tcPr>
          <w:p>
            <w:pPr>
              <w:spacing w:after="0"/>
              <w:rPr>
                <w:sz w:val="1"/>
                <w:szCs w:val="1"/>
                <w:color w:val="auto"/>
              </w:rPr>
            </w:pPr>
          </w:p>
        </w:tc>
      </w:tr>
      <w:tr>
        <w:trPr>
          <w:trHeight w:val="23"/>
        </w:trPr>
        <w:tc>
          <w:tcPr>
            <w:tcW w:w="1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20"/>
              <w:spacing w:after="0" w:line="154" w:lineRule="exact"/>
              <w:rPr>
                <w:sz w:val="20"/>
                <w:szCs w:val="20"/>
                <w:color w:val="auto"/>
              </w:rPr>
            </w:pPr>
            <w:r>
              <w:rPr>
                <w:rFonts w:ascii="Arial" w:cs="Arial" w:eastAsia="Arial" w:hAnsi="Arial"/>
                <w:sz w:val="15"/>
                <w:szCs w:val="15"/>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94"/>
              </w:rPr>
            </w:pPr>
            <w:hyperlink r:id="rId88">
              <w:r>
                <w:rPr>
                  <w:rFonts w:ascii="Arial" w:cs="Arial" w:eastAsia="Arial" w:hAnsi="Arial"/>
                  <w:sz w:val="15"/>
                  <w:szCs w:val="15"/>
                  <w:color w:val="0000FF"/>
                  <w:w w:val="94"/>
                </w:rPr>
                <w:t>Refinancing Amendment to the First Lien Credit Agreement, dated as of</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89"/>
              </w:rPr>
            </w:pPr>
            <w:hyperlink r:id="rId88">
              <w:r>
                <w:rPr>
                  <w:rFonts w:ascii="Arial" w:cs="Arial" w:eastAsia="Arial" w:hAnsi="Arial"/>
                  <w:sz w:val="15"/>
                  <w:szCs w:val="15"/>
                  <w:color w:val="0000FF"/>
                  <w:w w:val="89"/>
                </w:rPr>
                <w:t>January 20, 2021, among Sotera Health Company, Sotera Health Holdings,</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4" w:lineRule="exact"/>
              <w:rPr>
                <w:rFonts w:ascii="Arial" w:cs="Arial" w:eastAsia="Arial" w:hAnsi="Arial"/>
                <w:sz w:val="15"/>
                <w:szCs w:val="15"/>
                <w:color w:val="0000FF"/>
                <w:w w:val="88"/>
              </w:rPr>
            </w:pPr>
            <w:hyperlink r:id="rId88">
              <w:r>
                <w:rPr>
                  <w:rFonts w:ascii="Arial" w:cs="Arial" w:eastAsia="Arial" w:hAnsi="Arial"/>
                  <w:sz w:val="15"/>
                  <w:szCs w:val="15"/>
                  <w:color w:val="0000FF"/>
                  <w:w w:val="88"/>
                </w:rPr>
                <w:t>LLC, the Refinancing Lenders Party thereto, the Revolving Lenders party</w:t>
              </w:r>
            </w:hyperlink>
          </w:p>
        </w:tc>
        <w:tc>
          <w:tcPr>
            <w:tcW w:w="60" w:type="dxa"/>
            <w:vAlign w:val="bottom"/>
            <w:tcBorders>
              <w:top w:val="single" w:sz="8" w:color="0000FF"/>
            </w:tcBorders>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760" w:type="dxa"/>
            <w:vAlign w:val="bottom"/>
          </w:tcPr>
          <w:p>
            <w:pPr>
              <w:jc w:val="center"/>
              <w:spacing w:after="0" w:line="154" w:lineRule="exact"/>
              <w:rPr>
                <w:sz w:val="20"/>
                <w:szCs w:val="20"/>
                <w:color w:val="auto"/>
              </w:rPr>
            </w:pPr>
            <w:r>
              <w:rPr>
                <w:rFonts w:ascii="Arial" w:cs="Arial" w:eastAsia="Arial" w:hAnsi="Arial"/>
                <w:sz w:val="15"/>
                <w:szCs w:val="15"/>
                <w:color w:val="auto"/>
                <w:w w:val="88"/>
              </w:rPr>
              <w:t>10-K</w:t>
            </w:r>
          </w:p>
        </w:tc>
        <w:tc>
          <w:tcPr>
            <w:tcW w:w="1120" w:type="dxa"/>
            <w:vAlign w:val="bottom"/>
          </w:tcPr>
          <w:p>
            <w:pPr>
              <w:jc w:val="right"/>
              <w:ind w:right="187"/>
              <w:spacing w:after="0" w:line="154" w:lineRule="exact"/>
              <w:rPr>
                <w:sz w:val="20"/>
                <w:szCs w:val="20"/>
                <w:color w:val="auto"/>
              </w:rPr>
            </w:pPr>
            <w:r>
              <w:rPr>
                <w:rFonts w:ascii="Arial" w:cs="Arial" w:eastAsia="Arial" w:hAnsi="Arial"/>
                <w:sz w:val="15"/>
                <w:szCs w:val="15"/>
                <w:color w:val="auto"/>
              </w:rPr>
              <w:t>001-39729</w:t>
            </w:r>
          </w:p>
        </w:tc>
        <w:tc>
          <w:tcPr>
            <w:tcW w:w="940" w:type="dxa"/>
            <w:vAlign w:val="bottom"/>
          </w:tcPr>
          <w:p>
            <w:pPr>
              <w:jc w:val="right"/>
              <w:ind w:right="227"/>
              <w:spacing w:after="0" w:line="154" w:lineRule="exact"/>
              <w:rPr>
                <w:sz w:val="20"/>
                <w:szCs w:val="20"/>
                <w:color w:val="auto"/>
              </w:rPr>
            </w:pPr>
            <w:r>
              <w:rPr>
                <w:rFonts w:ascii="Arial" w:cs="Arial" w:eastAsia="Arial" w:hAnsi="Arial"/>
                <w:sz w:val="15"/>
                <w:szCs w:val="15"/>
                <w:color w:val="auto"/>
              </w:rPr>
              <w:t>10.28</w:t>
            </w:r>
          </w:p>
        </w:tc>
        <w:tc>
          <w:tcPr>
            <w:tcW w:w="940" w:type="dxa"/>
            <w:vAlign w:val="bottom"/>
          </w:tcPr>
          <w:p>
            <w:pPr>
              <w:ind w:left="120"/>
              <w:spacing w:after="0" w:line="154" w:lineRule="exact"/>
              <w:rPr>
                <w:sz w:val="20"/>
                <w:szCs w:val="20"/>
                <w:color w:val="auto"/>
              </w:rPr>
            </w:pPr>
            <w:r>
              <w:rPr>
                <w:rFonts w:ascii="Arial" w:cs="Arial" w:eastAsia="Arial" w:hAnsi="Arial"/>
                <w:sz w:val="15"/>
                <w:szCs w:val="15"/>
                <w:color w:val="auto"/>
              </w:rPr>
              <w:t>2021-03-09</w:t>
            </w: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bottom w:val="single" w:sz="8" w:color="0000FF"/>
            </w:tcBorders>
            <w:gridSpan w:val="16"/>
          </w:tcPr>
          <w:p>
            <w:pPr>
              <w:spacing w:after="0" w:line="154" w:lineRule="exact"/>
              <w:rPr>
                <w:rFonts w:ascii="Arial" w:cs="Arial" w:eastAsia="Arial" w:hAnsi="Arial"/>
                <w:sz w:val="15"/>
                <w:szCs w:val="15"/>
                <w:color w:val="0000FF"/>
                <w:w w:val="88"/>
              </w:rPr>
            </w:pPr>
            <w:hyperlink r:id="rId88">
              <w:r>
                <w:rPr>
                  <w:rFonts w:ascii="Arial" w:cs="Arial" w:eastAsia="Arial" w:hAnsi="Arial"/>
                  <w:sz w:val="15"/>
                  <w:szCs w:val="15"/>
                  <w:color w:val="0000FF"/>
                  <w:w w:val="88"/>
                </w:rPr>
                <w:t>to the First Lien Credit Agreement and Jefferies Finance LLC, as First Lien</w:t>
              </w:r>
            </w:hyperlink>
          </w:p>
        </w:tc>
        <w:tc>
          <w:tcPr>
            <w:tcW w:w="1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rPr>
            </w:pPr>
            <w:hyperlink r:id="rId88">
              <w:r>
                <w:rPr>
                  <w:rFonts w:ascii="Arial" w:cs="Arial" w:eastAsia="Arial" w:hAnsi="Arial"/>
                  <w:sz w:val="15"/>
                  <w:szCs w:val="15"/>
                  <w:color w:val="0000FF"/>
                </w:rPr>
                <w:t>Administrative Agent and First Lien Collateral Agent</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0" w:type="dxa"/>
            <w:vAlign w:val="bottom"/>
            <w:gridSpan w:val="2"/>
          </w:tcPr>
          <w:p>
            <w:pPr>
              <w:ind w:left="20"/>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FF"/>
            </w:tcBorders>
            <w:gridSpan w:val="14"/>
          </w:tcPr>
          <w:p>
            <w:pPr>
              <w:spacing w:after="0"/>
              <w:rPr>
                <w:rFonts w:ascii="Arial" w:cs="Arial" w:eastAsia="Arial" w:hAnsi="Arial"/>
                <w:sz w:val="15"/>
                <w:szCs w:val="15"/>
                <w:color w:val="0000FF"/>
                <w:w w:val="88"/>
              </w:rPr>
            </w:pPr>
            <w:hyperlink w:anchor="page46">
              <w:r>
                <w:rPr>
                  <w:rFonts w:ascii="Arial" w:cs="Arial" w:eastAsia="Arial" w:hAnsi="Arial"/>
                  <w:sz w:val="15"/>
                  <w:szCs w:val="15"/>
                  <w:color w:val="0000FF"/>
                  <w:w w:val="88"/>
                </w:rPr>
                <w:t>Revolving Facilities Amendment to the First Lien Credit Agreement, dated</w:t>
              </w:r>
            </w:hyperlink>
          </w:p>
        </w:tc>
        <w:tc>
          <w:tcPr>
            <w:tcW w:w="14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97"/>
              </w:rPr>
            </w:pPr>
            <w:hyperlink w:anchor="page46">
              <w:r>
                <w:rPr>
                  <w:rFonts w:ascii="Arial" w:cs="Arial" w:eastAsia="Arial" w:hAnsi="Arial"/>
                  <w:sz w:val="15"/>
                  <w:szCs w:val="15"/>
                  <w:color w:val="0000FF"/>
                  <w:w w:val="97"/>
                </w:rPr>
                <w:t>as of March 26, 2021, among Sotera Health Company, Sotera Health</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98"/>
              </w:rPr>
            </w:pPr>
            <w:hyperlink w:anchor="page46">
              <w:r>
                <w:rPr>
                  <w:rFonts w:ascii="Arial" w:cs="Arial" w:eastAsia="Arial" w:hAnsi="Arial"/>
                  <w:sz w:val="15"/>
                  <w:szCs w:val="15"/>
                  <w:color w:val="0000FF"/>
                  <w:w w:val="98"/>
                </w:rPr>
                <w:t>Holdings, LLC, the Refinancing Lenders Party thereto, the Revolving</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jc w:val="center"/>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95"/>
              </w:rPr>
            </w:pPr>
            <w:hyperlink w:anchor="page46">
              <w:r>
                <w:rPr>
                  <w:rFonts w:ascii="Arial" w:cs="Arial" w:eastAsia="Arial" w:hAnsi="Arial"/>
                  <w:sz w:val="15"/>
                  <w:szCs w:val="15"/>
                  <w:color w:val="0000FF"/>
                  <w:w w:val="95"/>
                </w:rPr>
                <w:t>Lenders party to the First Lien Credit Agreement and Jefferies Finance</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bottom w:val="single" w:sz="8" w:color="0000FF"/>
            </w:tcBorders>
            <w:gridSpan w:val="9"/>
          </w:tcPr>
          <w:p>
            <w:pPr>
              <w:spacing w:after="0" w:line="154" w:lineRule="exact"/>
              <w:rPr>
                <w:rFonts w:ascii="Arial" w:cs="Arial" w:eastAsia="Arial" w:hAnsi="Arial"/>
                <w:sz w:val="15"/>
                <w:szCs w:val="15"/>
                <w:color w:val="0000FF"/>
                <w:w w:val="90"/>
              </w:rPr>
            </w:pPr>
            <w:hyperlink w:anchor="page46">
              <w:r>
                <w:rPr>
                  <w:rFonts w:ascii="Arial" w:cs="Arial" w:eastAsia="Arial" w:hAnsi="Arial"/>
                  <w:sz w:val="15"/>
                  <w:szCs w:val="15"/>
                  <w:color w:val="0000FF"/>
                  <w:w w:val="90"/>
                </w:rPr>
                <w:t>LLC, as First Lien Administrative Agent and First Lien Collateral Agent</w:t>
              </w:r>
            </w:hyperlink>
          </w:p>
        </w:tc>
        <w:tc>
          <w:tcPr>
            <w:tcW w:w="28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00" w:type="dxa"/>
            <w:vAlign w:val="bottom"/>
            <w:gridSpan w:val="2"/>
          </w:tcPr>
          <w:p>
            <w:pPr>
              <w:ind w:left="20"/>
              <w:spacing w:after="0"/>
              <w:rPr>
                <w:sz w:val="20"/>
                <w:szCs w:val="20"/>
                <w:color w:val="auto"/>
              </w:rPr>
            </w:pPr>
            <w:r>
              <w:rPr>
                <w:rFonts w:ascii="Arial" w:cs="Arial" w:eastAsia="Arial" w:hAnsi="Arial"/>
                <w:sz w:val="15"/>
                <w:szCs w:val="15"/>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7"/>
          </w:tcPr>
          <w:p>
            <w:pPr>
              <w:spacing w:after="0"/>
              <w:rPr>
                <w:rFonts w:ascii="Arial" w:cs="Arial" w:eastAsia="Arial" w:hAnsi="Arial"/>
                <w:sz w:val="15"/>
                <w:szCs w:val="15"/>
                <w:color w:val="0000FF"/>
                <w:w w:val="90"/>
              </w:rPr>
            </w:pPr>
            <w:hyperlink w:anchor="page71">
              <w:r>
                <w:rPr>
                  <w:rFonts w:ascii="Arial" w:cs="Arial" w:eastAsia="Arial" w:hAnsi="Arial"/>
                  <w:sz w:val="15"/>
                  <w:szCs w:val="15"/>
                  <w:color w:val="0000FF"/>
                  <w:w w:val="90"/>
                </w:rPr>
                <w:t>Certification of Principal Executive Officer pursuant to Exchange Act</w:t>
              </w:r>
            </w:hyperlink>
          </w:p>
        </w:tc>
        <w:tc>
          <w:tcPr>
            <w:tcW w:w="4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90"/>
              </w:rPr>
            </w:pPr>
            <w:hyperlink w:anchor="page71">
              <w:r>
                <w:rPr>
                  <w:rFonts w:ascii="Arial" w:cs="Arial" w:eastAsia="Arial" w:hAnsi="Arial"/>
                  <w:sz w:val="15"/>
                  <w:szCs w:val="15"/>
                  <w:color w:val="0000FF"/>
                  <w:w w:val="90"/>
                </w:rPr>
                <w:t>Rules 13a-14(a) and 15d-14(a), as adopted pursuant to Section 302 of the</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jc w:val="center"/>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4" w:lineRule="exact"/>
              <w:rPr>
                <w:rFonts w:ascii="Arial" w:cs="Arial" w:eastAsia="Arial" w:hAnsi="Arial"/>
                <w:sz w:val="15"/>
                <w:szCs w:val="15"/>
                <w:color w:val="0000FF"/>
                <w:w w:val="87"/>
              </w:rPr>
            </w:pPr>
            <w:hyperlink w:anchor="page71">
              <w:r>
                <w:rPr>
                  <w:rFonts w:ascii="Arial" w:cs="Arial" w:eastAsia="Arial" w:hAnsi="Arial"/>
                  <w:sz w:val="15"/>
                  <w:szCs w:val="15"/>
                  <w:color w:val="0000FF"/>
                  <w:w w:val="87"/>
                </w:rPr>
                <w:t>Sarbanes-Oxley Act of 2002</w:t>
              </w:r>
            </w:hyperlink>
          </w:p>
        </w:tc>
        <w:tc>
          <w:tcPr>
            <w:tcW w:w="2580" w:type="dxa"/>
            <w:vAlign w:val="bottom"/>
            <w:tcBorders>
              <w:top w:val="single" w:sz="8" w:color="0000FF"/>
            </w:tcBorders>
            <w:gridSpan w:val="9"/>
          </w:tcPr>
          <w:p>
            <w:pPr>
              <w:spacing w:after="0"/>
              <w:rPr>
                <w:sz w:val="13"/>
                <w:szCs w:val="13"/>
                <w:color w:val="auto"/>
              </w:rPr>
            </w:pPr>
          </w:p>
        </w:tc>
        <w:tc>
          <w:tcPr>
            <w:tcW w:w="26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00" w:type="dxa"/>
            <w:vAlign w:val="bottom"/>
            <w:gridSpan w:val="2"/>
          </w:tcPr>
          <w:p>
            <w:pPr>
              <w:ind w:left="20"/>
              <w:spacing w:after="0"/>
              <w:rPr>
                <w:sz w:val="20"/>
                <w:szCs w:val="20"/>
                <w:color w:val="auto"/>
              </w:rPr>
            </w:pPr>
            <w:r>
              <w:rPr>
                <w:rFonts w:ascii="Arial" w:cs="Arial" w:eastAsia="Arial" w:hAnsi="Arial"/>
                <w:sz w:val="15"/>
                <w:szCs w:val="15"/>
                <w:color w:val="auto"/>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5"/>
          </w:tcPr>
          <w:p>
            <w:pPr>
              <w:spacing w:after="0"/>
              <w:rPr>
                <w:rFonts w:ascii="Arial" w:cs="Arial" w:eastAsia="Arial" w:hAnsi="Arial"/>
                <w:sz w:val="15"/>
                <w:szCs w:val="15"/>
                <w:color w:val="0000FF"/>
                <w:w w:val="89"/>
              </w:rPr>
            </w:pPr>
            <w:hyperlink w:anchor="page72">
              <w:r>
                <w:rPr>
                  <w:rFonts w:ascii="Arial" w:cs="Arial" w:eastAsia="Arial" w:hAnsi="Arial"/>
                  <w:sz w:val="15"/>
                  <w:szCs w:val="15"/>
                  <w:color w:val="0000FF"/>
                  <w:w w:val="89"/>
                </w:rPr>
                <w:t>Certification of Principal Financial Officer pursuant to Exchange Act Rules</w:t>
              </w:r>
            </w:hyperlink>
          </w:p>
        </w:tc>
        <w:tc>
          <w:tcPr>
            <w:tcW w:w="12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8"/>
          </w:tcPr>
          <w:p>
            <w:pPr>
              <w:spacing w:after="0" w:line="154" w:lineRule="exact"/>
              <w:rPr>
                <w:rFonts w:ascii="Arial" w:cs="Arial" w:eastAsia="Arial" w:hAnsi="Arial"/>
                <w:sz w:val="15"/>
                <w:szCs w:val="15"/>
                <w:color w:val="0000FF"/>
                <w:w w:val="99"/>
              </w:rPr>
            </w:pPr>
            <w:hyperlink w:anchor="page72">
              <w:r>
                <w:rPr>
                  <w:rFonts w:ascii="Arial" w:cs="Arial" w:eastAsia="Arial" w:hAnsi="Arial"/>
                  <w:sz w:val="15"/>
                  <w:szCs w:val="15"/>
                  <w:color w:val="0000FF"/>
                  <w:w w:val="99"/>
                </w:rPr>
                <w:t>13a-14(a) and 15d-14(a), as adopted pursuant to Section 302 of the</w:t>
              </w:r>
            </w:hyperlink>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jc w:val="center"/>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4" w:lineRule="exact"/>
              <w:rPr>
                <w:rFonts w:ascii="Arial" w:cs="Arial" w:eastAsia="Arial" w:hAnsi="Arial"/>
                <w:sz w:val="15"/>
                <w:szCs w:val="15"/>
                <w:color w:val="0000FF"/>
                <w:w w:val="87"/>
              </w:rPr>
            </w:pPr>
            <w:hyperlink w:anchor="page72">
              <w:r>
                <w:rPr>
                  <w:rFonts w:ascii="Arial" w:cs="Arial" w:eastAsia="Arial" w:hAnsi="Arial"/>
                  <w:sz w:val="15"/>
                  <w:szCs w:val="15"/>
                  <w:color w:val="0000FF"/>
                  <w:w w:val="87"/>
                </w:rPr>
                <w:t>Sarbanes-Oxley Act of 2002</w:t>
              </w:r>
            </w:hyperlink>
          </w:p>
        </w:tc>
        <w:tc>
          <w:tcPr>
            <w:tcW w:w="2220" w:type="dxa"/>
            <w:vAlign w:val="bottom"/>
            <w:tcBorders>
              <w:top w:val="single" w:sz="8" w:color="0000FF"/>
            </w:tcBorders>
            <w:gridSpan w:val="3"/>
          </w:tcPr>
          <w:p>
            <w:pPr>
              <w:spacing w:after="0"/>
              <w:rPr>
                <w:sz w:val="13"/>
                <w:szCs w:val="13"/>
                <w:color w:val="auto"/>
              </w:rPr>
            </w:pPr>
          </w:p>
        </w:tc>
        <w:tc>
          <w:tcPr>
            <w:tcW w:w="620" w:type="dxa"/>
            <w:vAlign w:val="bottom"/>
            <w:gridSpan w:val="14"/>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00" w:type="dxa"/>
            <w:vAlign w:val="bottom"/>
            <w:gridSpan w:val="2"/>
          </w:tcPr>
          <w:p>
            <w:pPr>
              <w:ind w:left="20"/>
              <w:spacing w:after="0"/>
              <w:rPr>
                <w:sz w:val="20"/>
                <w:szCs w:val="20"/>
                <w:color w:val="auto"/>
              </w:rPr>
            </w:pPr>
            <w:r>
              <w:rPr>
                <w:rFonts w:ascii="Arial" w:cs="Arial" w:eastAsia="Arial" w:hAnsi="Arial"/>
                <w:sz w:val="15"/>
                <w:szCs w:val="15"/>
                <w:color w:val="auto"/>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8"/>
          </w:tcPr>
          <w:p>
            <w:pPr>
              <w:spacing w:after="0"/>
              <w:rPr>
                <w:rFonts w:ascii="Arial" w:cs="Arial" w:eastAsia="Arial" w:hAnsi="Arial"/>
                <w:sz w:val="15"/>
                <w:szCs w:val="15"/>
                <w:color w:val="0000FF"/>
                <w:w w:val="92"/>
              </w:rPr>
            </w:pPr>
            <w:hyperlink w:anchor="page73">
              <w:r>
                <w:rPr>
                  <w:rFonts w:ascii="Arial" w:cs="Arial" w:eastAsia="Arial" w:hAnsi="Arial"/>
                  <w:sz w:val="15"/>
                  <w:szCs w:val="15"/>
                  <w:color w:val="0000FF"/>
                  <w:w w:val="92"/>
                </w:rPr>
                <w:t>Certifications of Principal Executive Officer and Principal Financial Officer</w:t>
              </w:r>
            </w:hyperlink>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6"/>
          </w:tcPr>
          <w:p>
            <w:pPr>
              <w:spacing w:after="0" w:line="154" w:lineRule="exact"/>
              <w:rPr>
                <w:rFonts w:ascii="Arial" w:cs="Arial" w:eastAsia="Arial" w:hAnsi="Arial"/>
                <w:sz w:val="15"/>
                <w:szCs w:val="15"/>
                <w:color w:val="0000FF"/>
                <w:w w:val="87"/>
              </w:rPr>
            </w:pPr>
            <w:hyperlink w:anchor="page73">
              <w:r>
                <w:rPr>
                  <w:rFonts w:ascii="Arial" w:cs="Arial" w:eastAsia="Arial" w:hAnsi="Arial"/>
                  <w:sz w:val="15"/>
                  <w:szCs w:val="15"/>
                  <w:color w:val="0000FF"/>
                  <w:w w:val="87"/>
                </w:rPr>
                <w:t>pursuant to 18 U.S.C. Section 1350, as adopted pursuant to Section 906 of</w:t>
              </w:r>
            </w:hyperlink>
          </w:p>
        </w:tc>
        <w:tc>
          <w:tcPr>
            <w:tcW w:w="1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jc w:val="center"/>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12"/>
          </w:tcPr>
          <w:p>
            <w:pPr>
              <w:spacing w:after="0" w:line="154" w:lineRule="exact"/>
              <w:rPr>
                <w:rFonts w:ascii="Arial" w:cs="Arial" w:eastAsia="Arial" w:hAnsi="Arial"/>
                <w:sz w:val="15"/>
                <w:szCs w:val="15"/>
                <w:color w:val="0000FF"/>
              </w:rPr>
            </w:pPr>
            <w:hyperlink w:anchor="page73">
              <w:r>
                <w:rPr>
                  <w:rFonts w:ascii="Arial" w:cs="Arial" w:eastAsia="Arial" w:hAnsi="Arial"/>
                  <w:sz w:val="15"/>
                  <w:szCs w:val="15"/>
                  <w:color w:val="0000FF"/>
                </w:rPr>
                <w:t>the Sarbanes-Oxley Act of 2002</w:t>
              </w:r>
            </w:hyperlink>
          </w:p>
        </w:tc>
        <w:tc>
          <w:tcPr>
            <w:tcW w:w="20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640" w:type="dxa"/>
            <w:vAlign w:val="bottom"/>
            <w:gridSpan w:val="1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gridSpan w:val="3"/>
          </w:tcPr>
          <w:p>
            <w:pPr>
              <w:ind w:left="20"/>
              <w:spacing w:after="0"/>
              <w:rPr>
                <w:sz w:val="20"/>
                <w:szCs w:val="20"/>
                <w:color w:val="auto"/>
              </w:rPr>
            </w:pPr>
            <w:r>
              <w:rPr>
                <w:rFonts w:ascii="Arial" w:cs="Arial" w:eastAsia="Arial" w:hAnsi="Arial"/>
                <w:sz w:val="15"/>
                <w:szCs w:val="15"/>
                <w:color w:val="auto"/>
              </w:rPr>
              <w:t>101.INS</w:t>
            </w:r>
          </w:p>
        </w:tc>
        <w:tc>
          <w:tcPr>
            <w:tcW w:w="20" w:type="dxa"/>
            <w:vAlign w:val="bottom"/>
          </w:tcPr>
          <w:p>
            <w:pPr>
              <w:spacing w:after="0"/>
              <w:rPr>
                <w:sz w:val="19"/>
                <w:szCs w:val="19"/>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w w:val="91"/>
              </w:rPr>
              <w:t>Inline XBRL Instance Document - The XBRL Instance Document does not</w:t>
            </w: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w w:val="92"/>
              </w:rPr>
              <w:t>appear in the Interactive Data File because its XBRL tags are embedded</w:t>
            </w: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rPr>
              <w:t>within the Inline XBRL document</w:t>
            </w: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80" w:type="dxa"/>
            <w:vAlign w:val="bottom"/>
            <w:gridSpan w:val="3"/>
          </w:tcPr>
          <w:p>
            <w:pPr>
              <w:ind w:left="20"/>
              <w:spacing w:after="0"/>
              <w:rPr>
                <w:sz w:val="20"/>
                <w:szCs w:val="20"/>
                <w:color w:val="auto"/>
              </w:rPr>
            </w:pPr>
            <w:r>
              <w:rPr>
                <w:rFonts w:ascii="Arial" w:cs="Arial" w:eastAsia="Arial" w:hAnsi="Arial"/>
                <w:sz w:val="15"/>
                <w:szCs w:val="15"/>
                <w:color w:val="auto"/>
              </w:rPr>
              <w:t>101.SCH</w:t>
            </w:r>
          </w:p>
        </w:tc>
        <w:tc>
          <w:tcPr>
            <w:tcW w:w="20" w:type="dxa"/>
            <w:vAlign w:val="bottom"/>
          </w:tcPr>
          <w:p>
            <w:pPr>
              <w:spacing w:after="0"/>
              <w:rPr>
                <w:sz w:val="18"/>
                <w:szCs w:val="18"/>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rPr>
              <w:t>Inline XBRL Taxonomy Extension Schema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1280" w:type="dxa"/>
            <w:vAlign w:val="bottom"/>
            <w:gridSpan w:val="3"/>
          </w:tcPr>
          <w:p>
            <w:pPr>
              <w:ind w:left="20"/>
              <w:spacing w:after="0"/>
              <w:rPr>
                <w:sz w:val="20"/>
                <w:szCs w:val="20"/>
                <w:color w:val="auto"/>
              </w:rPr>
            </w:pPr>
            <w:r>
              <w:rPr>
                <w:rFonts w:ascii="Arial" w:cs="Arial" w:eastAsia="Arial" w:hAnsi="Arial"/>
                <w:sz w:val="15"/>
                <w:szCs w:val="15"/>
                <w:color w:val="auto"/>
              </w:rPr>
              <w:t>101.CAL</w:t>
            </w:r>
          </w:p>
        </w:tc>
        <w:tc>
          <w:tcPr>
            <w:tcW w:w="20" w:type="dxa"/>
            <w:vAlign w:val="bottom"/>
          </w:tcPr>
          <w:p>
            <w:pPr>
              <w:spacing w:after="0"/>
              <w:rPr>
                <w:sz w:val="18"/>
                <w:szCs w:val="18"/>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1280" w:type="dxa"/>
            <w:vAlign w:val="bottom"/>
            <w:gridSpan w:val="3"/>
          </w:tcPr>
          <w:p>
            <w:pPr>
              <w:ind w:left="20"/>
              <w:spacing w:after="0"/>
              <w:rPr>
                <w:sz w:val="20"/>
                <w:szCs w:val="20"/>
                <w:color w:val="auto"/>
              </w:rPr>
            </w:pPr>
            <w:r>
              <w:rPr>
                <w:rFonts w:ascii="Arial" w:cs="Arial" w:eastAsia="Arial" w:hAnsi="Arial"/>
                <w:sz w:val="15"/>
                <w:szCs w:val="15"/>
                <w:color w:val="auto"/>
              </w:rPr>
              <w:t>101.DEF</w:t>
            </w:r>
          </w:p>
        </w:tc>
        <w:tc>
          <w:tcPr>
            <w:tcW w:w="20" w:type="dxa"/>
            <w:vAlign w:val="bottom"/>
          </w:tcPr>
          <w:p>
            <w:pPr>
              <w:spacing w:after="0"/>
              <w:rPr>
                <w:sz w:val="18"/>
                <w:szCs w:val="18"/>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1280" w:type="dxa"/>
            <w:vAlign w:val="bottom"/>
            <w:gridSpan w:val="3"/>
          </w:tcPr>
          <w:p>
            <w:pPr>
              <w:ind w:left="20"/>
              <w:spacing w:after="0"/>
              <w:rPr>
                <w:sz w:val="20"/>
                <w:szCs w:val="20"/>
                <w:color w:val="auto"/>
              </w:rPr>
            </w:pPr>
            <w:r>
              <w:rPr>
                <w:rFonts w:ascii="Arial" w:cs="Arial" w:eastAsia="Arial" w:hAnsi="Arial"/>
                <w:sz w:val="15"/>
                <w:szCs w:val="15"/>
                <w:color w:val="auto"/>
              </w:rPr>
              <w:t>101.LAB</w:t>
            </w:r>
          </w:p>
        </w:tc>
        <w:tc>
          <w:tcPr>
            <w:tcW w:w="20" w:type="dxa"/>
            <w:vAlign w:val="bottom"/>
          </w:tcPr>
          <w:p>
            <w:pPr>
              <w:spacing w:after="0"/>
              <w:rPr>
                <w:sz w:val="18"/>
                <w:szCs w:val="18"/>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rPr>
              <w:t>Inline XBRL Taxonomy Label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1280" w:type="dxa"/>
            <w:vAlign w:val="bottom"/>
            <w:gridSpan w:val="3"/>
          </w:tcPr>
          <w:p>
            <w:pPr>
              <w:ind w:left="20"/>
              <w:spacing w:after="0"/>
              <w:rPr>
                <w:sz w:val="20"/>
                <w:szCs w:val="20"/>
                <w:color w:val="auto"/>
              </w:rPr>
            </w:pPr>
            <w:r>
              <w:rPr>
                <w:rFonts w:ascii="Arial" w:cs="Arial" w:eastAsia="Arial" w:hAnsi="Arial"/>
                <w:sz w:val="15"/>
                <w:szCs w:val="15"/>
                <w:color w:val="auto"/>
              </w:rPr>
              <w:t>101.PRE</w:t>
            </w:r>
          </w:p>
        </w:tc>
        <w:tc>
          <w:tcPr>
            <w:tcW w:w="20" w:type="dxa"/>
            <w:vAlign w:val="bottom"/>
          </w:tcPr>
          <w:p>
            <w:pPr>
              <w:spacing w:after="0"/>
              <w:rPr>
                <w:sz w:val="18"/>
                <w:szCs w:val="18"/>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w w:val="99"/>
              </w:rPr>
              <w:t>Inline XBRL Taxonomy Extension Presentation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8"/>
          </w:tcPr>
          <w:p>
            <w:pPr>
              <w:spacing w:after="0"/>
              <w:rPr>
                <w:sz w:val="20"/>
                <w:szCs w:val="20"/>
                <w:color w:val="auto"/>
              </w:rPr>
            </w:pPr>
            <w:r>
              <w:rPr>
                <w:rFonts w:ascii="Arial" w:cs="Arial" w:eastAsia="Arial" w:hAnsi="Arial"/>
                <w:sz w:val="15"/>
                <w:szCs w:val="15"/>
                <w:color w:val="auto"/>
                <w:w w:val="91"/>
              </w:rPr>
              <w:t>Cover Page Interactive Data File (formatted as Inline XBRL and contained</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500" w:type="dxa"/>
            <w:vAlign w:val="bottom"/>
            <w:gridSpan w:val="18"/>
            <w:vMerge w:val="restart"/>
          </w:tcPr>
          <w:p>
            <w:pPr>
              <w:spacing w:after="0"/>
              <w:rPr>
                <w:sz w:val="20"/>
                <w:szCs w:val="20"/>
                <w:color w:val="auto"/>
              </w:rPr>
            </w:pPr>
            <w:r>
              <w:rPr>
                <w:rFonts w:ascii="Arial" w:cs="Arial" w:eastAsia="Arial" w:hAnsi="Arial"/>
                <w:sz w:val="15"/>
                <w:szCs w:val="15"/>
                <w:color w:val="auto"/>
              </w:rPr>
              <w:t>in Exhibit 101)</w:t>
            </w: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500" w:type="dxa"/>
            <w:vAlign w:val="bottom"/>
            <w:gridSpan w:val="18"/>
            <w:vMerge w:val="continue"/>
          </w:tcPr>
          <w:p>
            <w:pPr>
              <w:spacing w:after="0"/>
              <w:rPr>
                <w:sz w:val="7"/>
                <w:szCs w:val="7"/>
                <w:color w:val="auto"/>
              </w:rPr>
            </w:pPr>
          </w:p>
        </w:tc>
        <w:tc>
          <w:tcPr>
            <w:tcW w:w="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0"/>
                <w:szCs w:val="20"/>
                <w:color w:val="auto"/>
              </w:rPr>
            </w:pPr>
            <w:r>
              <w:rPr>
                <w:rFonts w:ascii="Arial" w:cs="Arial" w:eastAsia="Arial" w:hAnsi="Arial"/>
                <w:sz w:val="15"/>
                <w:szCs w:val="15"/>
                <w:color w:val="auto"/>
              </w:rPr>
              <w:t>*</w:t>
            </w:r>
          </w:p>
        </w:tc>
        <w:tc>
          <w:tcPr>
            <w:tcW w:w="1100" w:type="dxa"/>
            <w:vAlign w:val="bottom"/>
            <w:gridSpan w:val="2"/>
          </w:tcPr>
          <w:p>
            <w:pPr>
              <w:ind w:left="40"/>
              <w:spacing w:after="0"/>
              <w:rPr>
                <w:sz w:val="20"/>
                <w:szCs w:val="20"/>
                <w:color w:val="auto"/>
              </w:rPr>
            </w:pPr>
            <w:r>
              <w:rPr>
                <w:rFonts w:ascii="Arial" w:cs="Arial" w:eastAsia="Arial" w:hAnsi="Arial"/>
                <w:sz w:val="15"/>
                <w:szCs w:val="15"/>
                <w:color w:val="auto"/>
              </w:rPr>
              <w:t>Filed Herewith</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20"/>
                <w:szCs w:val="20"/>
                <w:color w:val="auto"/>
              </w:rPr>
            </w:pPr>
            <w:r>
              <w:rPr>
                <w:rFonts w:ascii="Arial" w:cs="Arial" w:eastAsia="Arial" w:hAnsi="Arial"/>
                <w:sz w:val="15"/>
                <w:szCs w:val="15"/>
                <w:color w:val="auto"/>
              </w:rPr>
              <w:t>**</w:t>
            </w:r>
          </w:p>
        </w:tc>
        <w:tc>
          <w:tcPr>
            <w:tcW w:w="5620" w:type="dxa"/>
            <w:vAlign w:val="bottom"/>
            <w:gridSpan w:val="21"/>
          </w:tcPr>
          <w:p>
            <w:pPr>
              <w:ind w:left="120"/>
              <w:spacing w:after="0"/>
              <w:rPr>
                <w:sz w:val="20"/>
                <w:szCs w:val="20"/>
                <w:color w:val="auto"/>
              </w:rPr>
            </w:pPr>
            <w:r>
              <w:rPr>
                <w:rFonts w:ascii="Arial" w:cs="Arial" w:eastAsia="Arial" w:hAnsi="Arial"/>
                <w:sz w:val="15"/>
                <w:szCs w:val="15"/>
                <w:color w:val="auto"/>
              </w:rPr>
              <w:t>Furnished Herewith</w:t>
            </w: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1"/>
        </w:trPr>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gridSpan w:val="18"/>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bookmarkStart w:id="44" w:name="page45"/>
    <w:bookmarkEnd w:id="44"/>
    <w:p>
      <w:pPr>
        <w:ind w:left="5180"/>
        <w:spacing w:after="0"/>
        <w:rPr>
          <w:sz w:val="20"/>
          <w:szCs w:val="20"/>
          <w:color w:val="auto"/>
        </w:rPr>
      </w:pPr>
      <w:r>
        <w:rPr>
          <w:rFonts w:ascii="Arial" w:cs="Arial" w:eastAsia="Arial" w:hAnsi="Arial"/>
          <w:sz w:val="15"/>
          <w:szCs w:val="15"/>
          <w:b w:val="1"/>
          <w:bCs w:val="1"/>
          <w:color w:val="auto"/>
        </w:rPr>
        <w:t>SIGNATURES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SOTERA HEALTH COMPANY</w:t>
      </w:r>
    </w:p>
    <w:p>
      <w:pPr>
        <w:spacing w:after="0" w:line="252" w:lineRule="exact"/>
        <w:rPr>
          <w:sz w:val="20"/>
          <w:szCs w:val="20"/>
          <w:color w:val="auto"/>
        </w:rPr>
      </w:pPr>
    </w:p>
    <w:tbl>
      <w:tblPr>
        <w:tblLayout w:type="fixed"/>
        <w:tblInd w:w="6680" w:type="dxa"/>
        <w:tblCellMar>
          <w:top w:w="0" w:type="dxa"/>
          <w:left w:w="0" w:type="dxa"/>
          <w:bottom w:w="0" w:type="dxa"/>
          <w:right w:w="0" w:type="dxa"/>
        </w:tblCellMar>
      </w:tblPr>
      <w:tr>
        <w:trPr>
          <w:trHeight w:val="183"/>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3840" w:type="dxa"/>
            <w:vAlign w:val="bottom"/>
          </w:tcPr>
          <w:p>
            <w:pPr>
              <w:ind w:left="20"/>
              <w:spacing w:after="0"/>
              <w:rPr>
                <w:sz w:val="20"/>
                <w:szCs w:val="20"/>
                <w:color w:val="auto"/>
              </w:rPr>
            </w:pPr>
            <w:r>
              <w:rPr>
                <w:rFonts w:ascii="Arial" w:cs="Arial" w:eastAsia="Arial" w:hAnsi="Arial"/>
                <w:sz w:val="15"/>
                <w:szCs w:val="15"/>
                <w:color w:val="auto"/>
              </w:rPr>
              <w:t>/s/ Scott J. Leffler</w:t>
            </w:r>
          </w:p>
        </w:tc>
      </w:tr>
      <w:tr>
        <w:trPr>
          <w:trHeight w:val="23"/>
        </w:trPr>
        <w:tc>
          <w:tcPr>
            <w:tcW w:w="7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3840" w:type="dxa"/>
            <w:vAlign w:val="bottom"/>
          </w:tcPr>
          <w:p>
            <w:pPr>
              <w:ind w:left="20"/>
              <w:spacing w:after="0"/>
              <w:rPr>
                <w:sz w:val="20"/>
                <w:szCs w:val="20"/>
                <w:color w:val="auto"/>
              </w:rPr>
            </w:pPr>
            <w:r>
              <w:rPr>
                <w:rFonts w:ascii="Arial" w:cs="Arial" w:eastAsia="Arial" w:hAnsi="Arial"/>
                <w:sz w:val="15"/>
                <w:szCs w:val="15"/>
                <w:color w:val="auto"/>
              </w:rPr>
              <w:t>Scott J. Leffler</w:t>
            </w:r>
          </w:p>
        </w:tc>
      </w:tr>
      <w:tr>
        <w:trPr>
          <w:trHeight w:val="218"/>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3840" w:type="dxa"/>
            <w:vAlign w:val="bottom"/>
          </w:tcPr>
          <w:p>
            <w:pPr>
              <w:ind w:left="20"/>
              <w:spacing w:after="0"/>
              <w:rPr>
                <w:sz w:val="20"/>
                <w:szCs w:val="20"/>
                <w:color w:val="auto"/>
              </w:rPr>
            </w:pPr>
            <w:r>
              <w:rPr>
                <w:rFonts w:ascii="Arial" w:cs="Arial" w:eastAsia="Arial" w:hAnsi="Arial"/>
                <w:sz w:val="15"/>
                <w:szCs w:val="15"/>
                <w:color w:val="auto"/>
              </w:rPr>
              <w:t>Chief Financial Officer and Treasurer</w:t>
            </w:r>
          </w:p>
        </w:tc>
      </w:tr>
      <w:tr>
        <w:trPr>
          <w:trHeight w:val="218"/>
        </w:trPr>
        <w:tc>
          <w:tcPr>
            <w:tcW w:w="7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5"/>
                <w:szCs w:val="15"/>
                <w:color w:val="auto"/>
              </w:rPr>
              <w:t>(Principal Financial Officer)</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Date: May 13, 2021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80"/>
          </w:cols>
          <w:pgMar w:left="300" w:top="1039"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10.2</w:t>
      </w:r>
    </w:p>
    <w:p>
      <w:pPr>
        <w:spacing w:after="0" w:line="200" w:lineRule="exact"/>
        <w:rPr>
          <w:sz w:val="20"/>
          <w:szCs w:val="20"/>
          <w:color w:val="auto"/>
        </w:rPr>
      </w:pPr>
    </w:p>
    <w:p>
      <w:pPr>
        <w:spacing w:after="0" w:line="204"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EXECUTION VERSION</w:t>
      </w:r>
    </w:p>
    <w:p>
      <w:pPr>
        <w:spacing w:after="0" w:line="262" w:lineRule="exact"/>
        <w:rPr>
          <w:sz w:val="20"/>
          <w:szCs w:val="20"/>
          <w:color w:val="auto"/>
        </w:rPr>
      </w:pPr>
    </w:p>
    <w:p>
      <w:pPr>
        <w:jc w:val="both"/>
        <w:ind w:left="880" w:right="160" w:firstLine="4581"/>
        <w:spacing w:after="0" w:line="264" w:lineRule="auto"/>
        <w:rPr>
          <w:sz w:val="20"/>
          <w:szCs w:val="20"/>
          <w:color w:val="auto"/>
        </w:rPr>
      </w:pPr>
      <w:r>
        <w:rPr>
          <w:rFonts w:ascii="Arial" w:cs="Arial" w:eastAsia="Arial" w:hAnsi="Arial"/>
          <w:sz w:val="15"/>
          <w:szCs w:val="15"/>
          <w:color w:val="auto"/>
        </w:rPr>
        <w:t>REVOLVING FACILITIES AMENDMENT TO FIRST LIEN CREDIT AGREEMENT, dated as of March 26, 2021 (this “</w:t>
      </w:r>
      <w:r>
        <w:rPr>
          <w:rFonts w:ascii="Arial" w:cs="Arial" w:eastAsia="Arial" w:hAnsi="Arial"/>
          <w:sz w:val="15"/>
          <w:szCs w:val="15"/>
          <w:u w:val="single" w:color="auto"/>
          <w:color w:val="auto"/>
        </w:rPr>
        <w:t>Amendment</w:t>
      </w:r>
      <w:r>
        <w:rPr>
          <w:rFonts w:ascii="Arial" w:cs="Arial" w:eastAsia="Arial" w:hAnsi="Arial"/>
          <w:sz w:val="15"/>
          <w:szCs w:val="15"/>
          <w:color w:val="auto"/>
        </w:rPr>
        <w:t>”), is made and entered into by and among Sotera Health Company (f/k/a Sotera Health Topco, Inc.), a Delaware corporation (“</w:t>
      </w:r>
      <w:r>
        <w:rPr>
          <w:rFonts w:ascii="Arial" w:cs="Arial" w:eastAsia="Arial" w:hAnsi="Arial"/>
          <w:sz w:val="15"/>
          <w:szCs w:val="15"/>
          <w:u w:val="single" w:color="auto"/>
          <w:color w:val="auto"/>
        </w:rPr>
        <w:t>Holdings</w:t>
      </w:r>
      <w:r>
        <w:rPr>
          <w:rFonts w:ascii="Arial" w:cs="Arial" w:eastAsia="Arial" w:hAnsi="Arial"/>
          <w:sz w:val="15"/>
          <w:szCs w:val="15"/>
          <w:color w:val="auto"/>
        </w:rPr>
        <w:t>”), Sotera Health Holdings, LLC, a Delaware limited liability company (the “</w:t>
      </w:r>
      <w:r>
        <w:rPr>
          <w:rFonts w:ascii="Arial" w:cs="Arial" w:eastAsia="Arial" w:hAnsi="Arial"/>
          <w:sz w:val="15"/>
          <w:szCs w:val="15"/>
          <w:u w:val="single" w:color="auto"/>
          <w:color w:val="auto"/>
        </w:rPr>
        <w:t>Borrower</w:t>
      </w:r>
      <w:r>
        <w:rPr>
          <w:rFonts w:ascii="Arial" w:cs="Arial" w:eastAsia="Arial" w:hAnsi="Arial"/>
          <w:sz w:val="15"/>
          <w:szCs w:val="15"/>
          <w:color w:val="auto"/>
        </w:rPr>
        <w:t>”), each of the entities listed under the caption “Extending Revolving Lenders” on the signature pages hereto (each, an “</w:t>
      </w:r>
      <w:r>
        <w:rPr>
          <w:rFonts w:ascii="Arial" w:cs="Arial" w:eastAsia="Arial" w:hAnsi="Arial"/>
          <w:sz w:val="15"/>
          <w:szCs w:val="15"/>
          <w:u w:val="single" w:color="auto"/>
          <w:color w:val="auto"/>
        </w:rPr>
        <w:t>Extending Revolving Lender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Extending Revolving Lenders</w:t>
      </w:r>
      <w:r>
        <w:rPr>
          <w:rFonts w:ascii="Arial" w:cs="Arial" w:eastAsia="Arial" w:hAnsi="Arial"/>
          <w:sz w:val="15"/>
          <w:szCs w:val="15"/>
          <w:color w:val="auto"/>
        </w:rPr>
        <w:t>”), each of the entities listed under the caption “Consenting Issuing Banks” on the signature pages hereto (each, a “</w:t>
      </w:r>
      <w:r>
        <w:rPr>
          <w:rFonts w:ascii="Arial" w:cs="Arial" w:eastAsia="Arial" w:hAnsi="Arial"/>
          <w:sz w:val="15"/>
          <w:szCs w:val="15"/>
          <w:u w:val="single" w:color="auto"/>
          <w:color w:val="auto"/>
        </w:rPr>
        <w:t>Consenting Issuing Bank</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Consenting Issuing Banks</w:t>
      </w:r>
      <w:r>
        <w:rPr>
          <w:rFonts w:ascii="Arial" w:cs="Arial" w:eastAsia="Arial" w:hAnsi="Arial"/>
          <w:sz w:val="15"/>
          <w:szCs w:val="15"/>
          <w:color w:val="auto"/>
        </w:rPr>
        <w:t>”), JPMorgan Chase Bank, N.A., as First Lien Administrative Agent (solely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for purposes of Sections 6 and 8 hereof only, the other Loan Parties as of the date hereof.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RECITALS:</w:t>
      </w:r>
    </w:p>
    <w:p>
      <w:pPr>
        <w:spacing w:after="0" w:line="197" w:lineRule="exact"/>
        <w:rPr>
          <w:sz w:val="20"/>
          <w:szCs w:val="20"/>
          <w:color w:val="auto"/>
        </w:rPr>
      </w:pPr>
    </w:p>
    <w:p>
      <w:pPr>
        <w:jc w:val="both"/>
        <w:ind w:left="880" w:right="160" w:firstLine="1044"/>
        <w:spacing w:after="0" w:line="245" w:lineRule="auto"/>
        <w:rPr>
          <w:sz w:val="20"/>
          <w:szCs w:val="20"/>
          <w:color w:val="auto"/>
        </w:rPr>
      </w:pPr>
      <w:r>
        <w:rPr>
          <w:rFonts w:ascii="Arial" w:cs="Arial" w:eastAsia="Arial" w:hAnsi="Arial"/>
          <w:sz w:val="16"/>
          <w:szCs w:val="16"/>
          <w:color w:val="auto"/>
        </w:rPr>
        <w:t>WHEREAS, reference is made to the First Lien Credit Agreement dated as of December 13, 2019, by and among Holdings, the Borrower, the lenders from time to time party thereto and the Administrative Agent, as amended by that certain Incremental Facility Amendment to First Lien Credit Agreement, dated as of December 17, 2020, among the Borrower, Holdings, the Subsidiary Guarantors party thereto, Jefferies Finance LLC (“</w:t>
      </w:r>
      <w:r>
        <w:rPr>
          <w:rFonts w:ascii="Arial" w:cs="Arial" w:eastAsia="Arial" w:hAnsi="Arial"/>
          <w:sz w:val="16"/>
          <w:szCs w:val="16"/>
          <w:u w:val="single" w:color="auto"/>
          <w:color w:val="auto"/>
        </w:rPr>
        <w:t>Jefferies</w:t>
      </w:r>
      <w:r>
        <w:rPr>
          <w:rFonts w:ascii="Arial" w:cs="Arial" w:eastAsia="Arial" w:hAnsi="Arial"/>
          <w:sz w:val="16"/>
          <w:szCs w:val="16"/>
          <w:color w:val="auto"/>
        </w:rPr>
        <w:t>”), as administrative agent, as further amended by that certain Refinancing Amendment to First Lien Credit Agreement, dated as of January 20, 2021, among the Borrower, Holdings, the Subsidiary Guarantors party thereto, Jefferies and the Refinancing Lenders party thereto, as further amended by that certain Resignation, Consent and Appointment Agreement, dated as of January 20, 2021, among Jefferies, the Borrower, Holdings and JPMorgan Chase Bank, N.A., as the successor administrative agent and collateral agent (as it may be further amended, supplemented or otherwise modified to the date hereof,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39" w:lineRule="exact"/>
        <w:rPr>
          <w:sz w:val="20"/>
          <w:szCs w:val="20"/>
          <w:color w:val="auto"/>
        </w:rPr>
      </w:pPr>
    </w:p>
    <w:p>
      <w:pPr>
        <w:jc w:val="both"/>
        <w:ind w:left="880" w:right="160" w:firstLine="1044"/>
        <w:spacing w:after="0" w:line="262" w:lineRule="auto"/>
        <w:rPr>
          <w:sz w:val="20"/>
          <w:szCs w:val="20"/>
          <w:color w:val="auto"/>
        </w:rPr>
      </w:pPr>
      <w:r>
        <w:rPr>
          <w:rFonts w:ascii="Arial" w:cs="Arial" w:eastAsia="Arial" w:hAnsi="Arial"/>
          <w:sz w:val="15"/>
          <w:szCs w:val="15"/>
          <w:color w:val="auto"/>
        </w:rPr>
        <w:t>WHEREAS, the Borrower has (i) pursuant to Section 2.24(a) of the Credit Agreement, by written notice to the Administrative Agent, made a Loan Modification Offer (as defined in the Credit Agreement) to the Revolving Lenders to effect Permitted Amendments (as defined in the Credit Agreement) that shall (a) modify the Revolving Maturity Date (as defined in the Credit Agreement) with respect to each Revolving Commitment (as defined in the Credit Agreement) and each Revolving Loan (as defined in the Credit Agreement) of such Extending Revolving Lenders (as defined below) to be June 13, 2026 (or if such day is not a Business Day, the immediately preceding Business Day) and (b) modify the Applicable Rate (as defined in the Credit Agreement) in the manner described below with respect to each Revolving Commitment and each Revolving Loan of such Extending Revolving Lenders, which Loan Modification Offer sets forth the date hereof as the date on which such Permitted Amendments are requested to become effective, and (ii) requested that each of the Issuing Banks (as defined in the Credit Agreement) consent to such extension of maturity and modification of rate and agree to the Permitted Amendments set forth herein (the transactions described in this paragraph,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44" w:lineRule="exact"/>
        <w:rPr>
          <w:sz w:val="20"/>
          <w:szCs w:val="20"/>
          <w:color w:val="auto"/>
        </w:rPr>
      </w:pPr>
    </w:p>
    <w:p>
      <w:pPr>
        <w:jc w:val="both"/>
        <w:ind w:left="880" w:right="160" w:firstLine="1044"/>
        <w:spacing w:after="0" w:line="267" w:lineRule="auto"/>
        <w:rPr>
          <w:sz w:val="20"/>
          <w:szCs w:val="20"/>
          <w:color w:val="auto"/>
        </w:rPr>
      </w:pPr>
      <w:r>
        <w:rPr>
          <w:rFonts w:ascii="Arial" w:cs="Arial" w:eastAsia="Arial" w:hAnsi="Arial"/>
          <w:sz w:val="16"/>
          <w:szCs w:val="16"/>
          <w:color w:val="auto"/>
        </w:rPr>
        <w:t>WHEREAS, subject to the terms and conditions of the Credit Agreement, and pursuant to the foregoing, the Borrower has requested that the Credit Agreement be amended in the manner provided for herein; and</w:t>
      </w:r>
    </w:p>
    <w:p>
      <w:pPr>
        <w:spacing w:after="0" w:line="135"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WHEREAS, the parties hereto wish to amend the Credit Agreement on the terms and subject to the conditions set forth herein and in the Credit</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Agreement.</w:t>
      </w:r>
    </w:p>
    <w:p>
      <w:pPr>
        <w:spacing w:after="0" w:line="161" w:lineRule="exact"/>
        <w:rPr>
          <w:sz w:val="20"/>
          <w:szCs w:val="20"/>
          <w:color w:val="auto"/>
        </w:rPr>
      </w:pPr>
    </w:p>
    <w:p>
      <w:pPr>
        <w:ind w:left="860" w:right="160" w:firstLine="1045"/>
        <w:spacing w:after="0" w:line="267" w:lineRule="auto"/>
        <w:rPr>
          <w:sz w:val="20"/>
          <w:szCs w:val="20"/>
          <w:color w:val="auto"/>
        </w:rPr>
      </w:pPr>
      <w:r>
        <w:rPr>
          <w:rFonts w:ascii="Arial" w:cs="Arial" w:eastAsia="Arial" w:hAnsi="Arial"/>
          <w:sz w:val="16"/>
          <w:szCs w:val="16"/>
          <w:color w:val="auto"/>
        </w:rPr>
        <w:t>NOW, THEREFORE, in consideration of the mutual agreements herein contained and other good and valuable consideration, the sufficiency and receipt of which are hereby acknowledged, the parties hereto agree as follows: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280"/>
          </w:cols>
          <w:pgMar w:left="300" w:top="125" w:right="319" w:bottom="1440" w:gutter="0" w:footer="0" w:header="0"/>
        </w:sectPr>
      </w:pPr>
    </w:p>
    <w:bookmarkStart w:id="46" w:name="page47"/>
    <w:bookmarkEnd w:id="46"/>
    <w:p>
      <w:pPr>
        <w:ind w:left="11040"/>
        <w:spacing w:after="0"/>
        <w:rPr>
          <w:sz w:val="20"/>
          <w:szCs w:val="20"/>
          <w:color w:val="auto"/>
        </w:rPr>
      </w:pPr>
      <w:r>
        <w:rPr>
          <w:rFonts w:ascii="Arial" w:cs="Arial" w:eastAsia="Arial" w:hAnsi="Arial"/>
          <w:sz w:val="14"/>
          <w:szCs w:val="14"/>
          <w:color w:val="auto"/>
        </w:rPr>
        <w:t>2</w:t>
      </w:r>
    </w:p>
    <w:p>
      <w:pPr>
        <w:spacing w:after="0" w:line="220" w:lineRule="exact"/>
        <w:rPr>
          <w:sz w:val="20"/>
          <w:szCs w:val="20"/>
          <w:color w:val="auto"/>
        </w:rPr>
      </w:pPr>
    </w:p>
    <w:p>
      <w:pPr>
        <w:ind w:left="880" w:firstLine="1044"/>
        <w:spacing w:after="0" w:line="26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i w:val="1"/>
          <w:iCs w:val="1"/>
          <w:color w:val="auto"/>
        </w:rPr>
        <w:t>Defined Terms; Interpretation; Etc</w:t>
      </w:r>
      <w:r>
        <w:rPr>
          <w:rFonts w:ascii="Arial" w:cs="Arial" w:eastAsia="Arial" w:hAnsi="Arial"/>
          <w:sz w:val="16"/>
          <w:szCs w:val="16"/>
          <w:color w:val="auto"/>
        </w:rPr>
        <w:t>. Capitalized terms used and not defined herein shall have the meanings assigned to such terms in the Credit Agreement. This Amendment is a “First Lien Loan Document” as defined in the Credit Agreement.</w:t>
      </w:r>
    </w:p>
    <w:p>
      <w:pPr>
        <w:spacing w:after="0" w:line="167"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i w:val="1"/>
          <w:iCs w:val="1"/>
          <w:color w:val="auto"/>
        </w:rPr>
        <w:t>Amendments to Credit Agreement</w:t>
      </w:r>
      <w:r>
        <w:rPr>
          <w:rFonts w:ascii="Arial" w:cs="Arial" w:eastAsia="Arial" w:hAnsi="Arial"/>
          <w:sz w:val="16"/>
          <w:szCs w:val="16"/>
          <w:color w:val="auto"/>
        </w:rPr>
        <w:t>. Each of the parties hereby agrees that:</w:t>
      </w:r>
    </w:p>
    <w:p>
      <w:pPr>
        <w:spacing w:after="0" w:line="197" w:lineRule="exact"/>
        <w:rPr>
          <w:sz w:val="20"/>
          <w:szCs w:val="20"/>
          <w:color w:val="auto"/>
        </w:rPr>
      </w:pPr>
    </w:p>
    <w:p>
      <w:pPr>
        <w:ind w:left="2320" w:right="660" w:firstLine="516"/>
        <w:spacing w:after="0" w:line="267" w:lineRule="auto"/>
        <w:tabs>
          <w:tab w:leader="none" w:pos="31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Section 1.01 of the Credit Agreement is hereby amended by inserting the following new definitions in their correct alphabetical order:</w:t>
      </w:r>
    </w:p>
    <w:p>
      <w:pPr>
        <w:spacing w:after="0" w:line="167" w:lineRule="exact"/>
        <w:rPr>
          <w:sz w:val="20"/>
          <w:szCs w:val="20"/>
          <w:color w:val="auto"/>
        </w:rPr>
      </w:pPr>
    </w:p>
    <w:p>
      <w:pPr>
        <w:jc w:val="both"/>
        <w:ind w:left="1400" w:firstLine="522"/>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Consenting Issuing Bank</w:t>
      </w:r>
      <w:r>
        <w:rPr>
          <w:rFonts w:ascii="Arial" w:cs="Arial" w:eastAsia="Arial" w:hAnsi="Arial"/>
          <w:sz w:val="15"/>
          <w:szCs w:val="15"/>
          <w:color w:val="auto"/>
        </w:rPr>
        <w:t>” means each Issuing Bank that has consented and agreed to the Transactions set forth in the Revolving Facilities Amendment by delivering an executed counterpart thereof to the First Lien Administrative Agent on or prior to March 26, 2021.”</w:t>
      </w:r>
    </w:p>
    <w:p>
      <w:pPr>
        <w:spacing w:after="0" w:line="133"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Revolving Commitment</w:t>
      </w:r>
      <w:r>
        <w:rPr>
          <w:rFonts w:ascii="Arial" w:cs="Arial" w:eastAsia="Arial" w:hAnsi="Arial"/>
          <w:sz w:val="15"/>
          <w:szCs w:val="15"/>
          <w:color w:val="auto"/>
        </w:rPr>
        <w:t>” means the Revolving Commitments extended on the Revolving Facilities Amendment Effective Date.”</w:t>
      </w:r>
    </w:p>
    <w:p>
      <w:pPr>
        <w:spacing w:after="0" w:line="208"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Extended Revolving Loan</w:t>
      </w:r>
      <w:r>
        <w:rPr>
          <w:rFonts w:ascii="Arial" w:cs="Arial" w:eastAsia="Arial" w:hAnsi="Arial"/>
          <w:sz w:val="16"/>
          <w:szCs w:val="16"/>
          <w:color w:val="auto"/>
        </w:rPr>
        <w:t>” means a Revolving Loan made with respect to an Extended Revolving Commitment.”</w:t>
      </w:r>
    </w:p>
    <w:p>
      <w:pPr>
        <w:spacing w:after="0" w:line="197" w:lineRule="exact"/>
        <w:rPr>
          <w:sz w:val="20"/>
          <w:szCs w:val="20"/>
          <w:color w:val="auto"/>
        </w:rPr>
      </w:pPr>
    </w:p>
    <w:p>
      <w:pPr>
        <w:jc w:val="both"/>
        <w:ind w:left="1400" w:firstLine="522"/>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Extending Revolving Lender</w:t>
      </w:r>
      <w:r>
        <w:rPr>
          <w:rFonts w:ascii="Arial" w:cs="Arial" w:eastAsia="Arial" w:hAnsi="Arial"/>
          <w:sz w:val="16"/>
          <w:szCs w:val="16"/>
          <w:color w:val="auto"/>
        </w:rPr>
        <w:t>” means each Revolving Lender that voted in favor of the Revolving Facilities Amendment by delivering an executed counterpart thereof to the First Lien Administrative Agent on or prior to March 26, 2021.”</w:t>
      </w:r>
    </w:p>
    <w:p>
      <w:pPr>
        <w:spacing w:after="0" w:line="157" w:lineRule="exact"/>
        <w:rPr>
          <w:sz w:val="20"/>
          <w:szCs w:val="20"/>
          <w:color w:val="auto"/>
        </w:rPr>
      </w:pPr>
    </w:p>
    <w:p>
      <w:pPr>
        <w:jc w:val="both"/>
        <w:ind w:left="1400" w:firstLine="562"/>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Facilities Amendment</w:t>
      </w:r>
      <w:r>
        <w:rPr>
          <w:rFonts w:ascii="Arial" w:cs="Arial" w:eastAsia="Arial" w:hAnsi="Arial"/>
          <w:sz w:val="16"/>
          <w:szCs w:val="16"/>
          <w:color w:val="auto"/>
        </w:rPr>
        <w:t>” means the Revolving Facilities Amendment to this Agreement, dated as of March 26, 2021 among the Borrower, the Extending Revolving Lenders party thereto, the Consenting Issuing Banks party thereto, the Administrative Agent and the other parties thereto.”</w:t>
      </w:r>
    </w:p>
    <w:p>
      <w:pPr>
        <w:spacing w:after="0" w:line="178"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Facilities Amendment Effective Date</w:t>
      </w:r>
      <w:r>
        <w:rPr>
          <w:rFonts w:ascii="Arial" w:cs="Arial" w:eastAsia="Arial" w:hAnsi="Arial"/>
          <w:sz w:val="16"/>
          <w:szCs w:val="16"/>
          <w:color w:val="auto"/>
        </w:rPr>
        <w:t>” means the date set forth in the definition of Revolving Facilities Amendment.”</w:t>
      </w:r>
    </w:p>
    <w:p>
      <w:pPr>
        <w:spacing w:after="0" w:line="197" w:lineRule="exact"/>
        <w:rPr>
          <w:sz w:val="20"/>
          <w:szCs w:val="20"/>
          <w:color w:val="auto"/>
        </w:rPr>
      </w:pPr>
    </w:p>
    <w:p>
      <w:pPr>
        <w:ind w:left="3140" w:hanging="304"/>
        <w:spacing w:after="0"/>
        <w:tabs>
          <w:tab w:leader="none" w:pos="3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definition of “Applicable Rate” in Section 1.01 of the Credit Agreement is hereby amended and restated in its entirety</w:t>
      </w:r>
    </w:p>
    <w:p>
      <w:pPr>
        <w:spacing w:after="0" w:line="38" w:lineRule="exact"/>
        <w:rPr>
          <w:rFonts w:ascii="Arial" w:cs="Arial" w:eastAsia="Arial" w:hAnsi="Arial"/>
          <w:sz w:val="14"/>
          <w:szCs w:val="14"/>
          <w:color w:val="auto"/>
        </w:rPr>
      </w:pPr>
    </w:p>
    <w:p>
      <w:pPr>
        <w:ind w:left="2320"/>
        <w:spacing w:after="0"/>
        <w:rPr>
          <w:rFonts w:ascii="Arial" w:cs="Arial" w:eastAsia="Arial" w:hAnsi="Arial"/>
          <w:sz w:val="14"/>
          <w:szCs w:val="14"/>
          <w:color w:val="auto"/>
        </w:rPr>
      </w:pPr>
      <w:r>
        <w:rPr>
          <w:rFonts w:ascii="Arial" w:cs="Arial" w:eastAsia="Arial" w:hAnsi="Arial"/>
          <w:sz w:val="16"/>
          <w:szCs w:val="16"/>
          <w:color w:val="auto"/>
        </w:rPr>
        <w:t>as follows”</w:t>
      </w:r>
    </w:p>
    <w:p>
      <w:pPr>
        <w:spacing w:after="0" w:line="194" w:lineRule="exact"/>
        <w:rPr>
          <w:sz w:val="20"/>
          <w:szCs w:val="20"/>
          <w:color w:val="auto"/>
        </w:rPr>
      </w:pPr>
    </w:p>
    <w:p>
      <w:pPr>
        <w:ind w:left="1400" w:firstLine="522"/>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for any day, with respect to any Loan, (i) ABR plus 1.75% per annum, in the case of an ABR Loan, or (ii) the Adjusted LIBO Rate plus 2.75% per annum, in the case of a Eurodollar Loan.”</w:t>
      </w:r>
    </w:p>
    <w:p>
      <w:pPr>
        <w:spacing w:after="0" w:line="157" w:lineRule="exact"/>
        <w:rPr>
          <w:sz w:val="20"/>
          <w:szCs w:val="20"/>
          <w:color w:val="auto"/>
        </w:rPr>
      </w:pPr>
    </w:p>
    <w:p>
      <w:pPr>
        <w:ind w:left="2320" w:right="180" w:firstLine="516"/>
        <w:spacing w:after="0" w:line="267" w:lineRule="auto"/>
        <w:tabs>
          <w:tab w:leader="none" w:pos="31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definition of “Revolving Commitment” in Section 1.01 of the Credit Agreement is hereby amended and restated in its entirety as follows:</w:t>
      </w:r>
    </w:p>
    <w:p>
      <w:pPr>
        <w:spacing w:after="0" w:line="157" w:lineRule="exact"/>
        <w:rPr>
          <w:sz w:val="20"/>
          <w:szCs w:val="20"/>
          <w:color w:val="auto"/>
        </w:rPr>
      </w:pPr>
    </w:p>
    <w:p>
      <w:pPr>
        <w:jc w:val="both"/>
        <w:ind w:left="1400" w:firstLine="522"/>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w:t>
      </w:r>
      <w:r>
        <w:rPr>
          <w:rFonts w:ascii="Arial" w:cs="Arial" w:eastAsia="Arial" w:hAnsi="Arial"/>
          <w:sz w:val="16"/>
          <w:szCs w:val="16"/>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w:t>
      </w:r>
    </w:p>
    <w:p>
      <w:pPr>
        <w:spacing w:after="0" w:line="1" w:lineRule="exact"/>
        <w:rPr>
          <w:sz w:val="20"/>
          <w:szCs w:val="20"/>
          <w:color w:val="auto"/>
        </w:rPr>
      </w:pPr>
    </w:p>
    <w:p>
      <w:pPr>
        <w:jc w:val="both"/>
        <w:ind w:left="1400"/>
        <w:spacing w:after="0" w:line="245" w:lineRule="auto"/>
        <w:tabs>
          <w:tab w:leader="none" w:pos="20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reduced from time to time pursuant to Section 2.08 and (b) 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647" w:right="479" w:bottom="1440" w:gutter="0" w:footer="0" w:header="0"/>
        </w:sectPr>
      </w:pPr>
    </w:p>
    <w:bookmarkStart w:id="47" w:name="page48"/>
    <w:bookmarkEnd w:id="47"/>
    <w:p>
      <w:pPr>
        <w:ind w:left="11040"/>
        <w:spacing w:after="0"/>
        <w:rPr>
          <w:sz w:val="20"/>
          <w:szCs w:val="20"/>
          <w:color w:val="auto"/>
        </w:rPr>
      </w:pPr>
      <w:r>
        <w:rPr>
          <w:rFonts w:ascii="Arial" w:cs="Arial" w:eastAsia="Arial" w:hAnsi="Arial"/>
          <w:sz w:val="14"/>
          <w:szCs w:val="14"/>
          <w:color w:val="auto"/>
        </w:rPr>
        <w:t>3</w:t>
      </w:r>
    </w:p>
    <w:p>
      <w:pPr>
        <w:spacing w:after="0" w:line="220"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Amendment No. 1 Revolving Commitment Increase, (vi) without duplication of the following clause (vii), the Extended Revolving Commitments,</w:t>
      </w:r>
    </w:p>
    <w:p>
      <w:pPr>
        <w:spacing w:after="0" w:line="27" w:lineRule="exact"/>
        <w:rPr>
          <w:sz w:val="20"/>
          <w:szCs w:val="20"/>
          <w:color w:val="auto"/>
        </w:rPr>
      </w:pPr>
    </w:p>
    <w:p>
      <w:pPr>
        <w:jc w:val="both"/>
        <w:ind w:left="1400"/>
        <w:spacing w:after="0" w:line="243" w:lineRule="auto"/>
        <w:tabs>
          <w:tab w:leader="none" w:pos="17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Loan Modification Agreement or (viii) an Additional/Replacement Revolving Commitment. The initial amount of each Lender’s Revolving Commitment is set forth on Schedule 2.01(A), with respect to the Amendment No. 1 Revolving Commitment Increase, Schedule I of Amendment No. 1, 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is $347,500,000.”</w:t>
      </w:r>
    </w:p>
    <w:p>
      <w:pPr>
        <w:spacing w:after="0" w:line="186" w:lineRule="exact"/>
        <w:rPr>
          <w:sz w:val="20"/>
          <w:szCs w:val="20"/>
          <w:color w:val="auto"/>
        </w:rPr>
      </w:pPr>
    </w:p>
    <w:p>
      <w:pPr>
        <w:ind w:left="2320" w:firstLine="432"/>
        <w:spacing w:after="0" w:line="267" w:lineRule="auto"/>
        <w:tabs>
          <w:tab w:leader="none" w:pos="31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definition of “Revolving Maturity Date” in Section 1.01 of the Credit Agreement is hereby amended by replacing “December 13, 2024” therein with “June 13, 2026”.</w:t>
      </w:r>
    </w:p>
    <w:p>
      <w:pPr>
        <w:spacing w:after="0" w:line="167" w:lineRule="exact"/>
        <w:rPr>
          <w:sz w:val="20"/>
          <w:szCs w:val="20"/>
          <w:color w:val="auto"/>
        </w:rPr>
      </w:pPr>
    </w:p>
    <w:p>
      <w:pPr>
        <w:jc w:val="both"/>
        <w:ind w:left="880" w:firstLine="1044"/>
        <w:spacing w:after="0" w:line="25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i w:val="1"/>
          <w:iCs w:val="1"/>
          <w:color w:val="auto"/>
        </w:rPr>
        <w:t>Type of Amendments</w:t>
      </w:r>
      <w:r>
        <w:rPr>
          <w:rFonts w:ascii="Arial" w:cs="Arial" w:eastAsia="Arial" w:hAnsi="Arial"/>
          <w:sz w:val="16"/>
          <w:szCs w:val="16"/>
          <w:color w:val="auto"/>
        </w:rPr>
        <w:t>. The Borrower and the Administrative Agent hereby agree that all amendments set forth herein are Permitted Amendments, this Amendment is a Loan Modification Agreement and, in the opinion of the Administrative Agent and the Borrower, necessary and/or appropriate to effectuate the provisions of Section 2.24 of the Credit Agreement.</w:t>
      </w:r>
    </w:p>
    <w:p>
      <w:pPr>
        <w:spacing w:after="0" w:line="167" w:lineRule="exact"/>
        <w:rPr>
          <w:sz w:val="20"/>
          <w:szCs w:val="20"/>
          <w:color w:val="auto"/>
        </w:rPr>
      </w:pPr>
    </w:p>
    <w:p>
      <w:pPr>
        <w:jc w:val="both"/>
        <w:ind w:left="880" w:firstLine="1044"/>
        <w:spacing w:after="0" w:line="301"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b w:val="1"/>
          <w:bCs w:val="1"/>
          <w:i w:val="1"/>
          <w:iCs w:val="1"/>
          <w:color w:val="auto"/>
        </w:rPr>
        <w:t>Conditions to the Effectiveness of the Revolving Facilities Amendment</w:t>
      </w:r>
      <w:r>
        <w:rPr>
          <w:rFonts w:ascii="Arial" w:cs="Arial" w:eastAsia="Arial" w:hAnsi="Arial"/>
          <w:sz w:val="15"/>
          <w:szCs w:val="15"/>
          <w:color w:val="auto"/>
        </w:rPr>
        <w:t>. This Amendment shall become effective as of the date on which the following conditions are satisfied or waived (such date, the “</w:t>
      </w:r>
      <w:r>
        <w:rPr>
          <w:rFonts w:ascii="Arial" w:cs="Arial" w:eastAsia="Arial" w:hAnsi="Arial"/>
          <w:sz w:val="15"/>
          <w:szCs w:val="15"/>
          <w:u w:val="single" w:color="auto"/>
          <w:color w:val="auto"/>
        </w:rPr>
        <w:t>Revolving Facilities Amendment Effective Date</w:t>
      </w:r>
      <w:r>
        <w:rPr>
          <w:rFonts w:ascii="Arial" w:cs="Arial" w:eastAsia="Arial" w:hAnsi="Arial"/>
          <w:sz w:val="15"/>
          <w:szCs w:val="15"/>
          <w:color w:val="auto"/>
        </w:rPr>
        <w:t>”):</w:t>
      </w:r>
    </w:p>
    <w:p>
      <w:pPr>
        <w:spacing w:after="0" w:line="209" w:lineRule="exact"/>
        <w:rPr>
          <w:sz w:val="20"/>
          <w:szCs w:val="20"/>
          <w:color w:val="auto"/>
        </w:rPr>
      </w:pPr>
    </w:p>
    <w:p>
      <w:pPr>
        <w:jc w:val="both"/>
        <w:ind w:left="2320" w:firstLine="1039"/>
        <w:spacing w:after="0" w:line="272" w:lineRule="auto"/>
        <w:tabs>
          <w:tab w:leader="none" w:pos="366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Administrative Agent (or its counsel) shall have received from Holdings, the Borrower, each other Loan Party and each Extending Revolving Lender and each Consenting Issuing Bank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164" w:lineRule="exact"/>
        <w:rPr>
          <w:rFonts w:ascii="Arial" w:cs="Arial" w:eastAsia="Arial" w:hAnsi="Arial"/>
          <w:sz w:val="15"/>
          <w:szCs w:val="15"/>
          <w:color w:val="auto"/>
        </w:rPr>
      </w:pPr>
    </w:p>
    <w:p>
      <w:pPr>
        <w:jc w:val="both"/>
        <w:ind w:left="2320" w:firstLine="1039"/>
        <w:spacing w:after="0" w:line="272" w:lineRule="auto"/>
        <w:tabs>
          <w:tab w:leader="none" w:pos="366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Administrative Agent shall have received a written opinion (addressed to the Administrative Agent, the Extending Revolving Lenders and the Consenting Issuing Banks and dated the Revolving Facilities Amendment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spacing w:after="0" w:line="153" w:lineRule="exact"/>
        <w:rPr>
          <w:rFonts w:ascii="Arial" w:cs="Arial" w:eastAsia="Arial" w:hAnsi="Arial"/>
          <w:sz w:val="15"/>
          <w:szCs w:val="15"/>
          <w:color w:val="auto"/>
        </w:rPr>
      </w:pPr>
    </w:p>
    <w:p>
      <w:pPr>
        <w:jc w:val="both"/>
        <w:ind w:left="2320" w:firstLine="1039"/>
        <w:spacing w:after="0" w:line="250" w:lineRule="auto"/>
        <w:tabs>
          <w:tab w:leader="none" w:pos="36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each Loan Party, dated the Revolving Facilities Amendment Effective Date, in form and substance reasonably satisfactory to the Administrative Agent, executed by any Responsible Officer of such Loan Party and including or attaching the documents or certifications, as applicable, referred to in paragraph (d) of this Section below.</w:t>
      </w:r>
    </w:p>
    <w:p>
      <w:pPr>
        <w:spacing w:after="0" w:line="169" w:lineRule="exact"/>
        <w:rPr>
          <w:rFonts w:ascii="Arial" w:cs="Arial" w:eastAsia="Arial" w:hAnsi="Arial"/>
          <w:sz w:val="16"/>
          <w:szCs w:val="16"/>
          <w:color w:val="auto"/>
        </w:rPr>
      </w:pPr>
    </w:p>
    <w:p>
      <w:pPr>
        <w:jc w:val="both"/>
        <w:ind w:left="2320" w:firstLine="1039"/>
        <w:spacing w:after="0" w:line="254" w:lineRule="auto"/>
        <w:tabs>
          <w:tab w:leader="none" w:pos="36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647" w:right="479" w:bottom="1440" w:gutter="0" w:footer="0" w:header="0"/>
        </w:sectPr>
      </w:pPr>
    </w:p>
    <w:bookmarkStart w:id="48" w:name="page49"/>
    <w:bookmarkEnd w:id="48"/>
    <w:p>
      <w:pPr>
        <w:ind w:left="11040"/>
        <w:spacing w:after="0"/>
        <w:rPr>
          <w:sz w:val="20"/>
          <w:szCs w:val="20"/>
          <w:color w:val="auto"/>
        </w:rPr>
      </w:pPr>
      <w:r>
        <w:rPr>
          <w:rFonts w:ascii="Arial" w:cs="Arial" w:eastAsia="Arial" w:hAnsi="Arial"/>
          <w:sz w:val="14"/>
          <w:szCs w:val="14"/>
          <w:color w:val="auto"/>
        </w:rPr>
        <w:t>4</w:t>
      </w:r>
    </w:p>
    <w:p>
      <w:pPr>
        <w:spacing w:after="0" w:line="200" w:lineRule="exact"/>
        <w:rPr>
          <w:sz w:val="20"/>
          <w:szCs w:val="20"/>
          <w:color w:val="auto"/>
        </w:rPr>
      </w:pPr>
    </w:p>
    <w:p>
      <w:pPr>
        <w:spacing w:after="0" w:line="216" w:lineRule="exact"/>
        <w:rPr>
          <w:sz w:val="20"/>
          <w:szCs w:val="20"/>
          <w:color w:val="auto"/>
        </w:rPr>
      </w:pPr>
    </w:p>
    <w:p>
      <w:pPr>
        <w:jc w:val="both"/>
        <w:ind w:left="2320"/>
        <w:spacing w:after="0" w:line="259" w:lineRule="auto"/>
        <w:rPr>
          <w:sz w:val="20"/>
          <w:szCs w:val="20"/>
          <w:color w:val="auto"/>
        </w:rPr>
      </w:pPr>
      <w:r>
        <w:rPr>
          <w:rFonts w:ascii="Arial" w:cs="Arial" w:eastAsia="Arial" w:hAnsi="Arial"/>
          <w:sz w:val="15"/>
          <w:szCs w:val="15"/>
          <w:color w:val="auto"/>
        </w:rPr>
        <w:t>assistant secretary or other Responsible Officer that such Loan Party’s Organizational Documents most recently certified and delivered to the Administrative Agent prior to the Revolving Facilities Amendment Effective Date pursuant to the First Lien Loan Documents remain in full force and effect on the Revolving Facilities Amendment Effective Date without modification or amendment since such original delivery, (ii) as to each Loan Party, either (x) signature and incumbency certificates of the Responsible Officers of such Loan Party executing the First Lien Loan Documents to which it is a party or (y) written certification by such Loan Party’s secretary, assistant secretary or other Responsible Officer that such Loan Party’s signature and incumbency certificates most recently delivered to the Administrative Agent prior to the Revolving Facilities Amendment Effective Date pursuant to the First Lien Loan Documents remain true and correct as of the Revolving Facilities Amendment Effective Date,</w:t>
      </w:r>
    </w:p>
    <w:p>
      <w:pPr>
        <w:spacing w:after="0" w:line="5" w:lineRule="exact"/>
        <w:rPr>
          <w:sz w:val="20"/>
          <w:szCs w:val="20"/>
          <w:color w:val="auto"/>
        </w:rPr>
      </w:pPr>
    </w:p>
    <w:p>
      <w:pPr>
        <w:jc w:val="both"/>
        <w:ind w:left="2320" w:hanging="6"/>
        <w:spacing w:after="0" w:line="263" w:lineRule="auto"/>
        <w:tabs>
          <w:tab w:leader="none" w:pos="2617"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copies of resolutions of the board of directors and/or similar governing bodies of each Loan Party approving and authorizing the execution, delivery and performance of this Amendment, certified as of the Revolving Facilities Amendment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w:t>
      </w:r>
    </w:p>
    <w:p>
      <w:pPr>
        <w:spacing w:after="0" w:line="161" w:lineRule="exact"/>
        <w:rPr>
          <w:rFonts w:ascii="Arial" w:cs="Arial" w:eastAsia="Arial" w:hAnsi="Arial"/>
          <w:sz w:val="15"/>
          <w:szCs w:val="15"/>
          <w:color w:val="auto"/>
        </w:rPr>
      </w:pPr>
    </w:p>
    <w:p>
      <w:pPr>
        <w:jc w:val="both"/>
        <w:ind w:left="2320" w:firstLine="1039"/>
        <w:spacing w:after="0" w:line="307" w:lineRule="auto"/>
        <w:tabs>
          <w:tab w:leader="none" w:pos="3669" w:val="left"/>
        </w:tabs>
        <w:numPr>
          <w:ilvl w:val="1"/>
          <w:numId w:val="36"/>
        </w:numPr>
        <w:rPr>
          <w:rFonts w:ascii="Arial" w:cs="Arial" w:eastAsia="Arial" w:hAnsi="Arial"/>
          <w:sz w:val="14"/>
          <w:szCs w:val="14"/>
          <w:color w:val="auto"/>
        </w:rPr>
      </w:pPr>
      <w:r>
        <w:rPr>
          <w:rFonts w:ascii="Arial" w:cs="Arial" w:eastAsia="Arial" w:hAnsi="Arial"/>
          <w:sz w:val="14"/>
          <w:szCs w:val="14"/>
          <w:color w:val="auto"/>
        </w:rPr>
        <w:t>The Administrative Agent shall have received a certificate from the chief financial officer of the Borrower certifying as to the solvency of the Borrower and its Subsidiaries on a consolidated basis after giving effect to the Transactions, substantially in the form of Exhibit P to the Credit Agreement (as updated to reflect Loan Party name changes and current Administrative Agent).</w:t>
      </w:r>
    </w:p>
    <w:p>
      <w:pPr>
        <w:spacing w:after="0" w:line="143" w:lineRule="exact"/>
        <w:rPr>
          <w:rFonts w:ascii="Arial" w:cs="Arial" w:eastAsia="Arial" w:hAnsi="Arial"/>
          <w:sz w:val="14"/>
          <w:szCs w:val="14"/>
          <w:color w:val="auto"/>
        </w:rPr>
      </w:pPr>
    </w:p>
    <w:p>
      <w:pPr>
        <w:jc w:val="both"/>
        <w:ind w:left="2320" w:firstLine="1039"/>
        <w:spacing w:after="0" w:line="268" w:lineRule="auto"/>
        <w:tabs>
          <w:tab w:leader="none" w:pos="3669" w:val="left"/>
        </w:tabs>
        <w:numPr>
          <w:ilvl w:val="1"/>
          <w:numId w:val="36"/>
        </w:numPr>
        <w:rPr>
          <w:rFonts w:ascii="Arial" w:cs="Arial" w:eastAsia="Arial" w:hAnsi="Arial"/>
          <w:sz w:val="15"/>
          <w:szCs w:val="15"/>
          <w:color w:val="auto"/>
        </w:rPr>
      </w:pPr>
      <w:r>
        <w:rPr>
          <w:rFonts w:ascii="Arial" w:cs="Arial" w:eastAsia="Arial" w:hAnsi="Arial"/>
          <w:sz w:val="15"/>
          <w:szCs w:val="15"/>
          <w:color w:val="auto"/>
        </w:rPr>
        <w:t>The Administrative Agent shall have received, at least three Business Days prior to the Revolving Facilities Amendment Effective Date, all documentation and other information about the Borrower and the other Loan Parties as shall have been reasonably requested in writing at least ten Business Days prior to the Revolving Facilities Amendment Effective Date by the Administrative Agent that they shall have reasonably determined is required by regulatory authorities under applicable “know your customer” and anti-money laundering rules and regulations, including without limitation the USA PATRIOT Act.</w:t>
      </w:r>
    </w:p>
    <w:p>
      <w:pPr>
        <w:spacing w:after="0" w:line="168" w:lineRule="exact"/>
        <w:rPr>
          <w:rFonts w:ascii="Arial" w:cs="Arial" w:eastAsia="Arial" w:hAnsi="Arial"/>
          <w:sz w:val="15"/>
          <w:szCs w:val="15"/>
          <w:color w:val="auto"/>
        </w:rPr>
      </w:pPr>
    </w:p>
    <w:p>
      <w:pPr>
        <w:ind w:left="3660" w:hanging="301"/>
        <w:spacing w:after="0"/>
        <w:tabs>
          <w:tab w:leader="none" w:pos="3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Each of the representations set forth in Section 5 of this Amendment shall be true and correct.</w:t>
      </w:r>
    </w:p>
    <w:p>
      <w:pPr>
        <w:spacing w:after="0" w:line="197" w:lineRule="exact"/>
        <w:rPr>
          <w:sz w:val="20"/>
          <w:szCs w:val="20"/>
          <w:color w:val="auto"/>
        </w:rPr>
      </w:pPr>
    </w:p>
    <w:p>
      <w:pPr>
        <w:ind w:left="880" w:right="500" w:firstLine="522"/>
        <w:spacing w:after="0" w:line="267" w:lineRule="auto"/>
        <w:rPr>
          <w:sz w:val="20"/>
          <w:szCs w:val="20"/>
          <w:color w:val="auto"/>
        </w:rPr>
      </w:pPr>
      <w:r>
        <w:rPr>
          <w:rFonts w:ascii="Arial" w:cs="Arial" w:eastAsia="Arial" w:hAnsi="Arial"/>
          <w:sz w:val="16"/>
          <w:szCs w:val="16"/>
          <w:color w:val="auto"/>
        </w:rPr>
        <w:t>The Administrative Agent shall notify Holdings, the Borrower and the Lenders of the Revolving Facilities Amendment Effective Date, and such notice shall be conclusive and binding.</w:t>
      </w:r>
    </w:p>
    <w:p>
      <w:pPr>
        <w:spacing w:after="0" w:line="157" w:lineRule="exact"/>
        <w:rPr>
          <w:sz w:val="20"/>
          <w:szCs w:val="20"/>
          <w:color w:val="auto"/>
        </w:rPr>
      </w:pPr>
    </w:p>
    <w:p>
      <w:pPr>
        <w:jc w:val="both"/>
        <w:ind w:left="880" w:firstLine="1044"/>
        <w:spacing w:after="0" w:line="297"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b w:val="1"/>
          <w:bCs w:val="1"/>
          <w:i w:val="1"/>
          <w:iCs w:val="1"/>
          <w:color w:val="auto"/>
        </w:rPr>
        <w:t>Representations and Warranties</w:t>
      </w:r>
      <w:r>
        <w:rPr>
          <w:rFonts w:ascii="Arial" w:cs="Arial" w:eastAsia="Arial" w:hAnsi="Arial"/>
          <w:sz w:val="14"/>
          <w:szCs w:val="14"/>
          <w:color w:val="auto"/>
        </w:rPr>
        <w:t xml:space="preserve">. The Borrower hereby represents and warrants that, after giving effect to this Amendment, (i) no Event of Default has occurred and is continuing and (ii) the representations and warranties of each Loan Party set forth in the First Lien Loan Documents are true and correct in all material respects on and as of the Revolving Facilities Amendment Effective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each case, to the extent that such representations and warranties specifically refer to an earlier date, they are true and correct in all material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647" w:right="479" w:bottom="1440" w:gutter="0" w:footer="0" w:header="0"/>
        </w:sectPr>
      </w:pPr>
    </w:p>
    <w:bookmarkStart w:id="49" w:name="page50"/>
    <w:bookmarkEnd w:id="49"/>
    <w:p>
      <w:pPr>
        <w:ind w:left="11040"/>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216" w:lineRule="exact"/>
        <w:rPr>
          <w:sz w:val="20"/>
          <w:szCs w:val="20"/>
          <w:color w:val="auto"/>
        </w:rPr>
      </w:pPr>
    </w:p>
    <w:p>
      <w:pPr>
        <w:jc w:val="both"/>
        <w:ind w:left="880"/>
        <w:spacing w:after="0" w:line="267"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each case, any representation and warranty that is qualified as to “materiality,” “Material Adverse Effect” or similar language is true and correct in all respects on the Revolving Facilities Amendment Effective Date or on such earlier date, as the case may be.</w:t>
      </w:r>
    </w:p>
    <w:p>
      <w:pPr>
        <w:spacing w:after="0" w:line="167" w:lineRule="exact"/>
        <w:rPr>
          <w:sz w:val="20"/>
          <w:szCs w:val="20"/>
          <w:color w:val="auto"/>
        </w:rPr>
      </w:pPr>
    </w:p>
    <w:p>
      <w:pPr>
        <w:jc w:val="both"/>
        <w:ind w:left="880" w:firstLine="522"/>
        <w:spacing w:after="0" w:line="288"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b w:val="1"/>
          <w:bCs w:val="1"/>
          <w:i w:val="1"/>
          <w:iCs w:val="1"/>
          <w:color w:val="auto"/>
        </w:rPr>
        <w:t>Reaffirmation of Guarantees and Security Interests</w:t>
      </w:r>
      <w:r>
        <w:rPr>
          <w:rFonts w:ascii="Arial" w:cs="Arial" w:eastAsia="Arial" w:hAnsi="Arial"/>
          <w:sz w:val="14"/>
          <w:szCs w:val="14"/>
          <w:color w:val="auto"/>
        </w:rPr>
        <w:t>. Each Loan Party hereby acknowledges its receipt of a copy of this Amendment and its review of the terms and conditions hereof and consents to the terms and conditions of this Amendment and the transactions contemplated hereby. Each Loan Party hereby (a) affirms and confirms its guarantees, pledges, grants and other undertakings under the Credit Agreement and the other First Lien Loan Documents to which it is a party,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 and (c) acknowledges that from and after the date hereof, all Revolving Loans from time to time outstanding shall be deemed to be Secured Obligations.</w:t>
      </w:r>
    </w:p>
    <w:p>
      <w:pPr>
        <w:spacing w:after="0" w:line="147" w:lineRule="exact"/>
        <w:rPr>
          <w:sz w:val="20"/>
          <w:szCs w:val="20"/>
          <w:color w:val="auto"/>
        </w:rPr>
      </w:pPr>
    </w:p>
    <w:p>
      <w:pPr>
        <w:jc w:val="both"/>
        <w:ind w:left="880" w:firstLine="1044"/>
        <w:spacing w:after="0" w:line="25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b w:val="1"/>
          <w:bCs w:val="1"/>
          <w:i w:val="1"/>
          <w:iCs w:val="1"/>
          <w:color w:val="auto"/>
        </w:rPr>
        <w:t>Expenses; Indemnity; Damage Waiver</w:t>
      </w:r>
      <w:r>
        <w:rPr>
          <w:rFonts w:ascii="Arial" w:cs="Arial" w:eastAsia="Arial" w:hAnsi="Arial"/>
          <w:sz w:val="16"/>
          <w:szCs w:val="16"/>
          <w:color w:val="auto"/>
        </w:rPr>
        <w:t xml:space="preserve">. Sections 9.03(a), (b), (d), (e), (f) and (g) of the Credit Agreement are hereby incorporated,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by reference as if such Sections were set forth in full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else therein, such expense reimbursement provisions of Section 9.03(a) of the Credit Agreement shall only apply as provided hereinabove if the Revolving Facilities Amendment Effective Date occurs.</w:t>
      </w:r>
    </w:p>
    <w:p>
      <w:pPr>
        <w:spacing w:after="0" w:line="169"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b w:val="1"/>
          <w:bCs w:val="1"/>
          <w:i w:val="1"/>
          <w:iCs w:val="1"/>
          <w:color w:val="auto"/>
        </w:rPr>
        <w:t>Miscellaneous</w:t>
      </w:r>
      <w:r>
        <w:rPr>
          <w:rFonts w:ascii="Arial" w:cs="Arial" w:eastAsia="Arial" w:hAnsi="Arial"/>
          <w:sz w:val="16"/>
          <w:szCs w:val="16"/>
          <w:color w:val="auto"/>
        </w:rPr>
        <w:t>.</w:t>
      </w:r>
    </w:p>
    <w:p>
      <w:pPr>
        <w:spacing w:after="0" w:line="208" w:lineRule="exact"/>
        <w:rPr>
          <w:sz w:val="20"/>
          <w:szCs w:val="20"/>
          <w:color w:val="auto"/>
        </w:rPr>
      </w:pPr>
    </w:p>
    <w:p>
      <w:pPr>
        <w:jc w:val="both"/>
        <w:ind w:left="2320" w:firstLine="516"/>
        <w:spacing w:after="0" w:line="254" w:lineRule="auto"/>
        <w:tabs>
          <w:tab w:leader="none" w:pos="3139"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Recordation of Revolving Loans and Revolving Commitments</w:t>
      </w:r>
      <w:r>
        <w:rPr>
          <w:rFonts w:ascii="Arial" w:cs="Arial" w:eastAsia="Arial" w:hAnsi="Arial"/>
          <w:sz w:val="16"/>
          <w:szCs w:val="16"/>
          <w:color w:val="auto"/>
        </w:rPr>
        <w:t>. Upon execution and delivery hereof, the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 will record in the Register the Revolving Loans that are Extended Revolving Loans and the Revolving Commitments that are Extended Revolving Commitments (all as set forth on Schedule I hereto).</w:t>
      </w:r>
    </w:p>
    <w:p>
      <w:pPr>
        <w:spacing w:after="0" w:line="166" w:lineRule="exact"/>
        <w:rPr>
          <w:rFonts w:ascii="Arial" w:cs="Arial" w:eastAsia="Arial" w:hAnsi="Arial"/>
          <w:sz w:val="16"/>
          <w:szCs w:val="16"/>
          <w:color w:val="auto"/>
        </w:rPr>
      </w:pPr>
    </w:p>
    <w:p>
      <w:pPr>
        <w:ind w:left="2320" w:firstLine="1039"/>
        <w:spacing w:after="0" w:line="267" w:lineRule="auto"/>
        <w:tabs>
          <w:tab w:leader="none" w:pos="3659"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Modification and Waiver</w:t>
      </w:r>
      <w:r>
        <w:rPr>
          <w:rFonts w:ascii="Arial" w:cs="Arial" w:eastAsia="Arial" w:hAnsi="Arial"/>
          <w:sz w:val="16"/>
          <w:szCs w:val="16"/>
          <w:color w:val="auto"/>
        </w:rPr>
        <w:t>. This Amendment may not be amended nor may any provision hereof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waived except pursuant to a writing signed by each of the parties hereto.</w:t>
      </w:r>
    </w:p>
    <w:p>
      <w:pPr>
        <w:spacing w:after="0" w:line="163" w:lineRule="exact"/>
        <w:rPr>
          <w:rFonts w:ascii="Arial" w:cs="Arial" w:eastAsia="Arial" w:hAnsi="Arial"/>
          <w:sz w:val="16"/>
          <w:szCs w:val="16"/>
          <w:color w:val="auto"/>
        </w:rPr>
      </w:pPr>
    </w:p>
    <w:p>
      <w:pPr>
        <w:jc w:val="both"/>
        <w:ind w:left="2320" w:firstLine="1039"/>
        <w:spacing w:after="0" w:line="310" w:lineRule="auto"/>
        <w:tabs>
          <w:tab w:leader="none" w:pos="3661"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Entire Agreement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Amendment, the Credit Agreement (as amended hereby) and the other First Lien Loan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31" w:lineRule="exact"/>
        <w:rPr>
          <w:rFonts w:ascii="Arial" w:cs="Arial" w:eastAsia="Arial" w:hAnsi="Arial"/>
          <w:sz w:val="14"/>
          <w:szCs w:val="14"/>
          <w:color w:val="auto"/>
        </w:rPr>
      </w:pPr>
    </w:p>
    <w:p>
      <w:pPr>
        <w:ind w:left="3660" w:hanging="301"/>
        <w:spacing w:after="0"/>
        <w:tabs>
          <w:tab w:leader="none" w:pos="3660"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Governing Law. </w:t>
      </w:r>
      <w:r>
        <w:rPr>
          <w:rFonts w:ascii="Arial" w:cs="Arial" w:eastAsia="Arial" w:hAnsi="Arial"/>
          <w:sz w:val="14"/>
          <w:szCs w:val="14"/>
          <w:color w:val="auto"/>
        </w:rPr>
        <w:t>This Amendment shall be construed in accordance with and governed by the laws of the State of</w:t>
      </w:r>
    </w:p>
    <w:p>
      <w:pPr>
        <w:spacing w:after="0" w:line="38" w:lineRule="exact"/>
        <w:rPr>
          <w:rFonts w:ascii="Arial" w:cs="Arial" w:eastAsia="Arial" w:hAnsi="Arial"/>
          <w:sz w:val="14"/>
          <w:szCs w:val="14"/>
          <w:color w:val="auto"/>
        </w:rPr>
      </w:pPr>
    </w:p>
    <w:p>
      <w:pPr>
        <w:ind w:left="2320"/>
        <w:spacing w:after="0"/>
        <w:rPr>
          <w:rFonts w:ascii="Arial" w:cs="Arial" w:eastAsia="Arial" w:hAnsi="Arial"/>
          <w:sz w:val="14"/>
          <w:szCs w:val="14"/>
          <w:color w:val="auto"/>
        </w:rPr>
      </w:pPr>
      <w:r>
        <w:rPr>
          <w:rFonts w:ascii="Arial" w:cs="Arial" w:eastAsia="Arial" w:hAnsi="Arial"/>
          <w:sz w:val="16"/>
          <w:szCs w:val="16"/>
          <w:color w:val="auto"/>
        </w:rPr>
        <w:t>New York.</w:t>
      </w:r>
    </w:p>
    <w:p>
      <w:pPr>
        <w:spacing w:after="0" w:line="193" w:lineRule="exact"/>
        <w:rPr>
          <w:rFonts w:ascii="Arial" w:cs="Arial" w:eastAsia="Arial" w:hAnsi="Arial"/>
          <w:sz w:val="14"/>
          <w:szCs w:val="14"/>
          <w:color w:val="auto"/>
        </w:rPr>
      </w:pPr>
    </w:p>
    <w:p>
      <w:pPr>
        <w:jc w:val="both"/>
        <w:ind w:left="2320" w:firstLine="1039"/>
        <w:spacing w:after="0" w:line="268" w:lineRule="auto"/>
        <w:tabs>
          <w:tab w:leader="none" w:pos="3661" w:val="left"/>
        </w:tabs>
        <w:numPr>
          <w:ilvl w:val="1"/>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Jurisdiction. </w:t>
      </w:r>
      <w:r>
        <w:rPr>
          <w:rFonts w:ascii="Arial" w:cs="Arial" w:eastAsia="Arial" w:hAnsi="Arial"/>
          <w:sz w:val="15"/>
          <w:szCs w:val="15"/>
          <w:color w:val="auto"/>
        </w:rPr>
        <w:t>Each party hereto hereby irrevocably and unconditionally submits, for itself and its property,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647" w:right="479" w:bottom="1440" w:gutter="0" w:footer="0" w:header="0"/>
        </w:sectPr>
      </w:pPr>
    </w:p>
    <w:bookmarkStart w:id="50" w:name="page51"/>
    <w:bookmarkEnd w:id="50"/>
    <w:p>
      <w:pPr>
        <w:ind w:left="11040"/>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16" w:lineRule="exact"/>
        <w:rPr>
          <w:sz w:val="20"/>
          <w:szCs w:val="20"/>
          <w:color w:val="auto"/>
        </w:rPr>
      </w:pPr>
    </w:p>
    <w:p>
      <w:pPr>
        <w:jc w:val="both"/>
        <w:ind w:left="2320"/>
        <w:spacing w:after="0" w:line="268" w:lineRule="auto"/>
        <w:rPr>
          <w:sz w:val="20"/>
          <w:szCs w:val="20"/>
          <w:color w:val="auto"/>
        </w:rPr>
      </w:pPr>
      <w:r>
        <w:rPr>
          <w:rFonts w:ascii="Arial" w:cs="Arial" w:eastAsia="Arial" w:hAnsi="Arial"/>
          <w:sz w:val="15"/>
          <w:szCs w:val="15"/>
          <w:color w:val="auto"/>
        </w:rPr>
        <w:t>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any Extending Revolving Lender or any Consenting Issuing Bank may otherwise have to bring any action or proceeding relating to this Amendment against Holdings or the Borrower or their respective properties in the courts of any jurisdiction.</w:t>
      </w:r>
    </w:p>
    <w:p>
      <w:pPr>
        <w:spacing w:after="0" w:line="165" w:lineRule="exact"/>
        <w:rPr>
          <w:sz w:val="20"/>
          <w:szCs w:val="20"/>
          <w:color w:val="auto"/>
        </w:rPr>
      </w:pPr>
    </w:p>
    <w:p>
      <w:pPr>
        <w:jc w:val="both"/>
        <w:ind w:left="2320" w:firstLine="1039"/>
        <w:spacing w:after="0" w:line="249" w:lineRule="auto"/>
        <w:tabs>
          <w:tab w:leader="none" w:pos="366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Waiver of Objection to Venue and Forum Non Conveniens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party hereto hereby irrevocably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unconditionally waives, to the fullest extent it may legally and effectively do so, any objection that it may now or hereafter have to the laying of venue of any suit, action or proceeding arising out of or relating to this Amendment in any court referred to in Section 10(e) above. Each of the parties hereto hereby irrevocably waives, to the fullest extent permitted by law, the defense of an inconvenient forum to the maintenance of such action or proceeding in any such court.</w:t>
      </w:r>
    </w:p>
    <w:p>
      <w:pPr>
        <w:spacing w:after="0" w:line="170" w:lineRule="exact"/>
        <w:rPr>
          <w:rFonts w:ascii="Arial" w:cs="Arial" w:eastAsia="Arial" w:hAnsi="Arial"/>
          <w:sz w:val="16"/>
          <w:szCs w:val="16"/>
          <w:color w:val="auto"/>
        </w:rPr>
      </w:pPr>
    </w:p>
    <w:p>
      <w:pPr>
        <w:jc w:val="both"/>
        <w:ind w:left="2320" w:firstLine="1039"/>
        <w:spacing w:after="0" w:line="254" w:lineRule="auto"/>
        <w:tabs>
          <w:tab w:leader="none" w:pos="3669"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Service of Process. </w:t>
      </w:r>
      <w:r>
        <w:rPr>
          <w:rFonts w:ascii="Arial" w:cs="Arial" w:eastAsia="Arial" w:hAnsi="Arial"/>
          <w:sz w:val="16"/>
          <w:szCs w:val="16"/>
          <w:color w:val="auto"/>
        </w:rPr>
        <w:t>Each party to this Amendment irrevocably consents to service of process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manner provided for notices in Section 9.01 of the Credit Agreement. Nothing in any First Lien Loan Document will affect the right of any party to this Amendment to serve process in any other manner permitted by law.</w:t>
      </w:r>
    </w:p>
    <w:p>
      <w:pPr>
        <w:spacing w:after="0" w:line="173" w:lineRule="exact"/>
        <w:rPr>
          <w:rFonts w:ascii="Arial" w:cs="Arial" w:eastAsia="Arial" w:hAnsi="Arial"/>
          <w:sz w:val="16"/>
          <w:szCs w:val="16"/>
          <w:color w:val="auto"/>
        </w:rPr>
      </w:pPr>
    </w:p>
    <w:p>
      <w:pPr>
        <w:jc w:val="both"/>
        <w:ind w:left="2320" w:firstLine="1039"/>
        <w:spacing w:after="0" w:line="245" w:lineRule="auto"/>
        <w:tabs>
          <w:tab w:leader="none" w:pos="36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WAIVER OF JURY TRIAL</w:t>
      </w:r>
      <w:r>
        <w:rPr>
          <w:rFonts w:ascii="Arial" w:cs="Arial" w:eastAsia="Arial" w:hAnsi="Arial"/>
          <w:sz w:val="16"/>
          <w:szCs w:val="16"/>
          <w:b w:val="1"/>
          <w:bCs w:val="1"/>
          <w:color w:val="auto"/>
        </w:rPr>
        <w:t>. EACH PARTY HERETO HEREBY WAIVES,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74" w:lineRule="exact"/>
        <w:rPr>
          <w:rFonts w:ascii="Arial" w:cs="Arial" w:eastAsia="Arial" w:hAnsi="Arial"/>
          <w:sz w:val="16"/>
          <w:szCs w:val="16"/>
          <w:b w:val="1"/>
          <w:bCs w:val="1"/>
          <w:color w:val="auto"/>
        </w:rPr>
      </w:pPr>
    </w:p>
    <w:p>
      <w:pPr>
        <w:jc w:val="both"/>
        <w:ind w:left="2320" w:firstLine="1039"/>
        <w:spacing w:after="0" w:line="247" w:lineRule="auto"/>
        <w:tabs>
          <w:tab w:leader="none" w:pos="3669"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Severability</w:t>
      </w:r>
      <w:r>
        <w:rPr>
          <w:rFonts w:ascii="Arial" w:cs="Arial" w:eastAsia="Arial" w:hAnsi="Arial"/>
          <w:sz w:val="16"/>
          <w:szCs w:val="16"/>
          <w:color w:val="auto"/>
        </w:rPr>
        <w:t>. Any term or provision of this Amendment which is invalid or unenforceable in any jurisdiction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647" w:right="479" w:bottom="1440" w:gutter="0" w:footer="0" w:header="0"/>
        </w:sectPr>
      </w:pPr>
    </w:p>
    <w:bookmarkStart w:id="51" w:name="page52"/>
    <w:bookmarkEnd w:id="51"/>
    <w:p>
      <w:pPr>
        <w:ind w:left="11040"/>
        <w:spacing w:after="0"/>
        <w:rPr>
          <w:sz w:val="20"/>
          <w:szCs w:val="20"/>
          <w:color w:val="auto"/>
        </w:rPr>
      </w:pPr>
      <w:r>
        <w:rPr>
          <w:rFonts w:ascii="Arial" w:cs="Arial" w:eastAsia="Arial" w:hAnsi="Arial"/>
          <w:sz w:val="14"/>
          <w:szCs w:val="14"/>
          <w:color w:val="auto"/>
        </w:rPr>
        <w:t>7</w:t>
      </w:r>
    </w:p>
    <w:p>
      <w:pPr>
        <w:spacing w:after="0" w:line="220" w:lineRule="exact"/>
        <w:rPr>
          <w:sz w:val="20"/>
          <w:szCs w:val="20"/>
          <w:color w:val="auto"/>
        </w:rPr>
      </w:pPr>
    </w:p>
    <w:p>
      <w:pPr>
        <w:jc w:val="both"/>
        <w:ind w:left="2320" w:firstLine="1039"/>
        <w:spacing w:after="0" w:line="279" w:lineRule="auto"/>
        <w:tabs>
          <w:tab w:leader="none" w:pos="3660"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Counterparts</w:t>
      </w:r>
      <w:r>
        <w:rPr>
          <w:rFonts w:ascii="Arial" w:cs="Arial" w:eastAsia="Arial" w:hAnsi="Arial"/>
          <w:sz w:val="15"/>
          <w:szCs w:val="15"/>
          <w:color w:val="auto"/>
        </w:rPr>
        <w:t>. This Amendment may be executed in counterparts, each of which shall be deemed to be an original,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but all of which shall constitute one and the same agreement. Delivery of an executed counterpart of a signature page of this Amendment by facsimile or electronic transmission shall be as effective as delivery of a manually executed counterpart hereof.</w:t>
      </w:r>
    </w:p>
    <w:p>
      <w:pPr>
        <w:spacing w:after="0" w:line="149" w:lineRule="exact"/>
        <w:rPr>
          <w:rFonts w:ascii="Arial" w:cs="Arial" w:eastAsia="Arial" w:hAnsi="Arial"/>
          <w:sz w:val="15"/>
          <w:szCs w:val="15"/>
          <w:color w:val="auto"/>
        </w:rPr>
      </w:pPr>
    </w:p>
    <w:p>
      <w:pPr>
        <w:ind w:left="3660" w:hanging="301"/>
        <w:spacing w:after="0"/>
        <w:tabs>
          <w:tab w:leader="none" w:pos="3660" w:val="left"/>
        </w:tabs>
        <w:numPr>
          <w:ilvl w:val="0"/>
          <w:numId w:val="39"/>
        </w:numPr>
        <w:rPr>
          <w:rFonts w:ascii="Arial" w:cs="Arial" w:eastAsia="Arial" w:hAnsi="Arial"/>
          <w:sz w:val="14"/>
          <w:szCs w:val="14"/>
          <w:color w:val="auto"/>
        </w:rPr>
      </w:pPr>
      <w:r>
        <w:rPr>
          <w:rFonts w:ascii="Arial" w:cs="Arial" w:eastAsia="Arial" w:hAnsi="Arial"/>
          <w:sz w:val="14"/>
          <w:szCs w:val="14"/>
          <w:b w:val="1"/>
          <w:bCs w:val="1"/>
          <w:i w:val="1"/>
          <w:iCs w:val="1"/>
          <w:color w:val="auto"/>
        </w:rPr>
        <w:t>Headings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headings of this Amendment are for purposes of reference only and shall not limit or otherwise affect</w:t>
      </w:r>
    </w:p>
    <w:p>
      <w:pPr>
        <w:spacing w:after="0" w:line="38" w:lineRule="exact"/>
        <w:rPr>
          <w:rFonts w:ascii="Arial" w:cs="Arial" w:eastAsia="Arial" w:hAnsi="Arial"/>
          <w:sz w:val="14"/>
          <w:szCs w:val="14"/>
          <w:color w:val="auto"/>
        </w:rPr>
      </w:pPr>
    </w:p>
    <w:p>
      <w:pPr>
        <w:ind w:left="2320"/>
        <w:spacing w:after="0"/>
        <w:rPr>
          <w:rFonts w:ascii="Arial" w:cs="Arial" w:eastAsia="Arial" w:hAnsi="Arial"/>
          <w:sz w:val="14"/>
          <w:szCs w:val="14"/>
          <w:color w:val="auto"/>
        </w:rPr>
      </w:pPr>
      <w:r>
        <w:rPr>
          <w:rFonts w:ascii="Arial" w:cs="Arial" w:eastAsia="Arial" w:hAnsi="Arial"/>
          <w:sz w:val="16"/>
          <w:szCs w:val="16"/>
          <w:color w:val="auto"/>
        </w:rPr>
        <w:t>the meaning hereof.</w:t>
      </w:r>
    </w:p>
    <w:p>
      <w:pPr>
        <w:spacing w:after="0" w:line="193" w:lineRule="exact"/>
        <w:rPr>
          <w:rFonts w:ascii="Arial" w:cs="Arial" w:eastAsia="Arial" w:hAnsi="Arial"/>
          <w:sz w:val="14"/>
          <w:szCs w:val="14"/>
          <w:color w:val="auto"/>
        </w:rPr>
      </w:pPr>
    </w:p>
    <w:p>
      <w:pPr>
        <w:jc w:val="both"/>
        <w:ind w:left="2320" w:firstLine="1039"/>
        <w:spacing w:after="0" w:line="247" w:lineRule="auto"/>
        <w:tabs>
          <w:tab w:leader="none" w:pos="3669"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Continued Effectiveness</w:t>
      </w:r>
      <w:r>
        <w:rPr>
          <w:rFonts w:ascii="Arial" w:cs="Arial" w:eastAsia="Arial" w:hAnsi="Arial"/>
          <w:sz w:val="16"/>
          <w:szCs w:val="16"/>
          <w:color w:val="auto"/>
        </w:rPr>
        <w:t>. Notwithstanding anything contained herein, the terms of this Amendment are not intended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First Lien Loan Documents remain in full force and effect.</w:t>
      </w:r>
    </w:p>
    <w:p>
      <w:pPr>
        <w:spacing w:after="0" w:line="184" w:lineRule="exact"/>
        <w:rPr>
          <w:rFonts w:ascii="Arial" w:cs="Arial" w:eastAsia="Arial" w:hAnsi="Arial"/>
          <w:sz w:val="16"/>
          <w:szCs w:val="16"/>
          <w:color w:val="auto"/>
        </w:rPr>
      </w:pPr>
    </w:p>
    <w:p>
      <w:pPr>
        <w:jc w:val="both"/>
        <w:ind w:left="2320" w:firstLine="1039"/>
        <w:spacing w:after="0" w:line="259" w:lineRule="auto"/>
        <w:tabs>
          <w:tab w:leader="none" w:pos="3669"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Electronic Signatures. </w:t>
      </w:r>
      <w:r>
        <w:rPr>
          <w:rFonts w:ascii="Arial" w:cs="Arial" w:eastAsia="Arial" w:hAnsi="Arial"/>
          <w:sz w:val="15"/>
          <w:szCs w:val="15"/>
          <w:color w:val="auto"/>
        </w:rPr>
        <w:t>Delivery of an executed counterpart of a signature page of this Amendment, that is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(including the Extending Revolving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(including any Extending Revolving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Extending Revolving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593" w:right="479" w:bottom="1440" w:gutter="0" w:footer="0" w:header="0"/>
        </w:sectPr>
      </w:pPr>
    </w:p>
    <w:bookmarkStart w:id="52" w:name="page53"/>
    <w:bookmarkEnd w:id="52"/>
    <w:p>
      <w:pPr>
        <w:ind w:left="11040"/>
        <w:spacing w:after="0"/>
        <w:rPr>
          <w:sz w:val="20"/>
          <w:szCs w:val="20"/>
          <w:color w:val="auto"/>
        </w:rPr>
      </w:pPr>
      <w:r>
        <w:rPr>
          <w:rFonts w:ascii="Arial" w:cs="Arial" w:eastAsia="Arial" w:hAnsi="Arial"/>
          <w:sz w:val="14"/>
          <w:szCs w:val="14"/>
          <w:color w:val="auto"/>
        </w:rPr>
        <w:t>8</w:t>
      </w:r>
    </w:p>
    <w:p>
      <w:pPr>
        <w:spacing w:after="0" w:line="200" w:lineRule="exact"/>
        <w:rPr>
          <w:sz w:val="20"/>
          <w:szCs w:val="20"/>
          <w:color w:val="auto"/>
        </w:rPr>
      </w:pPr>
    </w:p>
    <w:p>
      <w:pPr>
        <w:spacing w:after="0" w:line="216" w:lineRule="exact"/>
        <w:rPr>
          <w:sz w:val="20"/>
          <w:szCs w:val="20"/>
          <w:color w:val="auto"/>
        </w:rPr>
      </w:pPr>
    </w:p>
    <w:p>
      <w:pPr>
        <w:jc w:val="both"/>
        <w:ind w:left="2320"/>
        <w:spacing w:after="0" w:line="288" w:lineRule="auto"/>
        <w:rPr>
          <w:sz w:val="20"/>
          <w:szCs w:val="20"/>
          <w:color w:val="auto"/>
        </w:rPr>
      </w:pPr>
      <w:r>
        <w:rPr>
          <w:rFonts w:ascii="Arial" w:cs="Arial" w:eastAsia="Arial" w:hAnsi="Arial"/>
          <w:sz w:val="14"/>
          <w:szCs w:val="14"/>
          <w:color w:val="auto"/>
        </w:rPr>
        <w:t>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Arial" w:cs="Arial" w:eastAsia="Arial" w:hAnsi="Arial"/>
          <w:sz w:val="14"/>
          <w:szCs w:val="14"/>
          <w:u w:val="single" w:color="auto"/>
          <w:color w:val="auto"/>
        </w:rPr>
        <w:t>Electronic Signature</w:t>
      </w:r>
      <w:r>
        <w:rPr>
          <w:rFonts w:ascii="Arial" w:cs="Arial" w:eastAsia="Arial" w:hAnsi="Arial"/>
          <w:sz w:val="14"/>
          <w:szCs w:val="14"/>
          <w:color w:val="auto"/>
        </w:rPr>
        <w:t>” means an electronic sound, symbol, or process attached to, or associated with, a contract or other record and adopted by a Person with the intent to sign, authenticate or accept such contract or record.</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this page intentionally left blank</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#4829-8936-7265v4</w:t>
      </w:r>
    </w:p>
    <w:p>
      <w:pPr>
        <w:sectPr>
          <w:pgSz w:w="11900" w:h="16838" w:orient="portrait"/>
          <w:cols w:equalWidth="0" w:num="1">
            <w:col w:w="11120"/>
          </w:cols>
          <w:pgMar w:left="300" w:top="647" w:right="479" w:bottom="1440" w:gutter="0" w:footer="0" w:header="0"/>
        </w:sectPr>
      </w:pPr>
    </w:p>
    <w:bookmarkStart w:id="53" w:name="page54"/>
    <w:bookmarkEnd w:id="53"/>
    <w:p>
      <w:pPr>
        <w:ind w:right="300" w:firstLine="522"/>
        <w:spacing w:after="0" w:line="267" w:lineRule="auto"/>
        <w:rPr>
          <w:sz w:val="20"/>
          <w:szCs w:val="20"/>
          <w:color w:val="auto"/>
        </w:rPr>
      </w:pPr>
      <w:r>
        <w:rPr>
          <w:rFonts w:ascii="Arial" w:cs="Arial" w:eastAsia="Arial" w:hAnsi="Arial"/>
          <w:sz w:val="16"/>
          <w:szCs w:val="16"/>
          <w:color w:val="231F20"/>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SOTERA HEALTH HOLDINGS, LLC,</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as Borrower</w:t>
      </w:r>
    </w:p>
    <w:p>
      <w:pPr>
        <w:spacing w:after="0" w:line="31" w:lineRule="exact"/>
        <w:rPr>
          <w:sz w:val="20"/>
          <w:szCs w:val="20"/>
          <w:color w:val="auto"/>
        </w:rPr>
      </w:pPr>
    </w:p>
    <w:p>
      <w:pPr>
        <w:ind w:left="6020"/>
        <w:spacing w:after="0"/>
        <w:tabs>
          <w:tab w:leader="none" w:pos="9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14605</wp:posOffset>
            </wp:positionV>
            <wp:extent cx="257937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579370" cy="6985"/>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Scott J. Leffler</w:t>
      </w:r>
    </w:p>
    <w:p>
      <w:pPr>
        <w:spacing w:after="0" w:line="31"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Title:</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SOTERA HEALTH COMPANY</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as Holdings</w:t>
      </w:r>
    </w:p>
    <w:p>
      <w:pPr>
        <w:spacing w:after="0" w:line="31" w:lineRule="exact"/>
        <w:rPr>
          <w:sz w:val="20"/>
          <w:szCs w:val="20"/>
          <w:color w:val="auto"/>
        </w:rPr>
      </w:pPr>
    </w:p>
    <w:p>
      <w:pPr>
        <w:ind w:left="6020"/>
        <w:spacing w:after="0"/>
        <w:tabs>
          <w:tab w:leader="none" w:pos="9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14605</wp:posOffset>
            </wp:positionV>
            <wp:extent cx="257937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579370" cy="6985"/>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Scott J. Leffler</w:t>
      </w:r>
    </w:p>
    <w:p>
      <w:pPr>
        <w:spacing w:after="0" w:line="31"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Title:</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200"/>
          </w:cols>
          <w:pgMar w:left="1360" w:top="1169" w:right="339" w:bottom="1440" w:gutter="0" w:footer="0" w:header="0"/>
        </w:sectPr>
      </w:pPr>
    </w:p>
    <w:bookmarkStart w:id="54" w:name="page55"/>
    <w:bookmarkEnd w:id="54"/>
    <w:p>
      <w:pPr>
        <w:ind w:left="4520"/>
        <w:spacing w:after="0" w:line="267" w:lineRule="auto"/>
        <w:rPr>
          <w:sz w:val="20"/>
          <w:szCs w:val="20"/>
          <w:color w:val="auto"/>
        </w:rPr>
      </w:pPr>
      <w:r>
        <w:rPr>
          <w:rFonts w:ascii="Arial" w:cs="Arial" w:eastAsia="Arial" w:hAnsi="Arial"/>
          <w:sz w:val="16"/>
          <w:szCs w:val="16"/>
          <w:color w:val="auto"/>
        </w:rPr>
        <w:t>JPMORGAN CHASE BANK N.A., as Administrative Agent, Extending Revolving Lender and Consenting Issuing Bank</w:t>
      </w:r>
    </w:p>
    <w:p>
      <w:pPr>
        <w:spacing w:after="0" w:line="4" w:lineRule="exact"/>
        <w:rPr>
          <w:sz w:val="20"/>
          <w:szCs w:val="20"/>
          <w:color w:val="auto"/>
        </w:rPr>
      </w:pPr>
    </w:p>
    <w:p>
      <w:pPr>
        <w:ind w:left="4520"/>
        <w:spacing w:after="0"/>
        <w:tabs>
          <w:tab w:leader="none" w:pos="5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Dawn Lee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23495</wp:posOffset>
            </wp:positionV>
            <wp:extent cx="30543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054350" cy="6985"/>
                    </a:xfrm>
                    <a:prstGeom prst="rect">
                      <a:avLst/>
                    </a:prstGeom>
                    <a:noFill/>
                  </pic:spPr>
                </pic:pic>
              </a:graphicData>
            </a:graphic>
          </wp:anchor>
        </w:drawing>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Name: Dawn Lee Lum</w:t>
      </w:r>
    </w:p>
    <w:p>
      <w:pPr>
        <w:spacing w:after="0" w:line="32" w:lineRule="exact"/>
        <w:rPr>
          <w:sz w:val="20"/>
          <w:szCs w:val="20"/>
          <w:color w:val="auto"/>
        </w:rPr>
      </w:pPr>
    </w:p>
    <w:p>
      <w:pPr>
        <w:ind w:left="5340"/>
        <w:spacing w:after="0"/>
        <w:tabs>
          <w:tab w:leader="none" w:pos="58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860"/>
          </w:cols>
          <w:pgMar w:left="1440" w:top="1213" w:right="599" w:bottom="1440" w:gutter="0" w:footer="0" w:header="0"/>
        </w:sectPr>
      </w:pPr>
    </w:p>
    <w:bookmarkStart w:id="55" w:name="page56"/>
    <w:bookmarkEnd w:id="55"/>
    <w:p>
      <w:pPr>
        <w:ind w:left="4800"/>
        <w:spacing w:after="0"/>
        <w:rPr>
          <w:sz w:val="20"/>
          <w:szCs w:val="20"/>
          <w:color w:val="auto"/>
        </w:rPr>
      </w:pPr>
      <w:r>
        <w:rPr>
          <w:rFonts w:ascii="Arial" w:cs="Arial" w:eastAsia="Arial" w:hAnsi="Arial"/>
          <w:sz w:val="16"/>
          <w:szCs w:val="16"/>
          <w:color w:val="auto"/>
        </w:rPr>
        <w:t>CREDIT SUISSE AG, CAYMAN ISLANDS</w:t>
      </w:r>
    </w:p>
    <w:p>
      <w:pPr>
        <w:spacing w:after="0" w:line="4"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BRANCH, as Extending Revolving Lender and Consenting Issuing Bank</w:t>
      </w:r>
    </w:p>
    <w:p>
      <w:pPr>
        <w:spacing w:after="0" w:line="200" w:lineRule="exact"/>
        <w:rPr>
          <w:sz w:val="20"/>
          <w:szCs w:val="20"/>
          <w:color w:val="auto"/>
        </w:rPr>
      </w:pPr>
    </w:p>
    <w:p>
      <w:pPr>
        <w:spacing w:after="0" w:line="245" w:lineRule="exact"/>
        <w:rPr>
          <w:sz w:val="20"/>
          <w:szCs w:val="20"/>
          <w:color w:val="auto"/>
        </w:rPr>
      </w:pPr>
    </w:p>
    <w:p>
      <w:pPr>
        <w:ind w:left="480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Whitney Gaston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23495</wp:posOffset>
            </wp:positionV>
            <wp:extent cx="29019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Whitney Gaston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15" w:lineRule="exact"/>
        <w:rPr>
          <w:sz w:val="20"/>
          <w:szCs w:val="20"/>
          <w:color w:val="auto"/>
        </w:rPr>
      </w:pPr>
    </w:p>
    <w:p>
      <w:pPr>
        <w:ind w:left="478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23495</wp:posOffset>
            </wp:positionV>
            <wp:extent cx="290893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908935" cy="6985"/>
                    </a:xfrm>
                    <a:prstGeom prst="rect">
                      <a:avLst/>
                    </a:prstGeom>
                    <a:noFill/>
                  </pic:spPr>
                </pic:pic>
              </a:graphicData>
            </a:graphic>
          </wp:anchor>
        </w:drawing>
      </w:r>
    </w:p>
    <w:p>
      <w:pPr>
        <w:spacing w:after="0" w:line="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Andrew Griffin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480"/>
          </w:cols>
          <w:pgMar w:left="1440" w:top="1213" w:right="979" w:bottom="1440" w:gutter="0" w:footer="0" w:header="0"/>
        </w:sectPr>
      </w:pPr>
    </w:p>
    <w:bookmarkStart w:id="56" w:name="page57"/>
    <w:bookmarkEnd w:id="56"/>
    <w:p>
      <w:pPr>
        <w:ind w:left="4520"/>
        <w:spacing w:after="0" w:line="253" w:lineRule="auto"/>
        <w:rPr>
          <w:sz w:val="20"/>
          <w:szCs w:val="20"/>
          <w:color w:val="auto"/>
        </w:rPr>
      </w:pPr>
      <w:r>
        <w:rPr>
          <w:rFonts w:ascii="Arial" w:cs="Arial" w:eastAsia="Arial" w:hAnsi="Arial"/>
          <w:sz w:val="16"/>
          <w:szCs w:val="16"/>
          <w:color w:val="auto"/>
        </w:rPr>
        <w:t>GOLDMAN SACHS BANK USA, as Extending Revolving Lender and Consenting Issuing Bank</w:t>
      </w:r>
    </w:p>
    <w:p>
      <w:pPr>
        <w:spacing w:after="0" w:line="221" w:lineRule="exact"/>
        <w:rPr>
          <w:sz w:val="20"/>
          <w:szCs w:val="20"/>
          <w:color w:val="auto"/>
        </w:rPr>
      </w:pPr>
    </w:p>
    <w:p>
      <w:pPr>
        <w:ind w:left="452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Jacob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23495</wp:posOffset>
            </wp:positionV>
            <wp:extent cx="30473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047365" cy="6985"/>
                    </a:xfrm>
                    <a:prstGeom prst="rect">
                      <a:avLst/>
                    </a:prstGeom>
                    <a:noFill/>
                  </pic:spPr>
                </pic:pic>
              </a:graphicData>
            </a:graphic>
          </wp:anchor>
        </w:drawing>
      </w:r>
    </w:p>
    <w:p>
      <w:pPr>
        <w:spacing w:after="0" w:line="2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Jacob Elder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880"/>
          </w:cols>
          <w:pgMar w:left="1440" w:top="1213" w:right="579" w:bottom="1440" w:gutter="0" w:footer="0" w:header="0"/>
        </w:sectPr>
      </w:pPr>
    </w:p>
    <w:bookmarkStart w:id="57" w:name="page58"/>
    <w:bookmarkEnd w:id="57"/>
    <w:p>
      <w:pPr>
        <w:ind w:left="4940"/>
        <w:spacing w:after="0" w:line="253" w:lineRule="auto"/>
        <w:rPr>
          <w:sz w:val="20"/>
          <w:szCs w:val="20"/>
          <w:color w:val="auto"/>
        </w:rPr>
      </w:pPr>
      <w:r>
        <w:rPr>
          <w:rFonts w:ascii="Arial" w:cs="Arial" w:eastAsia="Arial" w:hAnsi="Arial"/>
          <w:sz w:val="16"/>
          <w:szCs w:val="16"/>
          <w:color w:val="auto"/>
        </w:rPr>
        <w:t>JEFFERIES FINANCE LLC, as Extending Revolving Lender and Consenting Issuing Bank</w:t>
      </w:r>
    </w:p>
    <w:p>
      <w:pPr>
        <w:spacing w:after="0" w:line="396" w:lineRule="exact"/>
        <w:rPr>
          <w:sz w:val="20"/>
          <w:szCs w:val="20"/>
          <w:color w:val="auto"/>
        </w:rPr>
      </w:pPr>
    </w:p>
    <w:p>
      <w:pPr>
        <w:ind w:left="480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J.R.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23495</wp:posOffset>
            </wp:positionV>
            <wp:extent cx="29019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J.R. Young</w:t>
      </w:r>
    </w:p>
    <w:p>
      <w:pPr>
        <w:spacing w:after="0" w:line="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920"/>
          </w:cols>
          <w:pgMar w:left="1440" w:top="1213" w:right="539" w:bottom="1440" w:gutter="0" w:footer="0" w:header="0"/>
        </w:sectPr>
      </w:pPr>
    </w:p>
    <w:bookmarkStart w:id="58" w:name="page59"/>
    <w:bookmarkEnd w:id="58"/>
    <w:p>
      <w:pPr>
        <w:ind w:left="4520"/>
        <w:spacing w:after="0"/>
        <w:rPr>
          <w:sz w:val="20"/>
          <w:szCs w:val="20"/>
          <w:color w:val="auto"/>
        </w:rPr>
      </w:pPr>
      <w:r>
        <w:rPr>
          <w:rFonts w:ascii="Arial" w:cs="Arial" w:eastAsia="Arial" w:hAnsi="Arial"/>
          <w:sz w:val="16"/>
          <w:szCs w:val="16"/>
          <w:color w:val="auto"/>
        </w:rPr>
        <w:t>BNP PARIBAS, as Extending Revolving Lender</w:t>
      </w:r>
    </w:p>
    <w:p>
      <w:pPr>
        <w:spacing w:after="0" w:line="200" w:lineRule="exact"/>
        <w:rPr>
          <w:sz w:val="20"/>
          <w:szCs w:val="20"/>
          <w:color w:val="auto"/>
        </w:rPr>
      </w:pP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3"/>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Uzo Arinzeh</w:t>
            </w:r>
          </w:p>
        </w:tc>
      </w:tr>
      <w:tr>
        <w:trPr>
          <w:trHeight w:val="211"/>
        </w:trPr>
        <w:tc>
          <w:tcPr>
            <w:tcW w:w="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Name: Uzo Arinzeh</w:t>
            </w:r>
          </w:p>
        </w:tc>
      </w:tr>
      <w:tr>
        <w:trPr>
          <w:trHeight w:val="229"/>
        </w:trPr>
        <w:tc>
          <w:tcPr>
            <w:tcW w:w="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Title: Managing Director</w:t>
            </w:r>
          </w:p>
        </w:tc>
      </w:tr>
      <w:tr>
        <w:trPr>
          <w:trHeight w:val="618"/>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Albert Arencibia</w:t>
            </w:r>
          </w:p>
        </w:tc>
      </w:tr>
      <w:tr>
        <w:trPr>
          <w:trHeight w:val="211"/>
        </w:trPr>
        <w:tc>
          <w:tcPr>
            <w:tcW w:w="8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Name: Albert Arencibia</w:t>
            </w:r>
          </w:p>
        </w:tc>
      </w:tr>
      <w:tr>
        <w:trPr>
          <w:trHeight w:val="218"/>
        </w:trPr>
        <w:tc>
          <w:tcPr>
            <w:tcW w:w="8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13" w:right="319" w:bottom="1440" w:gutter="0" w:footer="0" w:header="0"/>
        </w:sectPr>
      </w:pPr>
    </w:p>
    <w:bookmarkStart w:id="59" w:name="page60"/>
    <w:bookmarkEnd w:id="59"/>
    <w:p>
      <w:pPr>
        <w:ind w:left="4800"/>
        <w:spacing w:after="0" w:line="253" w:lineRule="auto"/>
        <w:rPr>
          <w:sz w:val="20"/>
          <w:szCs w:val="20"/>
          <w:color w:val="auto"/>
        </w:rPr>
      </w:pPr>
      <w:r>
        <w:rPr>
          <w:rFonts w:ascii="Arial" w:cs="Arial" w:eastAsia="Arial" w:hAnsi="Arial"/>
          <w:sz w:val="16"/>
          <w:szCs w:val="16"/>
          <w:color w:val="auto"/>
        </w:rPr>
        <w:t>KEYBANK NATIONAL ASSOCIATION, as Extending Revolving Lender and Consenting Issuing Bank</w:t>
      </w:r>
    </w:p>
    <w:p>
      <w:pPr>
        <w:spacing w:after="0" w:line="396" w:lineRule="exact"/>
        <w:rPr>
          <w:sz w:val="20"/>
          <w:szCs w:val="20"/>
          <w:color w:val="auto"/>
        </w:rPr>
      </w:pPr>
    </w:p>
    <w:p>
      <w:pPr>
        <w:ind w:left="480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Matthew D. Dunson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23495</wp:posOffset>
            </wp:positionV>
            <wp:extent cx="29019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Matthew D. Dunson</w:t>
      </w:r>
    </w:p>
    <w:p>
      <w:pPr>
        <w:spacing w:after="0" w:line="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880"/>
          </w:cols>
          <w:pgMar w:left="1440" w:top="1213" w:right="579" w:bottom="1440" w:gutter="0" w:footer="0" w:header="0"/>
        </w:sectPr>
      </w:pPr>
    </w:p>
    <w:bookmarkStart w:id="60" w:name="page61"/>
    <w:bookmarkEnd w:id="60"/>
    <w:p>
      <w:pPr>
        <w:ind w:left="4800"/>
        <w:spacing w:after="0"/>
        <w:rPr>
          <w:sz w:val="20"/>
          <w:szCs w:val="20"/>
          <w:color w:val="auto"/>
        </w:rPr>
      </w:pPr>
      <w:r>
        <w:rPr>
          <w:rFonts w:ascii="Arial" w:cs="Arial" w:eastAsia="Arial" w:hAnsi="Arial"/>
          <w:sz w:val="16"/>
          <w:szCs w:val="16"/>
          <w:color w:val="auto"/>
        </w:rPr>
        <w:t>PSP INVESTMENTS CREDIT USA LLC, as Extending Revolving Lender</w:t>
      </w:r>
    </w:p>
    <w:p>
      <w:pPr>
        <w:spacing w:after="0" w:line="251"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Kerry Dolan</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Name: Kerry Dolan</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Title: Authorized Signatory</w:t>
            </w:r>
          </w:p>
        </w:tc>
      </w:tr>
      <w:tr>
        <w:trPr>
          <w:trHeight w:val="531"/>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Alyssa Roland</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Name: Alyssa Roland</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13" w:right="319" w:bottom="1440" w:gutter="0" w:footer="0" w:header="0"/>
        </w:sectPr>
      </w:pPr>
    </w:p>
    <w:bookmarkStart w:id="61" w:name="page62"/>
    <w:bookmarkEnd w:id="61"/>
    <w:p>
      <w:pPr>
        <w:ind w:left="4800"/>
        <w:spacing w:after="0"/>
        <w:rPr>
          <w:sz w:val="20"/>
          <w:szCs w:val="20"/>
          <w:color w:val="auto"/>
        </w:rPr>
      </w:pPr>
      <w:r>
        <w:rPr>
          <w:rFonts w:ascii="Arial" w:cs="Arial" w:eastAsia="Arial" w:hAnsi="Arial"/>
          <w:sz w:val="16"/>
          <w:szCs w:val="16"/>
          <w:color w:val="auto"/>
        </w:rPr>
        <w:t>BARCLAYS BANK PLC, as Extending Revolving Lender</w:t>
      </w:r>
    </w:p>
    <w:p>
      <w:pPr>
        <w:spacing w:after="0" w:line="251"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Evan Moriarty</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Name: Evan Moriarty</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13" w:right="319" w:bottom="1440" w:gutter="0" w:footer="0" w:header="0"/>
        </w:sectPr>
      </w:pPr>
    </w:p>
    <w:bookmarkStart w:id="62" w:name="page63"/>
    <w:bookmarkEnd w:id="62"/>
    <w:p>
      <w:pPr>
        <w:ind w:left="4800"/>
        <w:spacing w:after="0"/>
        <w:rPr>
          <w:sz w:val="20"/>
          <w:szCs w:val="20"/>
          <w:color w:val="auto"/>
        </w:rPr>
      </w:pPr>
      <w:r>
        <w:rPr>
          <w:rFonts w:ascii="Arial" w:cs="Arial" w:eastAsia="Arial" w:hAnsi="Arial"/>
          <w:sz w:val="15"/>
          <w:szCs w:val="15"/>
          <w:color w:val="auto"/>
        </w:rPr>
        <w:t>CITIBANK, N.A., as Extending Revolving Lender and Consenting Issuing Bank</w:t>
      </w:r>
    </w:p>
    <w:p>
      <w:pPr>
        <w:spacing w:after="0" w:line="274"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Stanislav Andreev</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Name: Stanislav Andreev</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13" w:right="319" w:bottom="1440" w:gutter="0" w:footer="0" w:header="0"/>
        </w:sectPr>
      </w:pPr>
    </w:p>
    <w:bookmarkStart w:id="63" w:name="page64"/>
    <w:bookmarkEnd w:id="63"/>
    <w:p>
      <w:pPr>
        <w:ind w:left="4800"/>
        <w:spacing w:after="0" w:line="267" w:lineRule="auto"/>
        <w:rPr>
          <w:sz w:val="20"/>
          <w:szCs w:val="20"/>
          <w:color w:val="auto"/>
        </w:rPr>
      </w:pPr>
      <w:r>
        <w:rPr>
          <w:rFonts w:ascii="Arial" w:cs="Arial" w:eastAsia="Arial" w:hAnsi="Arial"/>
          <w:sz w:val="16"/>
          <w:szCs w:val="16"/>
          <w:color w:val="auto"/>
        </w:rPr>
        <w:t>ROYAL BANK OF CANADA, as Extending Revolving Lender and Consenting Issuing Bank</w:t>
      </w:r>
    </w:p>
    <w:p>
      <w:pPr>
        <w:spacing w:after="0" w:line="222" w:lineRule="exact"/>
        <w:rPr>
          <w:sz w:val="20"/>
          <w:szCs w:val="20"/>
          <w:color w:val="auto"/>
        </w:rPr>
      </w:pPr>
    </w:p>
    <w:p>
      <w:pPr>
        <w:ind w:left="480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Diana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23495</wp:posOffset>
            </wp:positionV>
            <wp:extent cx="29019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Diana Lee</w:t>
      </w:r>
    </w:p>
    <w:p>
      <w:pPr>
        <w:spacing w:after="0" w:line="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920"/>
          </w:cols>
          <w:pgMar w:left="1440" w:top="1213" w:right="539" w:bottom="1440" w:gutter="0" w:footer="0" w:header="0"/>
        </w:sectPr>
      </w:pPr>
    </w:p>
    <w:bookmarkStart w:id="64" w:name="page65"/>
    <w:bookmarkEnd w:id="64"/>
    <w:p>
      <w:pPr>
        <w:ind w:left="4800"/>
        <w:spacing w:after="0"/>
        <w:rPr>
          <w:sz w:val="20"/>
          <w:szCs w:val="20"/>
          <w:color w:val="auto"/>
        </w:rPr>
      </w:pPr>
      <w:r>
        <w:rPr>
          <w:rFonts w:ascii="Arial" w:cs="Arial" w:eastAsia="Arial" w:hAnsi="Arial"/>
          <w:sz w:val="14"/>
          <w:szCs w:val="14"/>
          <w:color w:val="auto"/>
        </w:rPr>
        <w:t>CITIZENS BANK, N.A., as Extending Revolving Lender and Consenting</w:t>
      </w:r>
    </w:p>
    <w:p>
      <w:pPr>
        <w:spacing w:after="0" w:line="38"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Issuing Bank</w:t>
      </w:r>
    </w:p>
    <w:p>
      <w:pPr>
        <w:spacing w:after="0" w:line="248" w:lineRule="exact"/>
        <w:rPr>
          <w:sz w:val="20"/>
          <w:szCs w:val="20"/>
          <w:color w:val="auto"/>
        </w:rPr>
      </w:pPr>
    </w:p>
    <w:p>
      <w:pPr>
        <w:ind w:left="480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Matt Kuchta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23495</wp:posOffset>
            </wp:positionV>
            <wp:extent cx="29019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Matt Kuchta</w:t>
      </w:r>
    </w:p>
    <w:p>
      <w:pPr>
        <w:spacing w:after="0" w:line="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9520"/>
          </w:cols>
          <w:pgMar w:left="1440" w:top="1213" w:right="939" w:bottom="1440" w:gutter="0" w:footer="0" w:header="0"/>
        </w:sectPr>
      </w:pPr>
    </w:p>
    <w:bookmarkStart w:id="65" w:name="page66"/>
    <w:bookmarkEnd w:id="65"/>
    <w:p>
      <w:pPr>
        <w:ind w:left="4800"/>
        <w:spacing w:after="0"/>
        <w:rPr>
          <w:sz w:val="20"/>
          <w:szCs w:val="20"/>
          <w:color w:val="auto"/>
        </w:rPr>
      </w:pPr>
      <w:r>
        <w:rPr>
          <w:rFonts w:ascii="Arial" w:cs="Arial" w:eastAsia="Arial" w:hAnsi="Arial"/>
          <w:sz w:val="16"/>
          <w:szCs w:val="16"/>
          <w:color w:val="auto"/>
        </w:rPr>
        <w:t>ING CAPITAL LLC, as Extending Revolving Lender</w:t>
      </w:r>
    </w:p>
    <w:p>
      <w:pPr>
        <w:spacing w:after="0" w:line="262"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Roy De Jongh</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Name: Roy De Jongh</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Title: Director</w:t>
            </w:r>
          </w:p>
        </w:tc>
      </w:tr>
      <w:tr>
        <w:trPr>
          <w:trHeight w:val="705"/>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Kim</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Name: Michael Kim</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13" w:right="319" w:bottom="1440" w:gutter="0" w:footer="0" w:header="0"/>
        </w:sectPr>
      </w:pPr>
    </w:p>
    <w:bookmarkStart w:id="66" w:name="page67"/>
    <w:bookmarkEnd w:id="66"/>
    <w:p>
      <w:pPr>
        <w:ind w:left="4800"/>
        <w:spacing w:after="0"/>
        <w:rPr>
          <w:sz w:val="20"/>
          <w:szCs w:val="20"/>
          <w:color w:val="auto"/>
        </w:rPr>
      </w:pPr>
      <w:r>
        <w:rPr>
          <w:rFonts w:ascii="Arial" w:cs="Arial" w:eastAsia="Arial" w:hAnsi="Arial"/>
          <w:sz w:val="16"/>
          <w:szCs w:val="16"/>
          <w:b w:val="1"/>
          <w:bCs w:val="1"/>
          <w:u w:val="single" w:color="auto"/>
          <w:color w:val="auto"/>
        </w:rPr>
        <w:t>With respect only to Section 6 and Section 8:</w:t>
      </w:r>
    </w:p>
    <w:p>
      <w:pPr>
        <w:spacing w:after="0" w:line="49"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SOTERA HEALTH LLC</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STERIGENICS U.S., LLC</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NELSON LABORATORIES, LLC</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SOTERA HEALTH SERVICES, LLC</w:t>
      </w:r>
    </w:p>
    <w:p>
      <w:pPr>
        <w:spacing w:after="0" w:line="262"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color w:val="231F20"/>
              </w:rPr>
              <w:t>Scott J. Leffler</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color w:val="231F20"/>
              </w:rPr>
              <w:t>Scott J. Leffler</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 xml:space="preserve">Title: Chief Financial Officer and </w:t>
            </w:r>
            <w:r>
              <w:rPr>
                <w:rFonts w:ascii="Arial" w:cs="Arial" w:eastAsia="Arial" w:hAnsi="Arial"/>
                <w:sz w:val="16"/>
                <w:szCs w:val="16"/>
                <w:color w:val="231F20"/>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09" w:right="319" w:bottom="1440" w:gutter="0" w:footer="0" w:header="0"/>
        </w:sectPr>
      </w:pPr>
    </w:p>
    <w:bookmarkStart w:id="67" w:name="page68"/>
    <w:bookmarkEnd w:id="67"/>
    <w:p>
      <w:pPr>
        <w:ind w:left="4800"/>
        <w:spacing w:after="0"/>
        <w:rPr>
          <w:sz w:val="20"/>
          <w:szCs w:val="20"/>
          <w:color w:val="auto"/>
        </w:rPr>
      </w:pPr>
      <w:r>
        <w:rPr>
          <w:rFonts w:ascii="Arial" w:cs="Arial" w:eastAsia="Arial" w:hAnsi="Arial"/>
          <w:sz w:val="16"/>
          <w:szCs w:val="16"/>
          <w:b w:val="1"/>
          <w:bCs w:val="1"/>
          <w:u w:val="single" w:color="auto"/>
          <w:color w:val="auto"/>
        </w:rPr>
        <w:t>With respect only to Section 6 and Section 8:</w:t>
      </w:r>
    </w:p>
    <w:p>
      <w:pPr>
        <w:spacing w:after="0" w:line="49"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NELSON LABORATORIES HOLDINGS, LLC</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NELSON LABORATORIES FAIRFIELD HOLDINGS, LLC</w:t>
      </w:r>
    </w:p>
    <w:p>
      <w:pPr>
        <w:spacing w:after="0" w:line="262"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Bruce T. Krarup</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color w:val="231F20"/>
              </w:rPr>
              <w:t>Bruce T. Krarup</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color w:val="231F20"/>
              </w:rPr>
              <w:t>Vice President, Treasurer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09" w:right="319" w:bottom="1440" w:gutter="0" w:footer="0" w:header="0"/>
        </w:sectPr>
      </w:pPr>
    </w:p>
    <w:bookmarkStart w:id="68" w:name="page69"/>
    <w:bookmarkEnd w:id="68"/>
    <w:p>
      <w:pPr>
        <w:ind w:left="4800"/>
        <w:spacing w:after="0"/>
        <w:rPr>
          <w:sz w:val="20"/>
          <w:szCs w:val="20"/>
          <w:color w:val="auto"/>
        </w:rPr>
      </w:pPr>
      <w:r>
        <w:rPr>
          <w:rFonts w:ascii="Arial" w:cs="Arial" w:eastAsia="Arial" w:hAnsi="Arial"/>
          <w:sz w:val="16"/>
          <w:szCs w:val="16"/>
          <w:b w:val="1"/>
          <w:bCs w:val="1"/>
          <w:u w:val="single" w:color="auto"/>
          <w:color w:val="auto"/>
        </w:rPr>
        <w:t>With respect only to Section 6 and Section 8:</w:t>
      </w:r>
    </w:p>
    <w:p>
      <w:pPr>
        <w:spacing w:after="0" w:line="49"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STERIGENICS RADIATION TECHNOLOGIES HOLDINGS, LLC</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STERIGENICS RADIATION TECHNOLOGIES, LLC</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STERIGENICS RADIATION TECHNOLOGIES IN, INC.</w:t>
      </w:r>
    </w:p>
    <w:p>
      <w:pPr>
        <w:spacing w:after="0" w:line="262"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color w:val="231F20"/>
              </w:rPr>
              <w:t>Matthew D. Shimkus</w:t>
            </w:r>
          </w:p>
        </w:tc>
      </w:tr>
      <w:tr>
        <w:trPr>
          <w:trHeight w:val="211"/>
        </w:trPr>
        <w:tc>
          <w:tcPr>
            <w:tcW w:w="7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color w:val="231F20"/>
              </w:rPr>
              <w:t>Matthew D. Shimkus</w:t>
            </w:r>
          </w:p>
        </w:tc>
      </w:tr>
      <w:tr>
        <w:trPr>
          <w:trHeight w:val="229"/>
        </w:trPr>
        <w:tc>
          <w:tcPr>
            <w:tcW w:w="7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color w:val="231F20"/>
              </w:rPr>
              <w:t>Vice President, Treasurer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[Signature Page to Revolving Facilities Amendment to Credit Agreement]</w:t>
      </w:r>
    </w:p>
    <w:p>
      <w:pPr>
        <w:sectPr>
          <w:pgSz w:w="11900" w:h="16838" w:orient="portrait"/>
          <w:cols w:equalWidth="0" w:num="1">
            <w:col w:w="10140"/>
          </w:cols>
          <w:pgMar w:left="1440" w:top="1209" w:right="319" w:bottom="1440" w:gutter="0" w:footer="0" w:header="0"/>
        </w:sectPr>
      </w:pPr>
    </w:p>
    <w:bookmarkStart w:id="69" w:name="page70"/>
    <w:bookmarkEnd w:id="69"/>
    <w:tbl>
      <w:tblPr>
        <w:tblLayout w:type="fixed"/>
        <w:tblInd w:w="37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60" w:type="dxa"/>
            <w:vAlign w:val="bottom"/>
            <w:gridSpan w:val="6"/>
          </w:tcPr>
          <w:p>
            <w:pPr>
              <w:ind w:left="400"/>
              <w:spacing w:after="0"/>
              <w:rPr>
                <w:sz w:val="20"/>
                <w:szCs w:val="20"/>
                <w:color w:val="auto"/>
              </w:rPr>
            </w:pPr>
            <w:r>
              <w:rPr>
                <w:rFonts w:ascii="Arial" w:cs="Arial" w:eastAsia="Arial" w:hAnsi="Arial"/>
                <w:sz w:val="16"/>
                <w:szCs w:val="16"/>
                <w:b w:val="1"/>
                <w:bCs w:val="1"/>
                <w:color w:val="auto"/>
              </w:rPr>
              <w:t>Schedule I</w:t>
            </w:r>
          </w:p>
        </w:tc>
      </w:tr>
      <w:tr>
        <w:trPr>
          <w:trHeight w:val="230"/>
        </w:trPr>
        <w:tc>
          <w:tcPr>
            <w:tcW w:w="17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5"/>
        </w:trPr>
        <w:tc>
          <w:tcPr>
            <w:tcW w:w="4520" w:type="dxa"/>
            <w:vAlign w:val="bottom"/>
            <w:tcBorders>
              <w:left w:val="single" w:sz="8" w:color="auto"/>
            </w:tcBorders>
            <w:gridSpan w:val="3"/>
          </w:tcPr>
          <w:p>
            <w:pPr>
              <w:jc w:val="center"/>
              <w:ind w:left="880"/>
              <w:spacing w:after="0" w:line="165" w:lineRule="exact"/>
              <w:rPr>
                <w:sz w:val="20"/>
                <w:szCs w:val="20"/>
                <w:color w:val="auto"/>
              </w:rPr>
            </w:pPr>
            <w:r>
              <w:rPr>
                <w:rFonts w:ascii="Arial" w:cs="Arial" w:eastAsia="Arial" w:hAnsi="Arial"/>
                <w:sz w:val="16"/>
                <w:szCs w:val="16"/>
                <w:b w:val="1"/>
                <w:bCs w:val="1"/>
                <w:color w:val="auto"/>
                <w:w w:val="90"/>
              </w:rPr>
              <w:t>Extending Revolving Lender</w:t>
            </w:r>
          </w:p>
        </w:tc>
        <w:tc>
          <w:tcPr>
            <w:tcW w:w="4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40" w:type="dxa"/>
            <w:vAlign w:val="bottom"/>
            <w:tcBorders>
              <w:right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rPr>
              <w:t>Extending Revolving Commitment</w:t>
            </w:r>
          </w:p>
        </w:tc>
      </w:tr>
      <w:tr>
        <w:trPr>
          <w:trHeight w:val="34"/>
        </w:trPr>
        <w:tc>
          <w:tcPr>
            <w:tcW w:w="1760" w:type="dxa"/>
            <w:vAlign w:val="bottom"/>
            <w:tcBorders>
              <w:left w:val="single" w:sz="8" w:color="auto"/>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6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11"/>
        </w:trPr>
        <w:tc>
          <w:tcPr>
            <w:tcW w:w="1760" w:type="dxa"/>
            <w:vAlign w:val="bottom"/>
            <w:tcBorders>
              <w:left w:val="single" w:sz="8" w:color="auto"/>
              <w:bottom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6"/>
                <w:szCs w:val="16"/>
                <w:color w:val="auto"/>
                <w:w w:val="89"/>
              </w:rPr>
              <w:t>JPMorgan Chase Bank, N.A.</w:t>
            </w:r>
          </w:p>
        </w:tc>
        <w:tc>
          <w:tcPr>
            <w:tcW w:w="960" w:type="dxa"/>
            <w:vAlign w:val="bottom"/>
            <w:tcBorders>
              <w:bottom w:val="single" w:sz="8" w:color="auto"/>
              <w:right w:val="single" w:sz="8" w:color="auto"/>
            </w:tcBorders>
            <w:gridSpan w:val="2"/>
          </w:tcPr>
          <w:p>
            <w:pPr>
              <w:spacing w:after="0"/>
              <w:rPr>
                <w:sz w:val="18"/>
                <w:szCs w:val="18"/>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$75,000,000</w:t>
            </w:r>
          </w:p>
        </w:tc>
        <w:tc>
          <w:tcPr>
            <w:tcW w:w="1380" w:type="dxa"/>
            <w:vAlign w:val="bottom"/>
            <w:tcBorders>
              <w:bottom w:val="single" w:sz="8" w:color="auto"/>
              <w:right w:val="single" w:sz="8" w:color="auto"/>
            </w:tcBorders>
          </w:tcPr>
          <w:p>
            <w:pPr>
              <w:spacing w:after="0"/>
              <w:rPr>
                <w:sz w:val="18"/>
                <w:szCs w:val="18"/>
                <w:color w:val="auto"/>
              </w:rPr>
            </w:pPr>
          </w:p>
        </w:tc>
      </w:tr>
      <w:tr>
        <w:trPr>
          <w:trHeight w:val="219"/>
        </w:trPr>
        <w:tc>
          <w:tcPr>
            <w:tcW w:w="4520" w:type="dxa"/>
            <w:vAlign w:val="bottom"/>
            <w:tcBorders>
              <w:left w:val="single" w:sz="8" w:color="auto"/>
              <w:bottom w:val="single" w:sz="8" w:color="auto"/>
            </w:tcBorders>
            <w:gridSpan w:val="3"/>
          </w:tcPr>
          <w:p>
            <w:pPr>
              <w:jc w:val="center"/>
              <w:ind w:left="880"/>
              <w:spacing w:after="0"/>
              <w:rPr>
                <w:sz w:val="20"/>
                <w:szCs w:val="20"/>
                <w:color w:val="auto"/>
              </w:rPr>
            </w:pPr>
            <w:r>
              <w:rPr>
                <w:rFonts w:ascii="Arial" w:cs="Arial" w:eastAsia="Arial" w:hAnsi="Arial"/>
                <w:sz w:val="16"/>
                <w:szCs w:val="16"/>
                <w:color w:val="auto"/>
                <w:w w:val="90"/>
              </w:rPr>
              <w:t>Credit Suisse AG, Cayman Islands Branch</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$35,000,000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6"/>
                <w:szCs w:val="16"/>
                <w:color w:val="auto"/>
                <w:w w:val="90"/>
              </w:rPr>
              <w:t>Goldman Sachs Bank USA</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$35,000,000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6"/>
                <w:szCs w:val="16"/>
                <w:color w:val="auto"/>
                <w:w w:val="91"/>
              </w:rPr>
              <w:t>Jefferies Finance LLC</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$35,000,000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6"/>
                <w:szCs w:val="16"/>
                <w:color w:val="auto"/>
                <w:w w:val="89"/>
              </w:rPr>
              <w:t>BNP Paribas</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$25,000,000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4520" w:type="dxa"/>
            <w:vAlign w:val="bottom"/>
            <w:tcBorders>
              <w:left w:val="single" w:sz="8" w:color="auto"/>
              <w:bottom w:val="single" w:sz="8" w:color="auto"/>
            </w:tcBorders>
            <w:gridSpan w:val="3"/>
          </w:tcPr>
          <w:p>
            <w:pPr>
              <w:jc w:val="center"/>
              <w:ind w:left="900"/>
              <w:spacing w:after="0"/>
              <w:rPr>
                <w:sz w:val="20"/>
                <w:szCs w:val="20"/>
                <w:color w:val="auto"/>
              </w:rPr>
            </w:pPr>
            <w:r>
              <w:rPr>
                <w:rFonts w:ascii="Arial" w:cs="Arial" w:eastAsia="Arial" w:hAnsi="Arial"/>
                <w:sz w:val="16"/>
                <w:szCs w:val="16"/>
                <w:color w:val="auto"/>
                <w:w w:val="92"/>
              </w:rPr>
              <w:t>KeyBank National Association</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$25,000,000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4520" w:type="dxa"/>
            <w:vAlign w:val="bottom"/>
            <w:tcBorders>
              <w:left w:val="single" w:sz="8" w:color="auto"/>
              <w:bottom w:val="single" w:sz="8" w:color="auto"/>
            </w:tcBorders>
            <w:gridSpan w:val="3"/>
          </w:tcPr>
          <w:p>
            <w:pPr>
              <w:jc w:val="center"/>
              <w:ind w:left="900"/>
              <w:spacing w:after="0"/>
              <w:rPr>
                <w:sz w:val="20"/>
                <w:szCs w:val="20"/>
                <w:color w:val="auto"/>
              </w:rPr>
            </w:pPr>
            <w:r>
              <w:rPr>
                <w:rFonts w:ascii="Arial" w:cs="Arial" w:eastAsia="Arial" w:hAnsi="Arial"/>
                <w:sz w:val="16"/>
                <w:szCs w:val="16"/>
                <w:color w:val="auto"/>
                <w:w w:val="92"/>
              </w:rPr>
              <w:t>PSP Investments Credit USA LLC</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$25,000,000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6"/>
                <w:szCs w:val="16"/>
                <w:color w:val="auto"/>
                <w:w w:val="92"/>
              </w:rPr>
              <w:t>Barclays Bank PLC</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$22,500,000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6"/>
                <w:szCs w:val="16"/>
                <w:color w:val="auto"/>
                <w:w w:val="96"/>
              </w:rPr>
              <w:t>Citibank, N.A.</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$22,500,000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6"/>
                <w:szCs w:val="16"/>
                <w:color w:val="auto"/>
                <w:w w:val="89"/>
              </w:rPr>
              <w:t>Royal Bank of Canada</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$22,500,000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6"/>
                <w:szCs w:val="16"/>
                <w:color w:val="auto"/>
                <w:w w:val="92"/>
              </w:rPr>
              <w:t>Citizens Bank, N.A.</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$12,500,000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6"/>
                <w:szCs w:val="16"/>
                <w:color w:val="auto"/>
                <w:w w:val="96"/>
              </w:rPr>
              <w:t>ING Capital LLC</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color w:val="auto"/>
                <w:w w:val="89"/>
              </w:rPr>
              <w:t>$12,500,000</w:t>
            </w:r>
          </w:p>
        </w:tc>
        <w:tc>
          <w:tcPr>
            <w:tcW w:w="1380" w:type="dxa"/>
            <w:vAlign w:val="bottom"/>
            <w:tcBorders>
              <w:bottom w:val="single" w:sz="8" w:color="auto"/>
              <w:right w:val="single" w:sz="8" w:color="auto"/>
            </w:tcBorders>
          </w:tcPr>
          <w:p>
            <w:pPr>
              <w:spacing w:after="0"/>
              <w:rPr>
                <w:sz w:val="19"/>
                <w:szCs w:val="19"/>
                <w:color w:val="auto"/>
              </w:rPr>
            </w:pPr>
          </w:p>
        </w:tc>
      </w:tr>
      <w:tr>
        <w:trPr>
          <w:trHeight w:val="219"/>
        </w:trPr>
        <w:tc>
          <w:tcPr>
            <w:tcW w:w="17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right w:val="single" w:sz="8" w:color="auto"/>
            </w:tcBorders>
            <w:gridSpan w:val="2"/>
          </w:tcPr>
          <w:p>
            <w:pPr>
              <w:spacing w:after="0"/>
              <w:rPr>
                <w:sz w:val="19"/>
                <w:szCs w:val="19"/>
                <w:color w:val="auto"/>
              </w:rPr>
            </w:pPr>
          </w:p>
        </w:tc>
        <w:tc>
          <w:tcPr>
            <w:tcW w:w="3720" w:type="dxa"/>
            <w:vAlign w:val="bottom"/>
            <w:tcBorders>
              <w:bottom w:val="single" w:sz="8" w:color="auto"/>
            </w:tcBorders>
            <w:gridSpan w:val="3"/>
          </w:tcPr>
          <w:p>
            <w:pPr>
              <w:jc w:val="center"/>
              <w:ind w:left="1280"/>
              <w:spacing w:after="0"/>
              <w:rPr>
                <w:sz w:val="20"/>
                <w:szCs w:val="20"/>
                <w:color w:val="auto"/>
              </w:rPr>
            </w:pPr>
            <w:r>
              <w:rPr>
                <w:rFonts w:ascii="Arial" w:cs="Arial" w:eastAsia="Arial" w:hAnsi="Arial"/>
                <w:sz w:val="16"/>
                <w:szCs w:val="16"/>
                <w:b w:val="1"/>
                <w:bCs w:val="1"/>
                <w:color w:val="auto"/>
                <w:w w:val="89"/>
              </w:rPr>
              <w:t>$347,500,000</w:t>
            </w:r>
          </w:p>
        </w:tc>
        <w:tc>
          <w:tcPr>
            <w:tcW w:w="13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#4829-8936-7265v4</w:t>
      </w:r>
    </w:p>
    <w:p>
      <w:pPr>
        <w:sectPr>
          <w:pgSz w:w="11900" w:h="16838" w:orient="portrait"/>
          <w:cols w:equalWidth="0" w:num="1">
            <w:col w:w="10940"/>
          </w:cols>
          <w:pgMar w:left="300" w:top="1229" w:right="659" w:bottom="1440" w:gutter="0" w:footer="0" w:header="0"/>
        </w:sectPr>
      </w:pPr>
    </w:p>
    <w:bookmarkStart w:id="70" w:name="page71"/>
    <w:bookmarkEnd w:id="70"/>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Michael B. Petras, Jr., certify that:</w:t>
      </w:r>
    </w:p>
    <w:p>
      <w:pPr>
        <w:spacing w:after="0" w:line="175" w:lineRule="exact"/>
        <w:rPr>
          <w:sz w:val="20"/>
          <w:szCs w:val="20"/>
          <w:color w:val="auto"/>
        </w:rPr>
      </w:pPr>
    </w:p>
    <w:p>
      <w:pPr>
        <w:ind w:left="260" w:hanging="253"/>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Sotera Health Company;</w:t>
      </w:r>
    </w:p>
    <w:p>
      <w:pPr>
        <w:spacing w:after="0" w:line="196" w:lineRule="exact"/>
        <w:rPr>
          <w:rFonts w:ascii="Arial" w:cs="Arial" w:eastAsia="Arial" w:hAnsi="Arial"/>
          <w:sz w:val="16"/>
          <w:szCs w:val="16"/>
          <w:color w:val="auto"/>
        </w:rPr>
      </w:pPr>
    </w:p>
    <w:p>
      <w:pPr>
        <w:ind w:left="260" w:right="100" w:hanging="253"/>
        <w:spacing w:after="0" w:line="267"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left="260" w:right="420" w:hanging="253"/>
        <w:spacing w:after="0" w:line="267"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left="260" w:right="240" w:hanging="253"/>
        <w:spacing w:after="0" w:line="340" w:lineRule="auto"/>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060" w:right="220" w:hanging="531"/>
        <w:spacing w:after="0" w:line="254" w:lineRule="auto"/>
        <w:tabs>
          <w:tab w:leader="none" w:pos="10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060" w:right="360" w:hanging="531"/>
        <w:spacing w:after="0" w:line="267" w:lineRule="auto"/>
        <w:tabs>
          <w:tab w:leader="none" w:pos="10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1060" w:right="20" w:hanging="531"/>
        <w:spacing w:after="0" w:line="254" w:lineRule="auto"/>
        <w:tabs>
          <w:tab w:leader="none" w:pos="10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260" w:right="60" w:hanging="253"/>
        <w:spacing w:after="0" w:line="267"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060" w:right="540" w:hanging="531"/>
        <w:spacing w:after="0" w:line="267" w:lineRule="auto"/>
        <w:tabs>
          <w:tab w:leader="none" w:pos="10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060" w:right="140" w:hanging="531"/>
        <w:spacing w:after="0" w:line="267" w:lineRule="auto"/>
        <w:tabs>
          <w:tab w:leader="none" w:pos="10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May 13, 2021</w:t>
      </w:r>
    </w:p>
    <w:p>
      <w:pPr>
        <w:spacing w:after="0" w:line="88"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-10160</wp:posOffset>
            </wp:positionV>
            <wp:extent cx="108839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088390" cy="6985"/>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6"/>
          <w:szCs w:val="16"/>
          <w:color w:val="auto"/>
        </w:rPr>
        <w:t>Michael B. Petras, Jr.</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Chairman and Chief Executive Officer</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Scott J. Leffler, certify that:</w:t>
      </w:r>
    </w:p>
    <w:p>
      <w:pPr>
        <w:spacing w:after="0" w:line="175" w:lineRule="exact"/>
        <w:rPr>
          <w:sz w:val="20"/>
          <w:szCs w:val="20"/>
          <w:color w:val="auto"/>
        </w:rPr>
      </w:pPr>
    </w:p>
    <w:p>
      <w:pPr>
        <w:ind w:left="260" w:hanging="253"/>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Sotera Health Company;</w:t>
      </w:r>
    </w:p>
    <w:p>
      <w:pPr>
        <w:spacing w:after="0" w:line="196" w:lineRule="exact"/>
        <w:rPr>
          <w:rFonts w:ascii="Arial" w:cs="Arial" w:eastAsia="Arial" w:hAnsi="Arial"/>
          <w:sz w:val="16"/>
          <w:szCs w:val="16"/>
          <w:color w:val="auto"/>
        </w:rPr>
      </w:pPr>
    </w:p>
    <w:p>
      <w:pPr>
        <w:ind w:left="260" w:right="100" w:hanging="253"/>
        <w:spacing w:after="0" w:line="267"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left="260" w:right="420" w:hanging="253"/>
        <w:spacing w:after="0" w:line="267"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left="260" w:right="240" w:hanging="253"/>
        <w:spacing w:after="0" w:line="340" w:lineRule="auto"/>
        <w:tabs>
          <w:tab w:leader="none" w:pos="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060" w:right="220" w:hanging="531"/>
        <w:spacing w:after="0" w:line="254" w:lineRule="auto"/>
        <w:tabs>
          <w:tab w:leader="none" w:pos="10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060" w:right="360" w:hanging="531"/>
        <w:spacing w:after="0" w:line="267" w:lineRule="auto"/>
        <w:tabs>
          <w:tab w:leader="none" w:pos="10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1060" w:right="20" w:hanging="531"/>
        <w:spacing w:after="0" w:line="254" w:lineRule="auto"/>
        <w:tabs>
          <w:tab w:leader="none" w:pos="10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260" w:right="60" w:hanging="253"/>
        <w:spacing w:after="0" w:line="267"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7" w:lineRule="exact"/>
        <w:rPr>
          <w:rFonts w:ascii="Arial" w:cs="Arial" w:eastAsia="Arial" w:hAnsi="Arial"/>
          <w:sz w:val="16"/>
          <w:szCs w:val="16"/>
          <w:color w:val="auto"/>
        </w:rPr>
      </w:pPr>
    </w:p>
    <w:p>
      <w:pPr>
        <w:ind w:left="1060" w:right="540" w:hanging="531"/>
        <w:spacing w:after="0" w:line="267" w:lineRule="auto"/>
        <w:tabs>
          <w:tab w:leader="none" w:pos="10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060" w:right="140" w:hanging="531"/>
        <w:spacing w:after="0" w:line="267" w:lineRule="auto"/>
        <w:tabs>
          <w:tab w:leader="none" w:pos="10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May 13, 2021</w:t>
      </w:r>
    </w:p>
    <w:p>
      <w:pPr>
        <w:spacing w:after="0" w:line="132"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-10160</wp:posOffset>
            </wp:positionV>
            <wp:extent cx="82486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24865" cy="6985"/>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6"/>
          <w:szCs w:val="16"/>
          <w:color w:val="auto"/>
        </w:rPr>
        <w:t>Scott J. Leffler</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Chief Financial Officer and Treasurer</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80"/>
          </w:cols>
          <w:pgMar w:left="300" w:top="125"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83" w:lineRule="exact"/>
        <w:rPr>
          <w:sz w:val="20"/>
          <w:szCs w:val="20"/>
          <w:color w:val="auto"/>
        </w:rPr>
      </w:pPr>
    </w:p>
    <w:p>
      <w:pPr>
        <w:ind w:right="40" w:firstLine="522"/>
        <w:spacing w:after="0" w:line="250"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do hereby certify, to each such officer’s knowledge, that the Company’s Quarterly Report on Form 10-Q for the quarter ended March 31, 2021 fully complies with the requirements of Section 13(a) or 15(d) of the Securities Exchange Act of 1934 and information contained in the Form 10-Q fairly presents, in all material respects, the financial condition and results of operations of the Company.</w:t>
      </w:r>
    </w:p>
    <w:p>
      <w:pPr>
        <w:sectPr>
          <w:pgSz w:w="11900" w:h="16838" w:orient="portrait"/>
          <w:cols w:equalWidth="0" w:num="1">
            <w:col w:w="11280"/>
          </w:cols>
          <w:pgMar w:left="300" w:top="125" w:right="319" w:bottom="1440" w:gutter="0" w:footer="0" w:header="0"/>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May 13,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May 13, 2021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111379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113790" cy="69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Michael B. Petras, Jr.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Title: Chairman and 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Scott J. Leffler</w:t>
      </w:r>
    </w:p>
    <w:p>
      <w:pPr>
        <w:spacing w:after="0" w:line="204" w:lineRule="auto"/>
        <w:rPr>
          <w:sz w:val="20"/>
          <w:szCs w:val="20"/>
          <w:color w:val="auto"/>
        </w:rPr>
      </w:pPr>
      <w:r>
        <w:rPr>
          <w:rFonts w:ascii="Arial" w:cs="Arial" w:eastAsia="Arial" w:hAnsi="Arial"/>
          <w:sz w:val="16"/>
          <w:szCs w:val="16"/>
          <w:color w:val="auto"/>
        </w:rPr>
        <w:t>Scott J. Leffler</w:t>
      </w:r>
    </w:p>
    <w:p>
      <w:pPr>
        <w:spacing w:after="0" w:line="212" w:lineRule="auto"/>
        <w:rPr>
          <w:sz w:val="20"/>
          <w:szCs w:val="20"/>
          <w:color w:val="auto"/>
        </w:rPr>
      </w:pPr>
      <w:r>
        <w:rPr>
          <w:rFonts w:ascii="Arial" w:cs="Arial" w:eastAsia="Arial" w:hAnsi="Arial"/>
          <w:sz w:val="15"/>
          <w:szCs w:val="15"/>
          <w:color w:val="auto"/>
        </w:rPr>
        <w:t>Title: Chief Financial Officer and Treasurer</w:t>
      </w:r>
    </w:p>
    <w:p>
      <w:pPr>
        <w:spacing w:after="0"/>
        <w:rPr>
          <w:sz w:val="20"/>
          <w:szCs w:val="20"/>
          <w:color w:val="auto"/>
        </w:rPr>
      </w:pPr>
      <w:r>
        <w:rPr>
          <w:rFonts w:ascii="Arial" w:cs="Arial" w:eastAsia="Arial" w:hAnsi="Arial"/>
          <w:sz w:val="16"/>
          <w:szCs w:val="16"/>
          <w:i w:val="1"/>
          <w:iCs w:val="1"/>
          <w:color w:val="auto"/>
        </w:rPr>
        <w:t>(Principal Financial Officer)</w:t>
      </w:r>
    </w:p>
    <w:p>
      <w:pPr>
        <w:spacing w:after="0" w:line="150" w:lineRule="exact"/>
        <w:rPr>
          <w:sz w:val="20"/>
          <w:szCs w:val="20"/>
          <w:color w:val="auto"/>
        </w:rPr>
      </w:pPr>
    </w:p>
    <w:p>
      <w:pPr>
        <w:sectPr>
          <w:pgSz w:w="11900" w:h="16838" w:orient="portrait"/>
          <w:cols w:equalWidth="0" w:num="2">
            <w:col w:w="4820" w:space="720"/>
            <w:col w:w="5740"/>
          </w:cols>
          <w:pgMar w:left="300" w:top="125" w:right="319" w:bottom="1440" w:gutter="0" w:footer="0" w:header="0"/>
          <w:type w:val="continuous"/>
        </w:sectPr>
      </w:pPr>
    </w:p>
    <w:p>
      <w:pPr>
        <w:jc w:val="both"/>
        <w:ind w:right="60"/>
        <w:spacing w:after="0" w:line="254" w:lineRule="auto"/>
        <w:rPr>
          <w:sz w:val="20"/>
          <w:szCs w:val="20"/>
          <w:color w:val="auto"/>
        </w:rPr>
      </w:pPr>
      <w:r>
        <w:rPr>
          <w:rFonts w:ascii="Arial" w:cs="Arial" w:eastAsia="Arial" w:hAnsi="Arial"/>
          <w:sz w:val="16"/>
          <w:szCs w:val="16"/>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80"/>
      </w:cols>
      <w:pgMar w:left="300" w:top="12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1."/>
      <w:numFmt w:val="decimal"/>
      <w:start w:val="5"/>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decimal"/>
      <w:start w:val="336"/>
    </w:lvl>
  </w:abstractNum>
  <w:abstractNum w:abstractNumId="17">
    <w:nsid w:val="3A95F874"/>
    <w:multiLevelType w:val="hybridMultilevel"/>
    <w:lvl w:ilvl="0">
      <w:lvlJc w:val="left"/>
      <w:lvlText w:val="%1"/>
      <w:numFmt w:val="decimal"/>
      <w:start w:val="26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8"/>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Letter"/>
      <w:start w:val="3"/>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Roman"/>
      <w:start w:val="7"/>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Roman"/>
      <w:start w:val="3"/>
    </w:lvl>
    <w:lvl w:ilvl="1">
      <w:lvlJc w:val="left"/>
      <w:lvlText w:val="%2."/>
      <w:numFmt w:val="decimal"/>
      <w:start w:val="1"/>
    </w:lvl>
  </w:abstractNum>
  <w:abstractNum w:abstractNumId="36">
    <w:nsid w:val="5E884ADC"/>
    <w:multiLevelType w:val="hybridMultilevel"/>
    <w:lvl w:ilvl="0">
      <w:lvlJc w:val="left"/>
      <w:lvlText w:val="(%1)"/>
      <w:numFmt w:val="lowerLetter"/>
      <w:start w:val="1"/>
    </w:lvl>
    <w:lvl w:ilvl="1">
      <w:lvlJc w:val="left"/>
      <w:lvlText w:val="(%2)"/>
      <w:numFmt w:val="lowerLetter"/>
      <w:start w:val="2"/>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5"/>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88" Type="http://schemas.openxmlformats.org/officeDocument/2006/relationships/hyperlink" Target="https://www.sec.gov/Archives/edgar/data/1822479/000182247921000018/shc_20201231xexhibitx10x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2021-05-13T15:25:45Z</dcterms:created>
  <dcterms:modified xsi:type="dcterms:W3CDTF">2021-05-13T15:25:45Z</dcterms:modified>
</cp:coreProperties>
</file>