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360" w:right="2600" w:hanging="4334"/>
        <w:spacing w:after="0" w:line="452" w:lineRule="auto"/>
        <w:tabs>
          <w:tab w:leader="none" w:pos="40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-33020</wp:posOffset>
            </wp:positionV>
            <wp:extent cx="13030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SOTERA HEALTH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2"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4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47-3531161</w:t>
            </w:r>
          </w:p>
        </w:tc>
      </w:tr>
      <w:tr>
        <w:trPr>
          <w:trHeight w:val="216"/>
        </w:trPr>
        <w:tc>
          <w:tcPr>
            <w:tcW w:w="4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680" w:type="dxa"/>
            <w:vAlign w:val="bottom"/>
          </w:tcPr>
          <w:p>
            <w:pPr>
              <w:jc w:val="center"/>
              <w:ind w:left="22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10"/>
        </w:trPr>
        <w:tc>
          <w:tcPr>
            <w:tcW w:w="4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9100 South Hills Blvd, Suite 300</w:t>
            </w:r>
          </w:p>
        </w:tc>
        <w:tc>
          <w:tcPr>
            <w:tcW w:w="4680" w:type="dxa"/>
            <w:vAlign w:val="bottom"/>
          </w:tcPr>
          <w:p>
            <w:pPr>
              <w:spacing w:after="0"/>
              <w:rPr>
                <w:sz w:val="24"/>
                <w:szCs w:val="24"/>
                <w:color w:val="auto"/>
              </w:rPr>
            </w:pPr>
          </w:p>
        </w:tc>
      </w:tr>
      <w:tr>
        <w:trPr>
          <w:trHeight w:val="216"/>
        </w:trPr>
        <w:tc>
          <w:tcPr>
            <w:tcW w:w="4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Broadview Heights, Ohio</w:t>
            </w:r>
          </w:p>
        </w:tc>
        <w:tc>
          <w:tcPr>
            <w:tcW w:w="46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44147</w:t>
            </w:r>
          </w:p>
        </w:tc>
      </w:tr>
      <w:tr>
        <w:trPr>
          <w:trHeight w:val="216"/>
        </w:trPr>
        <w:tc>
          <w:tcPr>
            <w:tcW w:w="4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680" w:type="dxa"/>
            <w:vAlign w:val="bottom"/>
          </w:tcPr>
          <w:p>
            <w:pPr>
              <w:jc w:val="center"/>
              <w:ind w:left="223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040" w:type="dxa"/>
            <w:vAlign w:val="bottom"/>
          </w:tcPr>
          <w:p>
            <w:pPr>
              <w:spacing w:after="0"/>
              <w:rPr>
                <w:sz w:val="18"/>
                <w:szCs w:val="18"/>
                <w:color w:val="auto"/>
              </w:rPr>
            </w:pPr>
          </w:p>
        </w:tc>
        <w:tc>
          <w:tcPr>
            <w:tcW w:w="4680" w:type="dxa"/>
            <w:vAlign w:val="bottom"/>
          </w:tcPr>
          <w:p>
            <w:pPr>
              <w:jc w:val="right"/>
              <w:ind w:right="3399"/>
              <w:spacing w:after="0"/>
              <w:rPr>
                <w:sz w:val="20"/>
                <w:szCs w:val="20"/>
                <w:color w:val="auto"/>
              </w:rPr>
            </w:pPr>
            <w:r>
              <w:rPr>
                <w:rFonts w:ascii="Times New Roman" w:cs="Times New Roman" w:eastAsia="Times New Roman" w:hAnsi="Times New Roman"/>
                <w:sz w:val="16"/>
                <w:szCs w:val="16"/>
                <w:b w:val="1"/>
                <w:bCs w:val="1"/>
                <w:color w:val="auto"/>
              </w:rPr>
              <w:t>(440) 262-1410</w:t>
            </w:r>
          </w:p>
        </w:tc>
      </w:tr>
    </w:tbl>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6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368"/>
        </w:trPr>
        <w:tc>
          <w:tcPr>
            <w:tcW w:w="43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4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SHC</w:t>
            </w:r>
          </w:p>
        </w:tc>
        <w:tc>
          <w:tcPr>
            <w:tcW w:w="4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19" w:lineRule="exact"/>
        <w:rPr>
          <w:sz w:val="24"/>
          <w:szCs w:val="24"/>
          <w:color w:val="auto"/>
        </w:rPr>
      </w:pPr>
    </w:p>
    <w:p>
      <w:pPr>
        <w:ind w:right="3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14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 w:lineRule="exact"/>
        <w:rPr>
          <w:sz w:val="24"/>
          <w:szCs w:val="24"/>
          <w:color w:val="auto"/>
        </w:rPr>
      </w:pPr>
    </w:p>
    <w:p>
      <w:pPr>
        <w:ind w:right="30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 w:lineRule="exact"/>
        <w:rPr>
          <w:sz w:val="24"/>
          <w:szCs w:val="24"/>
          <w:color w:val="auto"/>
        </w:rPr>
      </w:pPr>
    </w:p>
    <w:p>
      <w:pPr>
        <w:ind w:right="140"/>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320" w:type="dxa"/>
        <w:tblCellMar>
          <w:top w:w="0" w:type="dxa"/>
          <w:left w:w="0" w:type="dxa"/>
          <w:bottom w:w="0" w:type="dxa"/>
          <w:right w:w="0" w:type="dxa"/>
        </w:tblCellMar>
      </w:tblP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300" w:type="dxa"/>
            <w:vAlign w:val="bottom"/>
          </w:tcPr>
          <w:p>
            <w:pPr>
              <w:ind w:left="124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300" w:type="dxa"/>
            <w:vAlign w:val="bottom"/>
          </w:tcPr>
          <w:p>
            <w:pPr>
              <w:ind w:left="124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2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5" w:lineRule="exact"/>
        <w:rPr>
          <w:sz w:val="24"/>
          <w:szCs w:val="24"/>
          <w:color w:val="auto"/>
        </w:rPr>
      </w:pPr>
    </w:p>
    <w:p>
      <w:pPr>
        <w:ind w:right="30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ind w:right="320"/>
        <w:spacing w:after="0" w:line="196"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32" w:lineRule="exact"/>
        <w:rPr>
          <w:sz w:val="24"/>
          <w:szCs w:val="24"/>
          <w:color w:val="auto"/>
        </w:rPr>
      </w:pPr>
    </w:p>
    <w:p>
      <w:pPr>
        <w:ind w:right="280"/>
        <w:spacing w:after="0" w:line="252"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stock held by non-affiliates of the registrant as of June 28, 2024, based upon the last sale price of such voting and non-voting common stock on that date, was $1,524,907,421.</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February 20, 2025, there were 283,473,342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DOCUMENTS INCORPORATED BY REFERENCE</w:t>
      </w:r>
    </w:p>
    <w:p>
      <w:pPr>
        <w:spacing w:after="0" w:line="10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Portions of the Definitive Proxy Statement for the registrant’s 2025 Annual Meeting of Stockholders are incorporated by reference in Part III of this Annual Report on Form 10-K. Sotera Health Company intends to file the Definitive Proxy Statement with the Securities and Exchange Commission within 120 days after the end of the registrant’s fiscal year ended December 31, 2024.</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Audit Firm PCAOB ID: 42</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Auditor Name: Ernst &amp; Young LLP</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Auditor Location: Cleveland, Ohio</w:t>
            </w:r>
          </w:p>
        </w:tc>
      </w:tr>
      <w:tr>
        <w:trPr>
          <w:trHeight w:val="1019"/>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Item 1A.</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1B.</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2.</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3.</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4.</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6.</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7.</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Item 7A.</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8.</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9.</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Item 9A.</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9B.</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9C.</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10.</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11.</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12.</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13.</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14.</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Item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8"/>
          <w:szCs w:val="18"/>
          <w:b w:val="1"/>
          <w:bCs w:val="1"/>
          <w:color w:val="auto"/>
        </w:rPr>
        <w:t>- TABLE OF CONTENTS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245745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Unresolved Staff Comments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360045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328"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-29845</wp:posOffset>
            </wp:positionV>
            <wp:extent cx="71323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620"/>
        <w:spacing w:after="0" w:line="320"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-20955</wp:posOffset>
            </wp:positionV>
            <wp:extent cx="713232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197485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Executive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Certain Relationships and Related Transactions, and Director Independence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360045</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 and Financial Statement Schedules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681990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Page No.</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66</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69</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116</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116</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118</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118</w:t>
      </w: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119</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120</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120</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120</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121</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127</w:t>
      </w: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128</w:t>
      </w:r>
    </w:p>
    <w:p>
      <w:pPr>
        <w:sectPr>
          <w:pgSz w:w="11900" w:h="16838" w:orient="portrait"/>
          <w:cols w:equalWidth="0" w:num="3">
            <w:col w:w="1160" w:space="340"/>
            <w:col w:w="8080" w:space="660"/>
            <w:col w:w="68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79" w:lineRule="exact"/>
        <w:rPr>
          <w:sz w:val="20"/>
          <w:szCs w:val="20"/>
          <w:color w:val="auto"/>
        </w:rPr>
      </w:pPr>
    </w:p>
    <w:p>
      <w:pPr>
        <w:ind w:left="980" w:right="120" w:hanging="324"/>
        <w:spacing w:after="0" w:line="257"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other claims will be made in the future relating to these or other facilities;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9"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changes, including inflationary trends, that impact our long-term supply contracts with variable price clauses and increase our cost of revenues;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9" w:lineRule="exact"/>
        <w:rPr>
          <w:rFonts w:ascii="Times New Roman" w:cs="Times New Roman" w:eastAsia="Times New Roman" w:hAnsi="Times New Roman"/>
          <w:sz w:val="18"/>
          <w:szCs w:val="18"/>
          <w:color w:val="auto"/>
        </w:rPr>
      </w:pPr>
    </w:p>
    <w:p>
      <w:pPr>
        <w:ind w:left="980" w:right="4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right="2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ind w:left="980" w:right="64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profitability in future periods;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9" w:lineRule="exact"/>
        <w:rPr>
          <w:rFonts w:ascii="Times New Roman" w:cs="Times New Roman" w:eastAsia="Times New Roman" w:hAnsi="Times New Roman"/>
          <w:sz w:val="18"/>
          <w:szCs w:val="18"/>
          <w:color w:val="auto"/>
        </w:rPr>
      </w:pPr>
    </w:p>
    <w:p>
      <w:pPr>
        <w:ind w:left="980" w:right="34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Annual Report on Form 10-K, including under Part I,</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elsewhere in this Annual Report on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Annual Report on Form 10-K refer to Sotera Health Company, a Delaware corporation, and, where appropriate, its subsidiaries on a consolidated basis.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We completed our initial public offering and listed our shares of common stock on the Nasdaq Global Select Market (“Nasdaq”) in November 2020 under the ticker symbol “SHC.”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Sterilization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sterilization services business is comprised of Sterigenics and Nordion.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our customers’ manufacturing sites and distribution hubs or routes.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Terminal sterilization is the process of sterilizing a product in its final packaging; it is an essential, and often government-mandated, last step in the manufacturing process of healthcare products before they are shipped to end-users. The products that we sterilize include procedure kits and trays, implants, syringes, catheters, wound care products, medical protective barriers, including personal protective equipment (“PPE”), laboratory products and pharmaceuticals.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Sterilization Services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and we continue to explore new alternative modalities and technologies. Our primary terminal sterilization technologies include: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863590" cy="3514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We provide gamma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irradiation services at 23 of our facilities, EO processing services at 17 of our facilities and electron beam (“E-beam”) irradiation services at eight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invest in alternative modalities to serve our customers. X-ray irradiation is a process in which products such as medical devices and lab ware are exposed to machine-generated radiation in the form of X-rays for the purpose of sterilization and decontamination. X-rays are similar in performance to gamma rays and are useful for processing certain materials by virtue of the high penetration capabilities of X-ray. We utilize X-ray irradiation at one of our sterilization facilities for bio-hazard reduction for the United States Postal Service (“USPS”). We are also investing in NO2-based sterilization and other technologies, which have been effective in sterilizing of prefilled syringes, drug-device combination products and custom implants.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Sterilization Applications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183" w:lineRule="exact"/>
        <w:rPr>
          <w:sz w:val="20"/>
          <w:szCs w:val="20"/>
          <w:color w:val="auto"/>
        </w:rPr>
      </w:pPr>
    </w:p>
    <w:p>
      <w:pPr>
        <w:ind w:left="660" w:right="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device sterilization</w:t>
      </w:r>
      <w:r>
        <w:rPr>
          <w:rFonts w:ascii="Times New Roman" w:cs="Times New Roman" w:eastAsia="Times New Roman" w:hAnsi="Times New Roman"/>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therefore inhabited by potentially harmful microbes. Products must therefore be treated before shipment, either in-house by the manufacturer or by an outsourced sterilization provider such as Sterigenics.</w:t>
      </w:r>
    </w:p>
    <w:p>
      <w:pPr>
        <w:spacing w:after="0" w:line="79" w:lineRule="exact"/>
        <w:rPr>
          <w:rFonts w:ascii="Times New Roman" w:cs="Times New Roman" w:eastAsia="Times New Roman" w:hAnsi="Times New Roman"/>
          <w:sz w:val="18"/>
          <w:szCs w:val="18"/>
          <w:color w:val="auto"/>
        </w:rPr>
      </w:pPr>
    </w:p>
    <w:p>
      <w:pPr>
        <w:ind w:left="6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Pharmaceuticals</w:t>
      </w:r>
      <w:r>
        <w:rPr>
          <w:rFonts w:ascii="Times New Roman" w:cs="Times New Roman" w:eastAsia="Times New Roman" w:hAnsi="Times New Roman"/>
          <w:sz w:val="18"/>
          <w:szCs w:val="18"/>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67" w:lineRule="exact"/>
        <w:rPr>
          <w:rFonts w:ascii="Times New Roman" w:cs="Times New Roman" w:eastAsia="Times New Roman" w:hAnsi="Times New Roman"/>
          <w:sz w:val="18"/>
          <w:szCs w:val="18"/>
          <w:color w:val="auto"/>
        </w:rPr>
      </w:pPr>
    </w:p>
    <w:p>
      <w:pPr>
        <w:ind w:left="6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across the Company to help our customers throughout key stages in the lifecycle of these complex products.</w:t>
      </w:r>
    </w:p>
    <w:p>
      <w:pPr>
        <w:spacing w:after="0" w:line="79"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Food and agricultural products</w:t>
      </w:r>
      <w:r>
        <w:rPr>
          <w:rFonts w:ascii="Times New Roman" w:cs="Times New Roman" w:eastAsia="Times New Roman" w:hAnsi="Times New Roman"/>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safety concerns of customers and consumers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spacing w:after="0" w:line="137"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advanced and specialty applications</w:t>
      </w:r>
      <w:r>
        <w:rPr>
          <w:rFonts w:ascii="Times New Roman" w:cs="Times New Roman" w:eastAsia="Times New Roman" w:hAnsi="Times New Roman"/>
          <w:sz w:val="18"/>
          <w:szCs w:val="18"/>
          <w:color w:val="auto"/>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Sterigenics Customers</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2024, Sterigenics served more than 2,000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Although sterilization services are an essential element in our customers’ manufacturing processes, they generally represent a small fraction of the total end-product cost of medical devices. We believe this means that our customers choose our services based on quality, consistency of service and location rather than solely on the cost. These deep, tenured customer relationships are supported by multi-year contracts with cost pass-through provisions, which have resulted in recurring revenue streams.</w:t>
      </w:r>
    </w:p>
    <w:p>
      <w:pPr>
        <w:spacing w:after="0" w:line="18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For many products, our customers are required to include the specific chamber or chambers at which the product was validated to validate a product’s listing in the Food and Drug Administration (“FDA”) (or foreign equivalent) product registration and are typically required to re-register if they switch facilities, which makes switching locations for a particular product a difficult and expensive process for our customers. This dynamic contributes to low customer turnover and long-term relationships.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Sterigenics has achieved high historical customer retention and renewal rates—Sterigenics has 100% renewal rates of its top ten customers for more than five consecutive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Sterigenics’ revenues for the year ended December 31, 2024 were from customers under multi-year contracts.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Sterigenics Competition</w:t>
      </w:r>
    </w:p>
    <w:p>
      <w:pPr>
        <w:spacing w:after="0" w:line="22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Our services generally compete on the basis of the quality of technology and services offered, level of expertise in each of the major sterilization methods, level of expertise in the applicable regulatory requirements, proximity to customers and the cost of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Sterigenics Suppliers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Sterigenics primarily purchases its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Sterigenics Facilities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48 facilities in 13 countries, our global network of sterilization facilities represents a significant competitive advantage. We serve many of our sterilization customers at more than one facility, with approximately 80% of Sterigenics’ net revenues attributable to customers using more than one of our facilities and more than 50% of Sterigenics’ net revenues attributable to customers using five or more of our facilities in 2024. Extensive capital, technical expertise and regulatory knowledge are required to build and maintain our facilities. We estimate that building a new facility may cost over $50 million and the cost may vary depending on sterilization modality, in addition to requiring extensive and complex licensing approval and regulatory compliance processes. We estimate that the cost to replicate the facilities in our network alone could exceed $2.0 billion, in addition to investments required to meet associated technical and regulatory requirements.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By leveraging a global operating system, we drive operational excellence across our network of facilities to achieve high levels of safety, quality, operating efficiency and customer satisfaction to provide a uniform customer experience. Most of our facilities are either International Organization for Standardization (“ISO”) 13485 certified, ISO 9001 certified, or both, as well as licensed and registered in all necessary jurisdictions to comply with government required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Nordion is the leading global provider of Co-60 used in the sterilization and irradiation processes for the medical device, pharmaceutical, food safety, and high-performance materials industries, as well as in the treatment of cancer. Co-60 is a radioactive isotope that emits gamma radiation that sterilizes items by killing contaminating micro-organisms. In addition, Nordion is a leading global provider of gamma irradiation systems, which are the units that house the Co-60 sources within a gamma sterilization facility. We estimate that gamma sterilization, which is a critical component of the global infection control supply chain, accounts for approximately 30% of single-use medical device sterilization worldwide. Nordion’s customers include outsourced contract sterilizers, including Sterigenics, medical device manufacturers that sterilize their products in-house and other specialized medical device manufacturers. Approximately 90% of Nordion’s revenues for the year ended December 31, 2024 were from customers under multi-year contracts.</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possible on the global scale at which it is used today. We are integral to our customers’ operations due to highly coordinated and complex installation processes.</w:t>
      </w:r>
    </w:p>
    <w:p>
      <w:pPr>
        <w:spacing w:after="0" w:line="16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Gamma Knife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similar applications. Today, Co-60 is a critical part of treatment for brain and other cancers because it is noninvasive, reliable, effective and safe to 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Co-60 Production Process</w:t>
      </w:r>
    </w:p>
    <w:p>
      <w:pPr>
        <w:spacing w:after="0" w:line="22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Co-60 production process requires high purity Co-59. Co-59 is produced globally, primarily as a byproduct of nickel and copper mining, and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to five years. Once the conversion to Co-60 is complete, the targets are extracted from the nuclear reactor while the reactor is shut down and shipped to Nordion to be</w:t>
      </w:r>
    </w:p>
    <w:p>
      <w:pPr>
        <w:spacing w:after="0" w:line="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processed into Co-60 sources to be sold to customers. See Item 1A,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—Risks Related to the Company—Safety risks associated with the use, storage and disposal of potentially hazardous materials, such as EO and Co-60, may result in accidents or liabilities that materially affect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Nordion Products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Co-60 is sold to customers by its level of radioactivity as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Ottawa facility. The final product is then placed in specialized containers, which Nordion uses to transport Co-60 to our customers.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We have designed and built over 100 of the estimated 290 large scale irradiation systems active globally. Our installation, physics and engineering teams are comprised of highly trained professionals who provide fast and ongoing technical support from source installation to emergency response.</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Nuclear Reactor Operators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amount of Co-60 supply is ultimately determined by the number of nuclear reactors that are capable of producing Co-60 at a given point in time. Our access to Co-60 tends to vary on a quarterly basis, due primarily to nuclear reactor maintenance schedules, the length of time required to convert Co-59 into Co-60, the limited number of facilities that can generate Co-60 in an economically efficient manner, and the timing of the removal of Co-60 from reactors. While short-term variability in Co-60 supplier delivery timing can sometimes result in variability in our financial performance across fiscal quarters, we work with multiple reactor sites that operate on consistent and predictable discharge and harvest schedules over the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Nordion currently has access to Co-60 supply at multiple nuclear reactors pursuant to multi-year contracts with three operators that cover 13 reactors at five</w:t>
      </w:r>
    </w:p>
    <w:p>
      <w:pPr>
        <w:spacing w:after="0" w:line="2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generating stations, that extend to dates between 2026 and 2064, with our largest supplier under contract until 2064. See Item 1A,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Risk Factors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—Risks Related to the Company—We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We also acquire a portion of our Co-60 supply from reactors that produce Co-60 in Argentina, China and India.</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in Pressurized Water Reactors. We believe this collaboration could further diversify our supply with reliable U.S. domestic partners and encourage the implementation of this patented technology at other reactors around the world.</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continue to evaluate opportunities to increase Co-60 production, including through partnerships with CANDU reactor operators in Canada and Romania that would involve investing in their reactor infrastructure to enable long-term production of Co-60.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Nordion Customers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2024, Nordion supplied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customer pricing strategy across our Sterigenics and Nordion segments.</w:t>
      </w:r>
    </w:p>
    <w:p>
      <w:pPr>
        <w:spacing w:after="0" w:line="180"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8"/>
          <w:szCs w:val="18"/>
          <w:color w:val="auto"/>
        </w:rPr>
        <w:t>We are a leading global supplier of HSA Co-60 used in oncology-related stereotactic radiosurgery devices, including the Gamma Knife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Nordion Competition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Nordion’s two main competitors in the industrial LSA Co-60 sources supply market are a Russian Co-60 sources producer, which historically has supplied certain regions in Europe and Asia, and a China-based producer, which supplies the domestic Chinese market. In addition, certain regional competitors have the capability to produce Co-60. For example, a producer in Argentina supplies certain regions in Central and South America and an Indian producer supplies India and certain parts of Southeast Asia. These competitors could potentially increase their global competition capabilities in the future. Nordion also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competes indirectly with other developing modalities of sterilization, such as X-ray technology, that use electricity to generate radiation and therefore do not require Co-60 sources.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Nordion’s main competitors in the HSA Co-60 industry include suppliers in China, Sweden and North America that have the capability to produce medical Co-60.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Nordion Facilities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Nordion’s operations are supported by a facility in Kanata, Canada dedicated to processing and shipping cobalt, and a European distribution facility in Milton, United Kingdom.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 Testing and Advisory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Lab testing and advisory services are necessary across the medical device and pharmaceutical product lifecycles to evaluate and ensure the safety and effectiveness of healthcare products. We are a global leader in outsourced microbiological and analytical chemistry testing services for the medical device and pharmaceutical industries. In addition to our testing services, our customers often call upon our experts for technical assistance, regulatory consulting and our advisory services. We go to market leveraging our global footprint and an extensive range of services under our Nelson Labs brand.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established ourselves as a critical partner for our customers through our delivery of high-quality services, quick testing turnaround times, responsiveness, high-touch support and easy accessibility to our science and service teams. We have an industry-leading brand recognized for the quality and comprehensiveness of our services,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76" w:lineRule="exact"/>
        <w:rPr>
          <w:sz w:val="20"/>
          <w:szCs w:val="20"/>
          <w:color w:val="auto"/>
        </w:rPr>
      </w:pPr>
    </w:p>
    <w:p>
      <w:pPr>
        <w:ind w:left="660" w:right="100" w:hanging="328"/>
        <w:spacing w:after="0" w:line="31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Product Development and Validation</w:t>
      </w:r>
      <w:r>
        <w:rPr>
          <w:rFonts w:ascii="Times New Roman" w:cs="Times New Roman" w:eastAsia="Times New Roman" w:hAnsi="Times New Roman"/>
          <w:sz w:val="17"/>
          <w:szCs w:val="17"/>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 Product design</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Cleaning and disinfection validation (for reusable devices)</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selection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Package barrier properties</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Biological safety evaluation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simulation</w:t>
            </w:r>
          </w:p>
        </w:tc>
      </w:tr>
      <w:tr>
        <w:trPr>
          <w:trHeight w:val="229"/>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Toxicological risk assessment</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 xml:space="preserve">◦  </w:t>
            </w:r>
            <w:r>
              <w:rPr>
                <w:rFonts w:ascii="Times New Roman" w:cs="Times New Roman" w:eastAsia="Times New Roman" w:hAnsi="Times New Roman"/>
                <w:sz w:val="18"/>
                <w:szCs w:val="18"/>
                <w:color w:val="auto"/>
                <w:w w:val="99"/>
              </w:rPr>
              <w:t>Filtration efficiency and physical functionality of PPE (including surgical</w:t>
            </w:r>
          </w:p>
        </w:tc>
      </w:tr>
      <w:tr>
        <w:trPr>
          <w:trHeight w:val="231"/>
        </w:trPr>
        <w:tc>
          <w:tcPr>
            <w:tcW w:w="4100" w:type="dxa"/>
            <w:vAlign w:val="bottom"/>
            <w:gridSpan w:val="2"/>
          </w:tcPr>
          <w:p>
            <w:pPr>
              <w:spacing w:after="0"/>
              <w:rPr>
                <w:sz w:val="20"/>
                <w:szCs w:val="20"/>
                <w:color w:val="auto"/>
              </w:rPr>
            </w:pP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Sterilization modality selection and sterilization</w:t>
            </w:r>
          </w:p>
        </w:tc>
        <w:tc>
          <w:tcPr>
            <w:tcW w:w="56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facemasks, N95 respirators, gowns, drapes and other PPE)</w:t>
            </w:r>
          </w:p>
        </w:tc>
      </w:tr>
      <w:tr>
        <w:trPr>
          <w:trHeight w:val="234"/>
        </w:trPr>
        <w:tc>
          <w:tcPr>
            <w:tcW w:w="2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validation</w:t>
            </w: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p>
        </w:tc>
      </w:tr>
    </w:tbl>
    <w:p>
      <w:pPr>
        <w:spacing w:after="0" w:line="225" w:lineRule="exact"/>
        <w:rPr>
          <w:sz w:val="20"/>
          <w:szCs w:val="20"/>
          <w:color w:val="auto"/>
        </w:rPr>
      </w:pPr>
    </w:p>
    <w:p>
      <w:pPr>
        <w:ind w:left="660" w:right="180"/>
        <w:spacing w:after="0" w:line="312" w:lineRule="auto"/>
        <w:rPr>
          <w:sz w:val="20"/>
          <w:szCs w:val="20"/>
          <w:color w:val="auto"/>
        </w:rPr>
      </w:pPr>
      <w:r>
        <w:rPr>
          <w:rFonts w:ascii="Times New Roman" w:cs="Times New Roman" w:eastAsia="Times New Roman" w:hAnsi="Times New Roman"/>
          <w:sz w:val="17"/>
          <w:szCs w:val="17"/>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5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 Advisory</w:t>
      </w:r>
      <w:r>
        <w:rPr>
          <w:rFonts w:ascii="Times New Roman" w:cs="Times New Roman" w:eastAsia="Times New Roman" w:hAnsi="Times New Roman"/>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66"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 Study design</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Technical troubleshooting and scientific problem solving</w:t>
            </w:r>
          </w:p>
        </w:tc>
      </w:tr>
      <w:tr>
        <w:trPr>
          <w:trHeight w:val="230"/>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 Development and justification of acceptance criteria</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 Regulatory compliance related services, including supporting clients through the</w:t>
            </w:r>
          </w:p>
        </w:tc>
      </w:tr>
      <w:tr>
        <w:trPr>
          <w:trHeight w:val="304"/>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 Onsite facility evaluation and validations</w:t>
            </w:r>
          </w:p>
        </w:tc>
        <w:tc>
          <w:tcPr>
            <w:tcW w:w="40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submission process</w:t>
            </w:r>
          </w:p>
        </w:tc>
      </w:tr>
    </w:tbl>
    <w:p>
      <w:pPr>
        <w:spacing w:after="0" w:line="170"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180" w:lineRule="exact"/>
        <w:rPr>
          <w:sz w:val="20"/>
          <w:szCs w:val="20"/>
          <w:color w:val="auto"/>
        </w:rPr>
      </w:pPr>
    </w:p>
    <w:p>
      <w:pPr>
        <w:ind w:left="660" w:right="10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Routine Sterility and Quality Control Testing</w:t>
      </w:r>
      <w:r>
        <w:rPr>
          <w:rFonts w:ascii="Times New Roman" w:cs="Times New Roman" w:eastAsia="Times New Roman" w:hAnsi="Times New Roman"/>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Labs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-5080</wp:posOffset>
            </wp:positionV>
            <wp:extent cx="5863590" cy="3446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competitive advantage in terms of expertise. Our experts serve in predominant roles on a number of standards writing organizations, including the United States Pharmacopeia, AAMI, American Society of Testing and Materials and the ISO. We have established credibility and trust with regulators and standards writing organizations which helps us educate customers about the continually changing testing requirements in a complex and evolving regulatory landscape. Our regulatory and scientific expertise in laboratory testing allows us to serve as a thought leader within the industry and provide high-quality service to our customers. We focus on providing highly differentiated services that our customers can rely upon to ensure compliance of and enhance their products. For example, over the course of 15 years, we have developed a proprietary, world-class compound database with over 8,000 known elements which enables our extractables and leachables testing. This database allows us to provide analytical data that differentiates our capabilities from our competitors.</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Nelson Labs Customers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2024, Nelson Labs served approximately 3,000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customer service team.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Nelson Labs Competition</w:t>
      </w:r>
    </w:p>
    <w:p>
      <w:pPr>
        <w:spacing w:after="0" w:line="2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our reputation with customers and regulators and the cost of services.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Nelson Labs Suppliers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Nelson Labs Facilities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operate from a five-building campus in Salt Lake City, Utah, with 85 laboratories including metrology, training, media prep labs, five ISO Class V certified clean rooms and customizable lab spaces. We also have facilities in Itasca, Illinois; Leuven,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Belgium; Pleasant Prairie, Wisconsin; Wiesbaden, Germany, and seven other laboratories embedded in our Sterigenics sterilization facilities in North America, Europe and Asia.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One of our values is People. We value a global team that is talented, experienced, inclusive, respectful, passionate and collaborative. Our human capital strategy is aligned with our business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 As of December 31, 2024, we employed over 3,000 employees worldwide. Certain of our employees, primarily outside of the United States, are represented by labor unions or work councils and are negotiating or working under collective bargaining or similar agreements, some of which are subject to periodic renegotiation. One labor union within the U.S., representing approximately 40 employees, is covered under a collective bargaining agreement.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committed to providing a safe work environment for our employees and contractors. We have implemented a health and safety program to manage workplace safety hazards and to protect employees. The program includes periodic reviews of our work practices by external third parties as inputs for continuous improvement. Additionally, as part of our corporate governance practices, we review the outcomes of our safety program at the highest levels of the Company, including our board of directors.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committed to creating a positive employee experience for our teams. We work to achieve this through our focus on the inclusion, well-being and development of all of our team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Our Nuclear Substance Processing Facility Operating license, CNSC Export license and CNSC Device servicing licenses for our Kanata facility were renewed in October 2015 for a 10-year period, and Nordion is currently engaged in the renewal process for these licenses set to expire in 2025. In addition to the nuclear aspect of our products, many of the products that we process are medical devices directed for human use or products used in the manufacture of medical devices that are directed for human use. Our facilities hold various ISO certifications including ISO 9002, 9001, 13485, 14001, 45001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or testing a product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(“NRC”) and other agencies also require that equipment used at our facilities be designed and operated in a manner that is safe and with proper safety precautions and practices when handling, monitoring and storing EO and Co-60.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strive to comply with these regulatory requirements and could be subject to significant civil and criminal fines and penalties for non-compliance.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we employ a Senior Vice President of Environmental, Health and Safety who reports directly to the Chief Executive Officer and has a team of approximately 50 employees.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For additional information, please see Item 1A,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—Risks Related to the Company.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 Regulatory Overview</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general environmental laws and regulations, EO facilities and the EO sterilization process are subject to specific regulatory requirements under federal laws in the United States and the laws of the countries in which we operate, including European Union regulations. These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EO sterilization facilities evacuate EO from the sterilization chambers and aeration rooms. Most countries in which we operate have varying emission control requirements for EO emissions from our facilities. We are investing in additional controls on EO emissions at our facilities to meet or exceed current and expected future regulatory requirements and further reduce facility emissions. In the United States, our supplier maintains FIFRA registrations for EO as a medical device sterilant for users of EO across the United States. On March 14, 2024, the US EPA announced final rules under the National Emission Standards for Hazardous Air Pollutants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continuous emissions monitoring systems (“CEMS”). Our operations are required to comply with the final NESHAP EO sterilizer regulation by April 6, 2026 and to conduct a compliance test and demonstrate compliance within 180 days after that date.</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January 2025, the US EPA announced its final Interim Decision (“ID”) under FIFRA relating to the registration of EO for medical device sterilization. 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 regulatory requirements and obligations exist in certain other states, including requirements for the provision of notices regarding the release of or exposure to EO. Some states are considering changes that would impose new requirements for EO commercial sterilization facilities. For example, in December 2023, regulators in California imposed a number of new requirements with which our EO sterilization facilities will need to comply. Bills have been introduced in the U.S. Congress to further regulate EO sterilization activity.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of our EO sterilization facilities utilizes a variety of control technologies (including wet scrubbers, catalytic oxidizers and dry bed scrubbers) to control emissions, and we are investing in additional control features to further reduce emissions. For 2025, we expect capital expenditures of approximately $46 million related to environmental facility enhancements across all facilities within our business, and we anticipate continuing to invest in environmental facility enhancements in the future. We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consistently meet or exceed regulatory emissions control requirements, although we have periodically experienced isolated instances of emissions exceeding applicable standards or other non-compliance, none of which we believe were material. We expect to be able to satisfy any changes to applicable regulatory requirements as they evolve and are committed to doing so, although there can be no assurance that we will always be able to meet new regulatory requirements.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Gamma Irradiation Regulatory Overview</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periodically updates and issues new security requirements for our U.S. gamma facilities.</w:t>
      </w:r>
    </w:p>
    <w:p>
      <w:pPr>
        <w:spacing w:after="0" w:line="18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E-beam and X-ray Irradiation Regulatory 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and amendments to those reports filed or furnished pursuant to Section 13(a) or 15(d) of the Securities Exchange Act of 1934, as amended (the “Exchange Act”), are made available free of charge through the Investor Relations page of our internet website at </w:t>
      </w:r>
      <w:r>
        <w:rPr>
          <w:rFonts w:ascii="Times New Roman" w:cs="Times New Roman" w:eastAsia="Times New Roman" w:hAnsi="Times New Roman"/>
          <w:sz w:val="18"/>
          <w:szCs w:val="18"/>
          <w:u w:val="single" w:color="auto"/>
          <w:color w:val="auto"/>
        </w:rPr>
        <w:t>https://investors.soterahealth.com</w:t>
      </w:r>
      <w:r>
        <w:rPr>
          <w:rFonts w:ascii="Times New Roman" w:cs="Times New Roman" w:eastAsia="Times New Roman" w:hAnsi="Times New Roman"/>
          <w:sz w:val="18"/>
          <w:szCs w:val="18"/>
          <w:color w:val="auto"/>
        </w:rPr>
        <w:t xml:space="preserve">, as soon as reasonably practicable after such documents are electronically filed with, or furnished to, the Securities and Exchange Commission (“SEC”). The SEC maintains an internet website,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describe below certain risks that could adversely affect our business, prospects, financial condition or results of operations. While we believe we have identified and discussed below the key risks affecting our business, there may be additional risks and uncertainties that are not presently known or that are not currently believed to be significant that may adversely affect our business, results of operations, cash flow, liquidity or financial condition in the future. These risk factors may change from time to time and may be amended, supplemented or superseded by updates to the risk factors contained in our future periodic reports, Quarterly Reports on Form 10-Q and reports on other forms we file with the SEC. All forward-looking statements about our future results of operations or other matters made by us in this Annual Report on Form 10-K as well as our consolidated financial statements and notes, and in our subsequently filed reports to the SEC, as well as in our press releases and other public communications, are qualified by the risks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factors and uncertainties, including those outside of our control, that could cause our actual results to be harmed, including risks regarding the following:</w:t>
      </w:r>
    </w:p>
    <w:p>
      <w:pPr>
        <w:spacing w:after="0" w:line="54"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United Kingdom and European Union;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 which may negatively impact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other claims will be made in the future relating to these or other facilities;</w:t>
      </w:r>
    </w:p>
    <w:p>
      <w:pPr>
        <w:spacing w:after="0" w:line="6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adverse changes in industry trends;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competition we face;</w:t>
      </w:r>
    </w:p>
    <w:p>
      <w:pPr>
        <w:spacing w:after="0" w:line="89" w:lineRule="exact"/>
        <w:rPr>
          <w:rFonts w:ascii="Arial" w:cs="Arial" w:eastAsia="Arial" w:hAnsi="Arial"/>
          <w:sz w:val="22"/>
          <w:szCs w:val="22"/>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information technology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current and potential claims from third parties that we have infringed or misappropriated or are infringing or misappropriating their intellectual property rights;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(including California and the European Union) and any ineffective compliance efforts with such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w:t>
      </w:r>
    </w:p>
    <w:p>
      <w:pPr>
        <w:spacing w:after="0" w:line="53" w:lineRule="exact"/>
        <w:rPr>
          <w:rFonts w:ascii="Times New Roman" w:cs="Times New Roman" w:eastAsia="Times New Roman" w:hAnsi="Times New Roman"/>
          <w:sz w:val="18"/>
          <w:szCs w:val="18"/>
          <w:color w:val="auto"/>
        </w:rPr>
      </w:pPr>
    </w:p>
    <w:p>
      <w:pPr>
        <w:ind w:left="660" w:right="180" w:hanging="328"/>
        <w:spacing w:after="0" w:line="289"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 prevent us from meeting our obligations under our existing and future indebtedness; and</w:t>
      </w:r>
    </w:p>
    <w:p>
      <w:pPr>
        <w:spacing w:after="0" w:line="4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control that certain investment funds and entities affiliated with Warburg Pincus and GTCR, which we refer to collectively as the “Sponsors,” continue to have over us, which could limit stockholders’ ability to influence the outcome of key transactions, including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or sanctions against Russia by the United States, Canada, the United Kingdom and the European Union, may have a material adverse effect on our operating results.</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purchase certain direct materials, equipment and services necessary for our specialized products and services from a limited number of suppliers and subcontractors, and, in certain cases, we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the unavailability or short-supply of raw materials or services, labor disruptions, changes in regulatory requirements, delays in securing required regulatory approvals, geopolitical instability, sanctions or other adverse occurrences), we may incur increased costs for our direct materials or equipment and may be unable to accommodate new business or meet our current customer commitments. For example, although there is more than one supplier of EO in most of the countries in which we operate, in the United States there is a single supplier for EO for our sterilization business. Further, our reliance on a single or limited number of suppliers may limit our negotiating power, particularly during times of rising direct material costs. Any interruptions that we experience in our supply of EO or Co-60 may disrupt, interrupt or shut down portions of our operations, materially increase our costs or have other adverse effects on our business, prospects, financial condition or results of operations.</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source a substantial portion of our Co-60 supply from three nuclear reactor operators and six reactor sites in Canada and Russia under contracts that extend to between 2026 and 2064. See Item 1, “Business—Our Businesses—Sterilization Services—Nordion—Nuclear Reactor Operators.” If there is a decrease in output from any of these reactors (including as a result of a natural disaster or other adverse occurrence), the counterparties fail to perform under their agreements with us or decline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Shutdowns in the past of a government-owned reactors have decreased the availability of Co-60 and potential shutdowns in the future could decrease the availability of Co-60, which could have a material adverse effect on our business, prospects, financial condition or results of operations.</w:t>
      </w:r>
    </w:p>
    <w:p>
      <w:pPr>
        <w:spacing w:after="0" w:line="19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estimate approximately 20% of our long-term supply of Co-60 will be generated by Russian nuclear reactors. Further, over the next few years, we expect that there will be periods when, owing to planned or unplanned outages and variability in supply from reactors located in other countries, the proportion of our supply from Russian reactors may increase to as much as approximately 50% in a given year. The United States, Canada, United Kingdom and European Union have imposed and are expected to continue imposing sanctions against Russian industries, Russian officials and certain Russian companies, banks, logistics providers and individuals. Russia has responded and is expected to continue to respond with countermeasures,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prohibiting imports of certain goods from certain other countries and exports of certain goods from Russia to certain other countries.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Expanded sanctions could target additional government- and privately-owned operations in Russia, including nuclear reactor operators, banks and logistics providers, and these expanded sanctions could prevent us from doing business with them. For example, certain banks through which our suppliers have been paid in the past have been sanctioned and there is no assurance the suppliers will continue to be able to find new, unsanctioned banking relationships in the future. Moreover, although Co-60 has not been sanctioned directly, sanctions on other products and materials imported from and exported to Russia have disrupted the logistics required to import Co-60 from Russia, requiring us, our logistics providers (including the single ocean carrier that is presently licensed to carry radioactive goods from Russia to North America) and insurers to seek licenses that will come up for renewal in 2026 and 2027. There are also various Canadian CNSC and Global Affairs Canada licenses for export and import of Canadian Co-59 “targets,” such as cobalt pellets and slugs, that require renewal on a routine basis. Although these other licenses were historically required as part of control of the nuclear industry and are not related to the increased sanction frameworks, an inability to obtain these licenses would impact future supply. CNSC licenses for the imports and exports related to the targets expire in 2028. If present or future sanctions against Russia directly or indirectly impede the shipment of Co-60 from Russia to North America or targets from North America to Russia, if we or our logistics providers are unable to secure or renew licenses under existing or future sanctions, if we are unable to identify international logistics providers needed for the supply of Co-60 or if Russia responds with further countersanctions, it may generally become more difficult to do business with Russian entities, which could have a material adverse effect on our business, prospects, financial condition or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evolving changes in environmental, health and safety regulations, which may negatively impact our business.</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Federal, state, local and international authorities regulate operations within our three business units, including the operation of our gamma irradiation and EO processing plants, as well as the operations of our customers. If the regulators that govern our operations or the operations of our customers were to institute restrictive or onerous policies or regulations that increase our costs or change the preferences or requirements of our customers or suppliers, demand for and the timely and cost-effective availability of our products and services may be materially affected.</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certain regulators, including the FDA, have started initiatives to encourage development of sterilization alternatives to EO processing. For example, the FDA approved vaporized hydrogen peroxide as a Category-A sterilization methodology in 2024. We have taken part in some of these initiatives. We have also made proactive, voluntary investments to enhance the emissions controls and employee protections within our EO facilities. Still,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Reconfiguring a gamma irradiation or EO processing plant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18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use, storage and disposal of potentially hazardous materials, such as EO and Co-60, may result in accidents or liabilities that materially affect our results of operations.</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EO is flammable and potentially explosive. Despite our extensive safety measures, a fire or explosion could occur at a sterilization facility where we use EO, which could interrupt our normal operations and result in facility closures, workplace injuries, property damage, or otherwise adversely affect our business.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have been injured in our facilities and we have experienced property damage, production disruptions and temporary facility closures. Any injuries or damage to people, equipment or property or other disruptions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 subject of lawsuits alleging that purported EO emissions from certain of our current and former facilities have resulted in toxicological or health-related impacts on the environment and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associated adverse effects.”</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Nordion contracts for the activation of Co-59 “targets,” such as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nevertheless could be subject to lawsuits for damage to the nuclear installation or damages from a nuclear incident that were allegedly intentionally caused. While we make efforts to protect our interests through contractual provisions, quality assurance programs and the nature of our commercial relationships, there is no assurance that any of these measures or liability channeling laws or conventions will always prove effective in shielding us from liability, and any such liability or consequences could have a material adverse impact on our business, results of operation and financial condition.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carry pollution liability insurance for all our facilities and related operations and liability insurance, including from third party bodily injury or property damage allegedly arising from the storage, use, transportation or accident involving Co-60 sources throughout our operations. But this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pending claims alleging that purported EO emissions from certain of our facilities have resulted in toxicological or health-related impacts on the environment and the communities that surround these facilities. To the extent any pollution liability is not covered by our insurance or able to be recovered from other parties, our business, financial condition or results of operations could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health risks associated with the use of EO may subject us to future liability claims and associated adverse effects.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Potential health risks associated with exposure to EO subject us to the risk of liability claims being made against us by workers, contractors, employees of our customers and individuals who have resided, worked, attended school or otherwise spent time within miles of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emitted from sterilization facilities. In 2016, the US EPA published its Integrated Risk Information System toxicity assessment of EO (the “2016 IRIS Assessment”), and, since 2018, the US EPA has published National Air Toxics Assessments, which have been succeeded by Air Toxics Screening Assessments. These assessments have used the 2016 IRIS Assessment and other data to identify EO as a potential cancer concern in several areas across the country, including areas surrounding our former facility in Willowbrook, Illinois and our facilities in Atlanta, Georgia and Santa Teresa, New Mexico. Although we and other organizations disagree with the US EPA’s assessments of the carcinogenic potency of EO, Sterigenics’ facilities and other EO facilities could continue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be the subject of unfavorable air quality assessments, regulations and other initiatives as risk assessments of EO continue to evolve and we can give no assurance as to the impact of such EO risk or air quality assessments on our business, prospects, financial condition, litigation and regulatory risks or results of operations.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currently subject to lawsuits in California, Georgia, Illinois and New Mexico alleging personal injury, property devaluation and other claims related to our use of EO at, or emissions and releases of EO from our facilities.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We deny these allegations against us and our subsidiaries. See related Risk Factor “—We are currently defending certain litigation, and we are likely to be subject to additional litigation in the future,” Item 3, “Legal Proceedings” and Note 19, “Commitments and Contingencies,” to our consolidated financial statements. We may be subject to other claims by private plaintiffs and/or state or local governments and/or agencies in the future relating to our current or former facilities. In addition, we have encountered and may continue to encounter resistance, protests or other actions in communities where our existing facilities are located or where we seek to establish or expand facilities based on perceptions within these communities of the risks associated with exposure to EO. Publicity regarding community resistance to EO facilities may also have other adverse impacts, including damage to our reputation and public pressure against our facilities that may affect our ability to conduct our business.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are the subject of other lawsuits related to use,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defending certain litigation, and we are likely to be subject to additional litigation in the future.</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19, “Commitments and Contingencies,” to our consolidated financial statements under the heading “Ethylene Oxide Tort Litigation,” we are currently subject to lawsuits in California, Georgia and Illinois brought by private plaintiffs and, in New Mexico, a government entity, alleging personal injury, property devaluation and other claims related to our use, emissions and releases of EO.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w:t>
      </w:r>
    </w:p>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such litigation, plaintiffs typically seek various remedies, including injunctive relief and compensatory and punitive damages. Settlement demands may seek significant payments and other remedies, or otherwise be on terms that we do not consider reasonable under the circumstances. Settlement negotiations may result in agreements to settle claims on various terms and conditions adverse to the Company, including significant payments to settle claims that we believe are without merit. In some instances, despite our compliance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EO-related litigation or regulator activity could incentivize parties to bring additional claims against us.</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financial impact of litigation, particularly mass action lawsuits, is difficult to assess or quantify. The outcomes of jury trials are unpredictable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result in an increase of our insurance premiums, and exhaust any available insurance coverage. Claims against us that result in entry of a judgment or that we settle that are not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covered or not sufficiently covered by insurance policies, or which fall within retained liability under our policies, could have a material adverse impact on our business, prospects, financial condition or results of operations. Our current environmental liability insurance does not cover claims related to EO. Even where we have coverage under prior or existing policies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costs to defend such claims, and the amount of any settlement or judgment. Any settlement or judgment against us arising out of pending or future claims related to EO would likely exceed any insurance recoveries available to us and could have a material adverse effect on our business, prospects, financial condition or results of operations. See Note 19, “Commitments and Contingencies,” to our consolidated financial statements for more detail on our pending litigation.</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 adverse judgment and may in the future receive other adverse judgments in litigation relating to our use, emissions and releases of EO. Despite our belief that these claims are not supported by the science and are otherwise without merit, we have entered and may in the future enter into agreements to settle claims relating to our use, emissions and releases of EO. The resolution of these matters by litigation or settlement may have a negative impact on our financial condition and liquidity in the near and long term.</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described elsewhere in Note 19, “Commitments and Contingencies,” to our consolidated financial statements under the heading “Ethylene Oxide Tort Litigation,” we are subject to tort lawsuits alleging injuries caused by our use of EO and low-level environmental exposure to EO emissions and releases from certain of our sterilization facilities. Trials were conducted in the Circuit Court of Cook County, Illinois in late 2022 in two individual cases related to the Willowbrook, Illinois facility. The first trial resulted in a verdict for the plaintiff and a judgment of $358.7 million (including $320 million in punitive damages) against Sterigenics U.S., LLC and Sotera Health LLC (the “Defendant Subsidiaries”). Two months later, the second trial resulted in a verdict for the Defendant Subsidiaries.</w:t>
      </w:r>
    </w:p>
    <w:p>
      <w:pPr>
        <w:spacing w:after="0" w:line="1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January 2023, the Defendant Subsidiaries entered into binding term sheets that provided an agreed path to pay $408.0 million to settle over 880 claims related to our former facility in Willowbrook, Illinois, including the claim of the plaintiff in the first trial. The settlement was finalized in June 2023. Two plaintiffs opted out of the settlement and approximately 100 more cases have since been brought relating to the Willowbrook facility, mostly in connection with illnesses diagnosed subsequent to June 2023.</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2023, the Defendant Subsidiaries entered into binding term sheets to pay $35 million to resolve 79 claims related to the Atlanta, Georgia facility. The settlement was finalized with 100 percent participation by the 79 eligible claimants in January 2024. Approximately 315 personal injury claims and 345 property devaluation claims related to the Atlanta facility, and a lawsuit in which employees of a sterilization customer of Sterigenics allege they were injured while working at the customer’s distribution facility by exposure to residual EO allegedly emanating from products of the customer that had been sterilized by Sterigenics remain pending in the State Court of Cobb County, Georgia.</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continue to believe that the EO-related claims are without merit and intend to vigorously defend the remaining EO cases and any future EO cases. We do not believe the damages award in the first trial in Illinois is predictive of potential future damage awards in the other EO tort cases, or that the settlement amounts reflected in the Willowbrook or Atlanta settlements described above are predictive of potential future settlements, but there can be no assurance that any cases proceeding to trial will not result in significant judgments adverse to us, the Defendant Subsidiaries or other subsidiaries and future settlements of EO cases are reasonably possible. In the event we or our subsidiaries receive one or more additional adverse judgments in any EO tort case(s), we or our subsidiaries may be required to post security of a significant amount to stay those judgments through the appeals process.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Actions required to secure appellate bonds may create a substantial strain on our and our subsidiaries’ liquidity and financial condition. There is no assurance that our subsidiaries or the Company will meet the requirements to provide an appellate bond(s) for appeals of any future adverse judgments. If we or our subsidiaries are unable to meet those requirements and are not able to secure an appellate bond when and in the form and amount required by the courts for the appeal to proceed, the judgment(s) will become enforceable and may exceed our or our subsidiaries’ ability to pay in cash. If we or our subsidiaries are unable to pay in cash, the Company or our subsidiaries may be required to seek financing, sell assets or take other measures to address the judgments. There can be no assurance that our subsidiaries or the Company will be able to secure such financing, and any sales of assets or other such actions taken to attempt to satisfy judgments may significantly limit our liquidity, harm our financial condition and increase our leverage.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80"/>
        <w:spacing w:after="0" w:line="256" w:lineRule="auto"/>
        <w:rPr>
          <w:sz w:val="20"/>
          <w:szCs w:val="20"/>
          <w:color w:val="auto"/>
        </w:rPr>
      </w:pPr>
      <w:r>
        <w:rPr>
          <w:rFonts w:ascii="Times New Roman" w:cs="Times New Roman" w:eastAsia="Times New Roman" w:hAnsi="Times New Roman"/>
          <w:sz w:val="18"/>
          <w:szCs w:val="18"/>
          <w:color w:val="auto"/>
        </w:rPr>
        <w:t>In addition, an event of default under the Senior Secured Credit Facilities (as defined below) and the Indenture (as defined below)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Thus, if we or our subsidiaries are unable to meet collateral requirements to post an appellate bond to stay the enforceability of a judgment, absent judicial relief, we may be required to negotiate with our current lenders to avert a default under our senior secured credit facilities and the success of such negotiations cannot be assured.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products that are damaged as a result of the nonconformance. We could be held liable for personal injury, contractual or other damages that are alleged to result from improper or incorrect processing, cycle parameters or dosage specifications, testing or product damage. Even where processing occurred within cycle parameters, we have faced and may face future claims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result in claims of economic or other loss or personal injury.</w:t>
      </w:r>
    </w:p>
    <w:p>
      <w:pPr>
        <w:spacing w:after="0" w:line="19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derive limited revenue from government customers. Our government contracts may contain additional requirements that may increase our costs of doing business, subject us to additional government scrutiny and expose us to liability for failure to comply with additional government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maintain product and professional liability insurance coverage in amounts we believe are customary for a company of our size,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Our current product and professional liability insurance does not cover matters related to EO emissions, for example. A product recall or seizure or a partially or completely uninsured judgment against us could have a material adverse effect on our business, prospects, financial condition or results of operations.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marketing, transportation, drug enforcement (governing the handling of controlled substances), protection against infectious diseases and pathogens and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agriculture, fish and wildlife. These laws and regulations regulate our use of potentially hazardous materials, such as EO, Co-60 and E-beam, and can require us to carefully manage, control emissions of and/or limit human exposure to, these materials. For example, OSHA and U.S. EPA regulations and similar laws in other jurisdictions limit worker exposure to EO. In addition, FDA and comparable foreign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2024, the US EPA announced final rules under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CEMS. Our operations are required to comply with the final NESHAP EO sterilizer regulation by April 6, 2026 and to conduct a compliance test and demonstrate compliance within 180 days after that date.</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investments in emission control enhancements and employee protection at our EO facilities have positioned us to be able to comply with the updated NESHAP and FIFRA ID requirements within the timeframes specified by the final rules, but the requirements of the final rules represent significant changes from historical requirements and are challenging for existing EO sterilization facilities like ours, and therefore we cannot provide certainty that we will be able to comply with the requirements of the final rules at our EO facilities within the time required. Compliance with the final NESHAP and ID may ultimately require additional facility modifications, capital expenditures and operational costs beyond what the Company is presently anticipating.</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EPA has engaged in additional regulatory activities relating to EO emissions that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recent years, the US EPA has conducted outreach sessions in communities located near commercial EO sterilization facilities. Such community outreach sessions have in the past, and may in the future, create community concerns and increase the risk of litigation near commercial EO sterilization facilities, including ours, notwithstanding facility compliance with applicable rules and control of emissions beyond the requirements of applicable rules.</w:t>
      </w:r>
    </w:p>
    <w:p>
      <w:pPr>
        <w:spacing w:after="0" w:line="18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State and local authorities, including California and the South Coast Air Quality Management District (“SCAQMD”) in Southern California, are also conducting community outreach sessions relating to EO commercial sterilization facilities. SCAQMD also adopted new regulations for EO sterilization facilities in December 2023, which require new compliance actions by September 2025. In 2024, SCAQMD published a new health risk assessment and conducted community meetings about risks related to EO emissions from Sterigenics facilities in Vernon, California, and is expected in 2025 to do the same related to the Sterigenics facility in Ontario, California. The European Union has also been reviewing current regulations for the use of EO in EO sterilization facilities and has decided that EO as a sterilizing agent for medical devices will fall under the scope of the European Union Medical Devices Regulation, which may impose new and different regulatory requirements for the use of EO in the European Union. We expect to incur capital costs for enhancements to our equipment and to implement process automation and emission control enhancements to comply with these and other evolving requirements, and we cannot provide assurance that we will be able to timely meet all requirements. If future regulations differ from our current expectations, they may require additional modifications and capital costs beyond what we have budgeted for, which could be material. New standards for commercial EO sterilization, such as the new US EPA standards based on the 2016 IRIS Assessment, could also make it more difficult and expensive to raise capital for future investments in EO sterilization facilities.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inasmuch as all are signatories to the IAEA conventions and have adopted safety standards from the IAEA and recommendations from the ICRP.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From time to time, the FDA issues Form 483 findings related to our operations and may issue warning letters or take other administrative or enforcement actions for noncompliance with FDA laws and regulations. The issues raised by such warning letters and related administrative actions require significant resources and time to correct. Failure to comply with regulatory requirements could have a material adverse effect on our business.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the extent Nordion ceases to operate its facility in Kanata, Canada in the future, Nordion will be responsible for the radiological decommissioning of such facility, including in respect of the portion leased by BWX Technologies, Inc. in connection with its 2018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$49.1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See Item 1, </w:t>
      </w:r>
      <w:r>
        <w:rPr>
          <w:rFonts w:ascii="Arial" w:cs="Arial" w:eastAsia="Arial" w:hAnsi="Arial"/>
          <w:sz w:val="21"/>
          <w:szCs w:val="21"/>
          <w:color w:val="auto"/>
        </w:rPr>
        <w:t>“</w:t>
      </w:r>
      <w:r>
        <w:rPr>
          <w:rFonts w:ascii="Times New Roman" w:cs="Times New Roman" w:eastAsia="Times New Roman" w:hAnsi="Times New Roman"/>
          <w:sz w:val="18"/>
          <w:szCs w:val="18"/>
          <w:color w:val="auto"/>
        </w:rPr>
        <w:t>Business—Governmental Regulation and Environmental Matters” for more information on the regulatory requirements of our businesses. Compliance with these regulations, our own voluntary programs that relate to maintaining the safety of our employees and facilities as well as the environment, and the safety and competitiveness of our equipment, systems and facilities, may be difficult, burdensome or expensive. Any changes in these regulations, the interpretation of such regulations or our customers’ perception of such changes could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some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For example, officials stopped operations at one of our facilities purportedly to review our fire and building code status and certificate of occupancy and we were required to initiate and prevail in litigation to establish that we were entitled to continue to operate our facility.</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19, “Commitments and Contingencies,” to our consolidated financial statements and related Risk Factor “—Potential health risks associated with the use of EO may subject us to future liability claims and associated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difficulties fulfilling our obligations to our customers, any of which could have a material adverse effect on our business, prospects, financial condition or results of operations.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EO and Co-60 raw materials are potentially hazardous and we are therefore subject to stringent requirements to secure these materials from theft or other unauthorized uses. If our failure to adequately secure these materials leads to them being stolen or materially damaged, our licenses to operate could be suspended, resulting in a material adverse effect to our business, 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could impact the demand for our products and services and could have a material adverse effect on our business.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For example, while X-ray has yet to be widely adopted as a method of sterilization, X-ray could be adopted as an alternative to Co-60 gamma irradiation in the future because of potential concerns about the cost or availability of Co-60 or the perceived benefits of X-ray. In addition, government agencies may encourage the development of X-ray to mitigate potential risks to the supply of Co-60 or to try to reduce access to radioactive material in particular areas, which could have an adverse impact on our business.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changes in healthcare regulations or other developments in the healthcare industry, including concerns around single-use medical devices or the impact of the COVID-19 pandemic, were to lead to a material reduction in medical procedures or use of medical devices, demand for our services could be adversely affected. For more information, see Risk Factor “— Severe health events or environmental events, including impacts from climate change, and natural disasters, could have material adverse effects on our business, financial condition and results of operations.”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competition from other providers of outsourced sterilization and lab services. In addition, some manufacturers have developed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technologies, which would not rely on the availability of Co-60. If our competitors or manufacturers significantly expand their sterilization or lab testing capacities, including as a result of these alternative technologies, this could lead to price fluctuations and competitive pricing pressure, diminish our profitability or result in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Co-60 source suppliers in other countries, including China, India, Argentina or Russia, significantly increase their involvement in the global Co-60 sources market, this could have a material adverse effect over the long-term on our business, prospects, financial condition or results of operations. Several customers of our Nordion business are themselves providers of sterilization services and therefore are competitors of our Sterigenics business. If these customers were to shift to a different supplier of Co-60 because they prefer to use a supplier not affiliated with us or for any other reason, this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input costs, including labor, raw materials and energy, are subject to inflation and other market risks and our ability to pass through increases in our input costs is highly dependent on market conditions.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aggregate direct input costs, including labor, raw materials and energy, represent a significant portion of our cost of revenues. We have experienced and may continue to experience, volatility and increases in the price of certain of these costs as a result of global market and supply chain disruptions and the broader inflationary environment.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our input costs is highly dependent upon market conditions and we may not be able to immediately raise our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or anticipated reactions by our customers and competitors to our price increases could cause us to reevaluate and possibly reverse or reduce such price increases. We also may not be able to accurately predict the volume impact of price increases, especially if our competitors are able to adjust to such input cost volatility more successfully. Material increases in the price of labor, raw materials, or energy could have a material adverse effect on our business, prospects, financial condition or results of operations, particularly if we are unable to increase the prices to our customers of our products or services to offset inflationary cost trends or if we are unable to achieve cost savings to offset such cost increases, our profits and operating results could be adversely affected.</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operations and our supplier and customers’ operations are subject to business continuity hazards and risks that include explosions, fires, earthquakes, inclement weather and other natural disasters; utility, equipment or other mechanical failures;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unscheduled downtime; labor difficulties; disruption of communications; security breaches or other workplace violence events; changes in regulations, including sanctions, export and import controls and other trade restrictions; changes in the use of government-owned reactors, including repurposing nuclear facilities; other governmental action; and pandemics or other public health crises.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Supply chain disruptions, such as the ones related to geopolitical uncertainty and conflicts, severe health events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18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Governmental action may disrupt the operations of our facilities that process potentially hazardous materials. For example, in June 2021, in a lawsuit related to Sterigenics’ facility in Santa Teresa, New Mexico, the court granted a motion by New Mexico’s Attorney General for a preliminary injunction prohibiting Sterigenics from allowing any uncontrolled emission or release of EO from that facility. In December 2021, the court further established protocols to monitor Sterigenics’ compliance with the preliminary injunction. Although operations at the Santa Teresa facility comply with these orders, operations at the facility may be negatively impacted if Sterigenics is unable to continue to comply. Similar actions in the future by local, state or federal officials might disrupt or shut down operations or otherwise adversely impact the production or profitability of our facilities or its operations as a whole.</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and regional economic and political instability.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be adversely affected by global and regional economic and political conditions. The uncertainty or deterioration of the global economic and political environment could adversely affect us. Russia’s invasion of Ukraine has significantly elevated global geopolitical tensions and continues to cause instability and volatility in global markets. The United States, Canada, the United Kingdom and European Union have implemented broad sanctions targeting Russia, which have the potential to disrupt our supply of Co-60 from Russia. The conflict between Israel and Hamas and Hamas’ allies, including Iran and factions in Lebanon, and its potential ramifications for the Middle East have caused and may continue to cause instability and volatility in global markets and adversely impact global supply chains, including potentially disrupting shipping channels. Any such</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disruptions could have a material adverse effect on our business, prospects, financial condition or results of operations.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against Russia by the United States, Canada, United Kingdom, and European Union, may have a material adverse effect on our operating results.”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potential worsening of macro-economic conditions, including slower growth or recession, the inflationary environment, tighter credit, higher interest rates and currency fluctuations, may cause customers to modify, delay or cancel plans to purchase our products and services and suppliers may significantly and rapidly increase their prices or reduce their output because of cash flow problems. Any inability of current or potential customers to purchase or pay for our products because of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comply with applicable regulations, we still may be unable to maintain or expand our operations at existing facilities, or otherwise execute on our growth strategy, because of negative publicity or community resistance. Suspensions and closures of our facilities have impacted and may continue to impact our results of operations, and the effects could be material. New facilities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our ability to attract and retain highly skilled employees. If we fail to attract and retain the talent required for our business, our operations could be adversely affected and our business could be materially harmed.</w:t>
      </w:r>
    </w:p>
    <w:p>
      <w:pPr>
        <w:spacing w:after="0" w:line="15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occupy many of our facilities under long-term leases, and we may be unable to renew our leases at the end of their terms.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Many of our facilities are located on leased premises. These leases vary in length up through 2044, most with options to renew for specified periods of time. At the end of the lease term and any renewal period for a facility, we may be unable to renew the lease without substantial additional cost, if at all.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Even briefly closing a facility to relocate would reduce the sales that the facility would have contributed to our revenues and could negatively impact our customer relations. Any such relocation or closure could have a material adverse effect on our business, prospects, financial condition or results of operations.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15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68" w:lineRule="exact"/>
        <w:rPr>
          <w:sz w:val="20"/>
          <w:szCs w:val="20"/>
          <w:color w:val="auto"/>
        </w:rPr>
      </w:pPr>
    </w:p>
    <w:p>
      <w:pPr>
        <w:ind w:left="660" w:right="1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increases in duties and tariffs on foreign imports into the United States, particularly from Canada, China and Mexico, by the current U.S. federal administration, as well as duties and tariffs and any retaliatory measures imposed by Canada or other countries, and the Company’s ability or inability to pass through such price increases to customers;</w:t>
      </w:r>
    </w:p>
    <w:p>
      <w:pPr>
        <w:spacing w:after="0" w:line="6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compliance with numerous, potentially conflicting and frequently complex and changing laws in multiple jurisdictions relating to environmental matters, intellectual property, privacy and data protection, corrupt practices, embargoes, trade sanctions, competition, employment and licensing, among other things;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 in countries where we operate, including international and U.S. trade and sanctions policies and currency exchange rate fluctuations;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other laws that restrict our ability to use tax credits, offset gains or repatriate funds;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transfer pricing regulations and adverse tax consequences, which may affect our ability to transfer capital and profits;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deflation and stagflation in any country in which we have a manufacturing facility;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customers with longer payment cycles than customers in the United States.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number of countries whose governments and companies do not always share the depth or breadth of the commitment to anti-corruption and ethical behavior that is required by U.S. laws and our Code of Conduct and other corporate policies. Based on the nature of our products, our business activities involve interaction with government agencies, public officials and state-owned enterprises. We are subject to the risk that we, our U.S. employees, our employees located in other jurisdictions, or third parties we engage to do work on our behalf may take actions determined to be in violation of anti-corruption laws in the United States or the jurisdictions in which we conduct business. The U.S. Foreign Corrupt Practices Act (the “FCPA”) and the Canadian Corruption of Foreign Public Officials Act (the “CFPOA”) prohibit corruptly providing anything of value to foreign officials (including employees of state-owned enterprises) for the purposes of obtaining or retaining business or securing any improper business advantage.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Violations of anti-corruption laws or our related internal policies could also substantially harm our reputation and operations. Further, detecting, investigating and resolving actual or alleged violations is expensive and can consume significant time and attention of our senior management.</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Compliance with multiple, and potentially conflicting, international laws and regulations, including anti-corruption laws and exchange controls, at times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87" w:lineRule="exact"/>
        <w:rPr>
          <w:sz w:val="20"/>
          <w:szCs w:val="20"/>
          <w:color w:val="auto"/>
        </w:rPr>
      </w:pPr>
    </w:p>
    <w:p>
      <w:pPr>
        <w:ind w:right="20" w:firstLine="4"/>
        <w:spacing w:after="0" w:line="256" w:lineRule="auto"/>
        <w:rPr>
          <w:sz w:val="20"/>
          <w:szCs w:val="20"/>
          <w:color w:val="auto"/>
        </w:rPr>
      </w:pPr>
      <w:r>
        <w:rPr>
          <w:rFonts w:ascii="Times New Roman" w:cs="Times New Roman" w:eastAsia="Times New Roman" w:hAnsi="Times New Roman"/>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regulatory oversight of our import and export operations due to the nature of some of our product offerings.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products and materials needed to make our products are subject to U.S. and Canadian laws and regulations that may limit, restrict or require a license to import or export (or re-export from other countries). We are also subject to the export and import laws of other foreign jurisdictions in which we operate, into which we sell our products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we are likely to encounter additional regulations affecting the transportation, storage, sale and import/export of radioactive materials. Further, any delay or inability to obtain these permits and licenses could delay or prevent us from fulfilling our obligations to our customers or suppliers, which could harm our business, financial condition or results of operations.</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Additionally, the U.S. Department of the Treasury’s Office of Foreign Assets Control and other relevant agencies of the U.S. government administer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health events or environmental events, including impacts from climate change, and natural disasters, could have material adverse effects on our business, financial condition and results of operations.</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COVID-19 pandemic affected our business operations, including secondary effects such as increased raw material prices, labor shortages, and supply chain disruptions. If similarly severe global health crises occur in the future, the impact and effects on our business, operations and results of operations also could be material.</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Extreme environmental events, including impacts from climate change, could adversely affect our operating results and financial condition.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spacing w:after="0" w:line="18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Any severe health or environmental event including as described above may also affect our suppliers or customers, which could disrupt our access to raw materials and customer product processing and exacerbate supply-chain related risks. See related Risk Factor “—Our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subject to system interruptions, cybersecurity incidents and unauthorized data disclosures.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Like other companies, we increasingly rely on information technology (“IT”) systems and networks and related services to conduct business, some of which are managed, hosted and/or provided by our third-party business partners. Our IT systems and infrastructure, and those of our third-party business partners, are potentially vulnerable to breakdowns or other interruptions by fire, power loss, system malfunctions and other events. Our IT systems and infrastructure are also subject to cybersecurity threats. Cybersecurity incidents and similar attacks vary in their form and can include the deployment of harmful malware, viruses,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Like other companies with international operations, we have been subjected to targeted and non-targeted attacks and other cybersecurity incidents and continue to face numerous cybersecurity threats on a regular basis, including regular attempts to penetrate our information technology infrastructure and breaches of our security systems by our employees, both accidental and intentional. Our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suppliers, contractors, service providers, and other third parties with whom we do business also experience cybersecurity threats and attacks that are similar in frequency and sophistication. Cybersecurity threat actors also may attempt to exploit vulnerabilities in software that is commonly used by companies in cloud-based services and bundled software. Our suppliers, contractors, service providers, and other third-party business partners also experience cybersecurity threats and cybersecurity incidents that are similar in frequency and sophistication. In many cases, the Company relies on controls put in place by our suppliers, contractors, service providers and other third-party business partners to defend against and otherwise respond to cybersecurity threats and cybersecurity incidents, which may prove insufficient.</w:t>
      </w:r>
    </w:p>
    <w:p>
      <w:pPr>
        <w:spacing w:after="0" w:line="2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Despite the Company’s security measures, cybersecurity threats, cybersecurity incidents, outages, malfunctions, or disruptions involving our systems or those of our third party business partners, or any failure by us or our third-party business partners to effectively address, enforce or maintain our information systems may adversely affect our business strategy, results of operations or financial condition, including the release of sensitive data to unauthorized persons or to the public or the alteration or corruption of data or systems. We could also experience a business interruption, information theft or reputational damage from industrial espionage attacks, ransomware, other malware or other cybersecurity incidents or data breaches, which may compromise our, or our third-party business partners’, system infrastructure or lead to outages, data loss (whether temporary or permanent), data breaches, either internally or at our third-party providers or other business partners. Such cybersecurity incidents could compromise our trade secrets or other confidential information and result in such information being disclosed to third parties and becoming less valuable. Breaches in security, system interruptions, unauthorized disclosures of data and other cybersecurity incidents, whether perceived or actual, could adversely affect our businesses, assets, revenues, brands and reputation and result in sanctions or fines, litigation, including individual claims or consumer class actions, commercial litigation, regulatory proceedings and administrative, civil or criminal investigations, increased insurance premiums, remediation efforts, indemnification expenditures, lost revenues, payment of ransom and other potential liabilities. As detailed in Item 1C, “Cybersecurity,” we have taken steps to protect the security and integrity of the information we collect and have policies and procedures in place dealing with data privacy and security and have yet to experience any material cybersecurity incidents that have caused us to incur any material expenses or materially affected our business strategy, results of operations or financial conditions. But there can be no assurance that our efforts will prevent material breakdowns, system failures, breaches in our systems or other cybersecurity incidents or otherwise be fully effective. Any such breakdown, breach or cybersecurity incident could adversely affect our business, prospects, financial condition or results of operations, and our cyber insurance may not cover such risks or may be insufficient to compensate us for losses that may occur.</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our strategy, we have in the past grown,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to complete these acquisitions from our cash on hand, cash flow from operations, existing debt facilities and additional indebtedness.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54" w:lineRule="exact"/>
        <w:rPr>
          <w:sz w:val="20"/>
          <w:szCs w:val="20"/>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acquired facilities, companies, products, systems and personnel into our existing business, especially with respect to businesses or operations that are outside of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any potential interruption to our ongoing business;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enter categories and markets in which we may have limited or no prior experience, and ensure compliance with the regulatory requirements for such categories and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expected synergies and obtain the desired financial or strategic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and address any financial or control deficiencies of the acquired company;</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key relationships with employees, customers, partners and suppliers of acquired companies as well as our own employees, customers, partners and suppliers;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uniform compliance standards, controls, procedures and policies throughout acquired companies.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Companies, businesses or operations acquired or joint ventures created may not be profitable or may not achieve revenue and profitability levels sufficient to justify the investments made. Recent and future acquisitions could also result in the incurrence of additional indebtedness subject to the restrictions contained in the documents governing our then-existing indebtedness. See related Risk Factor “—Our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the companies before we acquired them. In most of these agreements, however, the liability of the former owners is limited, and certain former owners may be unable to meet their indemnification responsibilities. There is no assurance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be effective and our independent registered public accounting firm may not be able to certify as to their effectiveness, which could have a significant and adverse effect on our business and reputation.</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Sarbanes-Oxley Act of 2002, we furnished a report by our management on the effectiveness of our internal control over financial reporting as of December 31, 2024.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2024.</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certain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hiring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intellectual property rights to maintain our competitive position and third parties have claimed in the past, and may claim in the future, that we infringe or misappropriate their intellectual property rights.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on proprietary technology and are dependent on our ability to protect such technology. We rely primarily on trade secrets and non-disclosure and confidentiality arrangements to protect our intellectual property rights, including such rights as related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may unintentionally or willfully disclose our confidential information to others, and there can be no assurance that our trade secret rights and non-disclosure and confidentiality arrangements will provide meaningful protection of our proprietary technology.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For example, in December 2024, Sterigenics Petit Rechain (“Sterigenics PR”) was served with Writs of Summons in actions filed in Brussels, Belgium, in which the complainant alleges that the plaintiff’s intellectual property rights in certain products are being infringed by Sterigenics PR and by products of two Sterigenics PR customers.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9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and the UK GDPR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maintain profitability in the future.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 history of net operating losses, including a net loss attributable to Sotera Health Company of $233.6 million for the year ended December 31, 2022. Although we reported net income attributable to Sotera Health Company of $44.4 million for the year ended December 31, 2024, we may not be able to maintain profitability in future fiscal years. Our ability to maintain profitability depends on a number of factors, including the growth rate of the sterilization and lab services industries, the prices of our products and services, the costs to provide our products and services and the competitiveness of our products and services. We may incur significant losses in the future for a number of reasons, including principal and interest expense related to our indebtedness and the other risks described herein, and we may encounter unforeseen expenses, difficulties, complications and delays and other unknown events. As a result, our operations may not maintain or increase profitability in the future.</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impairment charges on our goodwill and other intangible assets with indefinite lives as well as other long-lived assets and intangible assets with definite lives, which could negatively impact our business, financial condition or results of operations.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we were to determine in the future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we were to determine in the future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Unionization efforts and labor regulations could materially increase our costs or limit our flexibility.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have been made from time to time to unionize portions of our workforce and we are likely to experience similar efforts in the future. Certain of our employees are represented by labor unions or works councils and are negotiating or working under collective bargaining or similar agreements, some of which are subject to periodic renegotiation. For example, employees at a gamma irradiation facility in the United States voted to unionize in November 2023 and we may experience similar efforts to unionize portions of our workforce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employees in Kanata, Canada expired on March 31, 2024. Although the Company is currently in contract negotiations and follows a clearly defined process, there is a risk that the parties do not reach a negotiated agreement, which could result in a labor dispute (strike) that would have an adverse effect on business operations. The process of negotiating or renegotiating these collective bargaining agreements could increase our labor costs or lead to labor disruptions, which could negatively affect our business and operations.</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legal obligations in the markets where we conduct business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provide bioburden reduction irradiation services for the processing of cannabis, primarily in Canada and certain European countries. The commercial recreational cannabis industry is a relatively new industry in Canada and Canada’s Cannabis Regulations have been in effect in their current form only in recent years. Likewise, laws and regulations governing cannabis in European countries have evolved rapidly over recent years. In the United States, marijuana (all parts of the cannabis plant other than those parts that are exempt) presently remains a Schedule I controlled substance under federal law. In other countries in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and it may be costly or burdensome to comply.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Government or private civil antitrust actions could harm our business, prospects, financial condition or results of operations.</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antitrust laws prohibit a wide variety of conduct that unlawfully suppresses competition, such as conspiracies among competitors not to reduce (or to “fix”) prices. Although our Global Code of Conduct requires our employees to comply with the antitrust laws and we believe that we are doing so, a governmental or private civil action alleging the improper exchange of information, unlawful participation in price maintenance or other unlawful or anticompetitive activity, even if unfounded, could be costly to defend and could harm our business, prospects, financial condition or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other countries, and we are therefore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we have been unable to fully realize the benefit of interest expense as a result of recent tax law changes, and we recognized a valuation allowance on related deferred tax assets, which impacted our annual effective income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in tax law may create uncertainty and our business and financial condition could be adversely affected.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2024, our total indebtedness was approximately $2,255.6 million, all of which is indebtedness of Sotera Health Holdings, LLC (“SHH”) that is guaranteed by the Company and certain of our other subsidiaries. We also had an additional $409.8 million of unutilized capacity under our Revolving Credit Facility (as defined herein) at that date (without giving effect to $14.0 million of letters of credit that were outstanding). On May 30, 2024, the Company and SHH entered into Amendment No. 4 (“Amendment No. 4”) to the Senior Secured Credit Facilities. Among other changes, Amendment No. 4 provides for term loans (the “Refinancing Term Loans”) to SHH in an aggregate principal amount of $1,509.4 million. On May 30, 2024, SHH, the Company and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2024. The Secured Notes pay interest semiannually in arrears on June 1 and December 1 of each year, beginning on December 1, 2024, at a rate of 7.375% per year, and will mature on June 1, 2031. Please refer to Note 9, “Long-Term Debt” and “Item 7. Management’s Discussion and Analysis of Financial Condition and Results of Operations - Liquidity and Capital Resources” for further information.</w:t>
      </w: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$1,505.6 million of our $2,255.6 million outstanding principal amount of indebtedness is variable interest rate debt. Our estimated debt service obligations for the next 12 months, which are comprised of principal and interest payments, are $183.7 million, a portion of which are based on Term SOFR benchmark interest rate as of December 31, 2024. For the year 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December 31, 2024, our cash flow used for debt service totaled $184.9 million, which was comprised of $5.0 million of principal payments on the Term Loan (as defined herein) and interest payments of $179.9 million on all of our outstanding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high degree of leverage could have important consequences, including:</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indebtedness is at variable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appellate litigation bonding expenses and general corporate or other purposes;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disadvantage compared to our competitors that are less highly leveraged;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pay higher rates if we need to refinance our indebtedness at a time when prevailing market interest rates are unfavorable.</w:t>
      </w:r>
    </w:p>
    <w:p>
      <w:pPr>
        <w:spacing w:after="0" w:line="225"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We and our subsidiaries may obtain substantial additional indebtedness in the future, subject to the restrictions contained in the Credit Agreement governing our Senior Secured Credit Facilities and the Indenture that governs the Secured Notes (together the “Combined Senior Secured Credit Facilities”). If new indebtedness is added to our current debt levels, the related risks that we now face could intensify.</w:t>
      </w:r>
    </w:p>
    <w:p>
      <w:pPr>
        <w:spacing w:after="0" w:line="176" w:lineRule="exact"/>
        <w:rPr>
          <w:sz w:val="20"/>
          <w:szCs w:val="20"/>
          <w:color w:val="auto"/>
        </w:rPr>
      </w:pPr>
    </w:p>
    <w:p>
      <w:pPr>
        <w:ind w:firstLine="4"/>
        <w:spacing w:after="0" w:line="254" w:lineRule="auto"/>
        <w:rPr>
          <w:sz w:val="20"/>
          <w:szCs w:val="20"/>
          <w:color w:val="auto"/>
        </w:rPr>
      </w:pPr>
      <w:r>
        <w:rPr>
          <w:rFonts w:ascii="Times New Roman" w:cs="Times New Roman" w:eastAsia="Times New Roman" w:hAnsi="Times New Roman"/>
          <w:sz w:val="18"/>
          <w:szCs w:val="18"/>
          <w:color w:val="auto"/>
        </w:rPr>
        <w:t>Because we are exposed to interest rate risk through our variable-rate borrowings, we have entered into and may, in the future, enter into additional interest rate swaps that involve the exchange of floating for fixed rate interest payments to reduce interest rate volatility and interest rate cap agreements. We may not maintain interest rate swaps with respect to any of our variable rate indebtedness, and any swaps we enter into may not fully mitigate our interest rate risk. If interest rates increase, our debt service obligations on any variable rate indebtedness will increase even if the amount borrowed remains the same, and our earnings and cash flows, including cash available for servicing our indebtedness, will correspondingly decrease. Based on our indebtedness outstanding as of December 31, 2024 and the interest rate under our Term Loans that was in effect on December 31, 2024, a 1% increase in the Term SOFR benchmark interest rates would result in an increase of approximately $11.1 million in total annual interest expense under our outstanding debt obligations. Refer to Note 9, “Long-Term Debt” to our consolidated financial statements.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including the Secured Notes, contain various covenants that impose restrictions on us and limit our flexibility in operating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and the Indenture that governs the Secured Notes, contain various covenants that limit our ability to engage in specified types of transactions. These covenants limit our ability and our restricted subsidiaries’ ability to, among other things:</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shares of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or make other restricted 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under certain circumstances we are required to satisfy and maintain specified financial ratios and other financial condition tests under certain covenants in our Combined Senior Secured Credit Facilities. See Item 7, “Management’s Discussion and Analysis of Financial Condition and Results of Operations—Liquidity and Capital Resources.” Our ability to</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various risks, uncertainties and events beyond our control could affect our ability to comply with these covenants. Failure to comply with any of the covenants in our existing or future financing agreements could result in a default under those agreements and under other agreements containing cross-default or cross-acceleration provisions (including under each of our Combined Senior Secured Credit Facilities). Upon the occurrence of an event of default, all amounts outstanding under the Combined Senior Secured Credit Facilities could be declared immediately due and payable and all commitments to extend further credit could be terminated. If we were unable to repay those amounts, the collateral granted under the Combined Senior Secured Credit Facilities to secure each such indebtedness could be foreclosed on. We have pledged substantially all of our assets as collateral under the Combined Senior Secured Credit Facilities.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make timely payments of principal and interest on our debt obligations, including our obligations under the Combined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by rating agencies may increase our future borrowing costs and reduce our access to capital.</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would likely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 SOFR and certain other interest “benchmarks” are subject to regulatory guidance and reform that we expect will cause interest rates under our current or future debt agreements to perform differently than in the past or could cause other unanticipated consequences.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our Senior Secured Credit Facilities bear interest at variable interest rates, based on the Term SOFR and certain other interest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SHH is a holding company, and therefore its ability to make any required payment on our credit agreements depends upon the ability of its subsidiaries to pay it dividends or to advance it funds.</w:t>
      </w:r>
    </w:p>
    <w:p>
      <w:pPr>
        <w:spacing w:after="0" w:line="15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SHH, the issuer under our Secured Notes and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including its required obligations under our Combined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could be substantially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w:t>
      </w:r>
    </w:p>
    <w:p>
      <w:pPr>
        <w:spacing w:after="0" w:line="68"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17" w:lineRule="exact"/>
        <w:rPr>
          <w:rFonts w:ascii="Times New Roman" w:cs="Times New Roman" w:eastAsia="Times New Roman" w:hAnsi="Times New Roman"/>
          <w:sz w:val="18"/>
          <w:szCs w:val="18"/>
          <w:color w:val="auto"/>
        </w:rPr>
      </w:pPr>
    </w:p>
    <w:p>
      <w:pPr>
        <w:ind w:left="660" w:right="64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costs associated with potential shareholder activism campaigns and outreach efforts;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19, “Commitments and Contingencies” to our consolidated financial statements under the heading “Sotera Health Company Securities Litigation and Related Matters.” Such litigation could result in substantial costs and a diversion of our management’s attention and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plans, acquisitions or otherwise will dilute all other stockholdings.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20, 2025, we had an aggregate of 886,109,800 shares of common stock that are not currently reserved for issuance under our 2020 Omnibus Incentive Plan (“2020 Plan”), as well as 2,563,810 treasury shares. We may issue all of these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19,042,394 shares as of February 20, 2025, but may be waived at any time by a majority of the members of the leadership development and compensation committee of the board of directors.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February 20, 2025, Warburg Pincus and GTCR together own approximately 43.4% of our outstanding common stock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our Sponsors may differ from the interests of other stockholders of the Company.</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20, 2025, the Sponsors own approximately 43.4% of our outstanding common stock and retain the right to designate over a majority of our directors. The Stockholders Agreement contains agreements with respect to certain other matters, including the election of directors; mergers, consolidations and acquisitions; the sale of all or substantially all of our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the Stockholders Agreement, as well as Delaware law, could discourage a change in control of our company or a change in our management.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w:t>
      </w:r>
    </w:p>
    <w:p>
      <w:pPr>
        <w:spacing w:after="0" w:line="53"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Agreement and (ii) the number of directors shall not exceed eleven without the consent of Warburg Pincus or GTCR;</w:t>
      </w:r>
    </w:p>
    <w:p>
      <w:pPr>
        <w:spacing w:after="0" w:line="117" w:lineRule="exact"/>
        <w:rPr>
          <w:sz w:val="20"/>
          <w:szCs w:val="20"/>
          <w:color w:val="auto"/>
        </w:rPr>
      </w:pPr>
    </w:p>
    <w:p>
      <w:pPr>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6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5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75"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and</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shall, to the fullest extent permitted by law, be the sole and exclusive forum for resolving any complaint asserting a cause of action arising under the Securities Act (the “Federal Forum Provision”).</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Combined Senior Secured Credit Facilities.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rely on IT systems to conduct business, including but not limited to, interacting with customers and suppliers, fulfilling orders, generating invoices, collecting and making payments, fulfilling contractual obligations, communicating with internal and external stakeholders, and maintaining our business and financial records. In addition, we rely on networks and services, including internet sites, cloud and software-as-a-service solutions, data hosting and processing facilities and tools and other hardware, software and technical applications and platforms, some of which are managed, hosted, provided and/or used by third-parties or their vendors. As a result, the Company is subject to various risks related to vulnerabilities, threats and attacks on these IT systems. See Item 1A, “Risks Related to the Company–“Our business may be subject to system interruptions, cybersecurity incidents and unauthorized data disclosures.” under Item 1A. Risk Factors for additional discussion of these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an enterprise risk management (“ERM”) program that includes the processes used to identify assess, and manage our most significant enterprise risks and uncertainties that could materially impact the long-term health of the Company or prevent the achievement of strategic objectives. These risks are identified, measured, monitored, and managed across key risk categories, which include the consideration of cybersecurity risks. The Company develops and maintains cybersecurity processes that protect the confidentiality, integrity and availability of Company, employee, customer and partner information against a growing number of cybersecurity threats and threat actors. Our cybersecurity program is designed to protect our infrastructure from potential threats, including threats associated with our third party business partners, to allow us to assess, identify and manage material risks from cybersecurity threats and to endeavor to secure the integrity of our data and IT systems using techniques, hardware, and software typical of companies of our size and scope, which are described further below. For example, we leverage the National Institute of Standards and Technology Cybersecurity Framework’s (“NIST CSF”) principles in developing our cybersecurity program to monitor our security environment and manage risk. However, this does not mean</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right="140"/>
        <w:spacing w:after="0" w:line="282" w:lineRule="auto"/>
        <w:rPr>
          <w:sz w:val="20"/>
          <w:szCs w:val="20"/>
          <w:color w:val="auto"/>
        </w:rPr>
      </w:pPr>
      <w:r>
        <w:rPr>
          <w:rFonts w:ascii="Times New Roman" w:cs="Times New Roman" w:eastAsia="Times New Roman" w:hAnsi="Times New Roman"/>
          <w:sz w:val="18"/>
          <w:szCs w:val="18"/>
          <w:color w:val="auto"/>
        </w:rPr>
        <w:t>that we meet any particular technical standards, specifications, or requirements, but rather that we use the NIST CSF as a guide to help us identify, assess, and manage cybersecurity risks and threats relevant to our business.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adopted a risk-based strategy designed to achieve a targeted and cost-effective approach to managing cybersecurity risks that strengthens our abilities to prevent, detect, and respond to cybersecurity incidents. The Company has configured its IT environment, where possible, to restrict access using a least privileged methodology. We use various technologies and monitoring capabilities to detect anomalies and track information and assets. We have implemented a cybersecurity awareness program consisting of frequent training, phishing exercises, and bulletins regarding pertinent cybersecurity developments. We maintain and regularly update incident response, disaster recovery and business continuity plans and procedures. Our IT specialists subscribe to threat intelligence feeds and are members of cybersecurity-related associations such as the Information Systems Audit and Control Association, the Computing Technology Industry Association and the Cloud Security Alliance. We also maintain insurance coverage for cyber and data security risks of an amount and subject to conditions and exceptions that we believe are customary for companies like ours, but there can be no assurance that our levels of coverage are adequate or that we will be able to continue to maintain our existing insurance or obtain comparable insurance at a reasonable cost or at all.</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 Although we have taken and will continue to take significant steps to protect the security and integrity of our information and although we have implemented policies and procedures to enhance data privacy and security, there can be no assurance that our efforts will prevent breakdowns, system failures, breaches of our systems or other cybersecurity incidents or otherwise be fully effective. Any such breakdown, breach or cybersecurity incident could adversely affect our business strategy, prospects, financial condition or results of operations, and any insurance that we may have for cybersecurity incidents may not cover such risks or be sufficient to compensate us for losses that may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Chief Information Officer (“CIO”) is responsible for assessing and managing cybersecurity risks. The CIO is supported by the Senior Director of IT Governance, Security, and Service Delivery and the Senior Director of Global Infrastructure, and Senior Information Security Architect, who manage our day-to-day cybersecurity-related matters and keep abreast of cybersecurity news, events and incidents through regular course monitoring and updates. Our CIO has over 12 years of professional experience in various roles involving managing information security, developing cybersecurity strategy, implementing cybersecurity programs, and managing multiple industry and regulatory compliance environments. Our CIO also holds a certificate in Cyber-Risk Oversight issued by the National Association of Corporate Directors. Our Senior Director of IT Governance, Security, and Service Delivery has over 15 years of professional experience in various roles involving managing information security, developing cybersecurity strategy, implementing cybersecurity programs, and managing industry and regulatory compliance environments. Our Senior Information Security Architect has over 20 years of professional experience designing secure architecture, conducting threat and risk assessments, incident response, cyber forensics, and teaching college and university level cybersecurity program courses. Our Senior Information Security Architect also holds a diverse set of certifications, including CISSP, CISCO Security +, CISA, CEH, CompTIA Sec +, and others.</w:t>
      </w:r>
    </w:p>
    <w:p>
      <w:pPr>
        <w:spacing w:after="0" w:line="19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When detected, suspected cybersecurity threats are escalated to the CIO and incident response team. The CIO then creates a Cybersecurity Incident Response Team (“CSIRT”) which, depending on the incident, comprises the incident coordinator, cybersecurity staff, legal counsel and other stakeholders as appropriate. The CSIRT investigates and manages the impact of cybersecurity incidents in accordance with our security incident response procedures.</w:t>
      </w:r>
    </w:p>
    <w:p>
      <w:pPr>
        <w:spacing w:after="0" w:line="15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board of directors and its audit committee oversee the Company’s ERM program, and the steps management has taken to monitor and mitigate such risks, including the Company’s procedures and any related policies with respect to enterprise risk assessment and risk management. The board of directors bears principal responsibility for overseeing the Company’s principal current and future risk exposures, and, on an annual basis, the board of directors reviews them, including cybersecurity risks and exposures. The board of directors’ review includes an annual session with our CIO on the Company’s procedures and policies for assessing and managing cybersecurity risks and disclosing any material cybersecurity incidents. In performing these oversight functions, the board of directors relies on advice, reports and opinions of management, counsel and our internal and external auditors, including mid-year and year-end cybersecurity inquiries by our external auditors on various aspects of the Company’s cybersecurity program, processes and training.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Use of Independent Experts</w:t>
      </w:r>
    </w:p>
    <w:p>
      <w:pPr>
        <w:spacing w:after="0" w:line="1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engages external resources in connection with our processes for assessing, identifying and managing material risks from cybersecurity threats. These resources include, but are not limited to, regular internal and external penetration tests and assessments of our cybersecurity program by third-party experts. We plan to continue to engage independent experts to periodically test our cybersecurity policies for their effectiveness.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corporate headquarters is in Broadview Heights, Ohio, our Sterigenics headquarters is in Oakbrook, Illinois, our Nelson Labs headquarters is in Taylorsville, Utah and our Nordion headquarters is in Kanata, Ontario. As of December 31, 2024, we operated 62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our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44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r>
              <w:rPr>
                <w:rFonts w:ascii="Times New Roman" w:cs="Times New Roman" w:eastAsia="Times New Roman" w:hAnsi="Times New Roman"/>
                <w:sz w:val="8"/>
                <w:szCs w:val="8"/>
                <w:b w:val="1"/>
                <w:bCs w:val="1"/>
                <w:color w:val="auto"/>
              </w:rPr>
              <w:t>(1)</w:t>
            </w: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700" w:type="dxa"/>
            <w:vAlign w:val="bottom"/>
            <w:gridSpan w:val="2"/>
          </w:tcPr>
          <w:p>
            <w:pPr>
              <w:jc w:val="center"/>
              <w:ind w:right="240"/>
              <w:spacing w:after="0" w:line="163" w:lineRule="exact"/>
              <w:rPr>
                <w:sz w:val="20"/>
                <w:szCs w:val="20"/>
                <w:color w:val="auto"/>
              </w:rPr>
            </w:pPr>
            <w:r>
              <w:rPr>
                <w:rFonts w:ascii="Times New Roman" w:cs="Times New Roman" w:eastAsia="Times New Roman" w:hAnsi="Times New Roman"/>
                <w:sz w:val="14"/>
                <w:szCs w:val="14"/>
                <w:b w:val="1"/>
                <w:bCs w:val="1"/>
                <w:color w:val="auto"/>
                <w:w w:val="97"/>
              </w:rPr>
              <w:t>Facilities</w:t>
            </w:r>
            <w:r>
              <w:rPr>
                <w:rFonts w:ascii="Times New Roman" w:cs="Times New Roman" w:eastAsia="Times New Roman" w:hAnsi="Times New Roman"/>
                <w:sz w:val="18"/>
                <w:szCs w:val="18"/>
                <w:b w:val="1"/>
                <w:bCs w:val="1"/>
                <w:color w:val="auto"/>
                <w:w w:val="97"/>
                <w:vertAlign w:val="superscript"/>
              </w:rPr>
              <w:t>(2)</w:t>
            </w: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Leased Facilities</w:t>
            </w: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84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Sterigenics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Nordion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90" w:lineRule="exact"/>
        <w:rPr>
          <w:sz w:val="20"/>
          <w:szCs w:val="20"/>
          <w:color w:val="auto"/>
        </w:rPr>
      </w:pPr>
    </w:p>
    <w:p>
      <w:pPr>
        <w:ind w:left="420" w:right="60" w:hanging="412"/>
        <w:spacing w:after="0" w:line="257" w:lineRule="auto"/>
        <w:tabs>
          <w:tab w:leader="none" w:pos="4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Owned/leased facilities are comprised of multiple buildings, with some leased and some owned.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Described in Note 19, “Commitments and Contingencies,” of Our Consolidated Financial Statements</w:t>
      </w:r>
    </w:p>
    <w:p>
      <w:pPr>
        <w:spacing w:after="0" w:line="23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 xml:space="preserve">Note 19, “Commitments and Contingencies,”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o our consolidated financial statements for the year ended December 31, 2024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19, “Commitments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for information regarding the following legal proceedings, which information is incorporated into this Item 3 by reference:</w:t>
      </w:r>
    </w:p>
    <w:p>
      <w:pPr>
        <w:spacing w:after="0" w:line="2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Ethylene Oxide Tort Litigation – California, Georgia, Illinois and New Mexico;</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Insurance Coverage for Environmental Liabilities; and</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Sotera Health Company Securities Litigation and Related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Not Described in Note 19, “Commitments and Contingencies,” to Our Consolidated Financial Statements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the matters identified in Note 19, “Commitments and Contingencies,” to our consolidated financial statements for the year ended December 31, 2024 contained in this Annual Report on Form 10-K,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exceed a specified threshold. The Company uses a threshold of $1.0 million to determine whether the disclosure of any such proceedings is required because we believe matters under this threshold are not material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 w:right="899"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under the ticker symbol “SHC.”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February 20, 2025, we had approximately 77 holders of record of our common stock. This number does not include the beneficial owners of our common stock who hold their shares through banks, brokers or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return to stockholders on our common stock relative to the cumulative total returns of the Nasdaq Composite Index and the Standard and Poor’s (“S&amp;P”) 500 Health Care Index. An investment of $100 (with reinvestment of all dividends) is assumed to have been made in our common stock and in each index on November 20, 2020, the date our common stock began trading on the Nasdaq, and its relative performance is tracked through December 31, 2024. The returns shown are based on historical results and are not intended to suggest future performance.</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740410</wp:posOffset>
            </wp:positionV>
            <wp:extent cx="5863590" cy="4260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performance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You should read this Management’s Discussion and Analysis (“MD&amp;A”) in conjunction with our consolidated financial statements and related notes included elsewhere in this Annual Report on Form 10-K. This MD&amp;A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and elsewhere in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ind w:right="20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strive to give our customers confidence that their products meet regulatory, safety and effectiveness requirements. With our industry-recognized scientific and technological expertise, we help to promote the safety of millions of patients and healthcare practitioners around the world every year. Across our 62 facilities worldwide, we have over 3,000 employees who are dedicated to safety and quality.</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promote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breaks out into two reportable segments, Sterigenics and Nordion, and our lab services business constitutes a third reportable segment, Nelson Labs.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2024, we recorded net revenues of $1,100.4 million, net income of $44.4 million, Adjusted Net Income of $198.5 million and Adjusted EBITDA of $548.6 million. Adjusted Net Income and Adjusted EBITDA are financial measures </w:t>
      </w:r>
      <w:r>
        <w:rPr>
          <w:rFonts w:ascii="Times New Roman" w:cs="Times New Roman" w:eastAsia="Times New Roman" w:hAnsi="Times New Roman"/>
          <w:sz w:val="18"/>
          <w:szCs w:val="18"/>
          <w:color w:val="231F20"/>
        </w:rPr>
        <w:t>not based on any standardized methodology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prescribed by U.S. Generally Accepted Accounting Principles (“GAAP”). </w:t>
      </w:r>
      <w:r>
        <w:rPr>
          <w:rFonts w:ascii="Times New Roman" w:cs="Times New Roman" w:eastAsia="Times New Roman" w:hAnsi="Times New Roman"/>
          <w:sz w:val="18"/>
          <w:szCs w:val="18"/>
          <w:color w:val="000000"/>
        </w:rPr>
        <w:t>For the definition of Adjusted Net Income and Adjusted EBITDA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reconciliation of these non-GAAP measures from net income (loss), please see “Non-GAAP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KEY FACTORS AFFECTING OUR RESULTS OF OPERATIONS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64" w:lineRule="exact"/>
        <w:rPr>
          <w:sz w:val="20"/>
          <w:szCs w:val="20"/>
          <w:color w:val="auto"/>
        </w:rPr>
      </w:pPr>
    </w:p>
    <w:p>
      <w:pPr>
        <w:ind w:left="660" w:right="20" w:hanging="328"/>
        <w:spacing w:after="0" w:line="26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and market conditions. </w:t>
      </w:r>
      <w:r>
        <w:rPr>
          <w:rFonts w:ascii="Times New Roman" w:cs="Times New Roman" w:eastAsia="Times New Roman" w:hAnsi="Times New Roman"/>
          <w:sz w:val="18"/>
          <w:szCs w:val="18"/>
          <w:color w:val="auto"/>
        </w:rPr>
        <w:t>Consolidated net revenues and Adjusted EBITDA for the year ended December 31, 2024 increased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December 31, 2023, which was primarily a result of favorable pricing and improvements in volume and mix across all three reportable segments, partially offset by unfavorable changes in foreign currency exchanges rates.</w:t>
      </w:r>
    </w:p>
    <w:p>
      <w:pPr>
        <w:spacing w:after="0" w:line="70" w:lineRule="exact"/>
        <w:rPr>
          <w:rFonts w:ascii="Times New Roman" w:cs="Times New Roman" w:eastAsia="Times New Roman" w:hAnsi="Times New Roman"/>
          <w:sz w:val="18"/>
          <w:szCs w:val="18"/>
          <w:color w:val="auto"/>
        </w:rPr>
      </w:pPr>
    </w:p>
    <w:p>
      <w:pPr>
        <w:ind w:left="660"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in Item 1A,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portion of our supply of Co-60 is generated by Russian nuclear reactors. We continue to monitor the potential for disruption in the supply of Co-60 from Russian nuclear reactors. There was no impact to our supply or revenue in the year ended December 31, 2024.</w:t>
      </w:r>
    </w:p>
    <w:p>
      <w:pPr>
        <w:spacing w:after="0" w:line="64"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initiatives. </w:t>
      </w:r>
      <w:r>
        <w:rPr>
          <w:rFonts w:ascii="Times New Roman" w:cs="Times New Roman" w:eastAsia="Times New Roman" w:hAnsi="Times New Roman"/>
          <w:sz w:val="18"/>
          <w:szCs w:val="18"/>
          <w:color w:val="auto"/>
        </w:rPr>
        <w:t>We continue to advance our growth-related investments, including our two active capacity expansion projects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Sterigenics segment, Co-60 development projects in the Nordion segment and lab expansion efforts to support pharma testing services in the Nelson Labs segment.</w:t>
      </w:r>
    </w:p>
    <w:p>
      <w:pPr>
        <w:spacing w:after="0" w:line="62" w:lineRule="exact"/>
        <w:rPr>
          <w:rFonts w:ascii="Times New Roman" w:cs="Times New Roman" w:eastAsia="Times New Roman" w:hAnsi="Times New Roman"/>
          <w:sz w:val="18"/>
          <w:szCs w:val="18"/>
          <w:color w:val="auto"/>
        </w:rPr>
      </w:pPr>
    </w:p>
    <w:p>
      <w:pPr>
        <w:ind w:left="660" w:right="480" w:hanging="328"/>
        <w:spacing w:after="0" w:line="286"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Disciplined and strategic M&amp;A activity</w:t>
      </w:r>
      <w:r>
        <w:rPr>
          <w:rFonts w:ascii="Times New Roman" w:cs="Times New Roman" w:eastAsia="Times New Roman" w:hAnsi="Times New Roman"/>
          <w:sz w:val="18"/>
          <w:szCs w:val="18"/>
          <w:color w:val="auto"/>
        </w:rPr>
        <w:t>. We remain committed to our highly disciplined acquisition strategy and continue to seek suitable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targets.</w:t>
      </w:r>
    </w:p>
    <w:p>
      <w:pPr>
        <w:spacing w:after="0" w:line="46" w:lineRule="exact"/>
        <w:rPr>
          <w:rFonts w:ascii="Times New Roman" w:cs="Times New Roman" w:eastAsia="Times New Roman" w:hAnsi="Times New Roman"/>
          <w:sz w:val="18"/>
          <w:szCs w:val="18"/>
          <w:i w:val="1"/>
          <w:iCs w:val="1"/>
          <w:color w:val="auto"/>
        </w:rPr>
      </w:pPr>
    </w:p>
    <w:p>
      <w:pPr>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costs</w:t>
      </w:r>
      <w:r>
        <w:rPr>
          <w:rFonts w:ascii="Times New Roman" w:cs="Times New Roman" w:eastAsia="Times New Roman" w:hAnsi="Times New Roman"/>
          <w:sz w:val="18"/>
          <w:szCs w:val="18"/>
          <w:color w:val="auto"/>
        </w:rPr>
        <w:t>. We are currently the subject of tort lawsuits alleging injury by purported exposure to EO used, emitted or released by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in Atlanta, Georgia and Vernon, California and our former facility in Willowbrook, Illinois.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In addition, we are defendants in a lawsuit brought by the State of New Mexico Attorney General alleging that emissions of EO from our Santa Teresa facility negatively impacted Santa Teresa and surrounding communities. We maintain that these facilities did not pose and do not pose any safety risk to their surrounding communities. We deny the allegations in these lawsuits and are vigorously defending against these claims. See Item 3, “Legal Proceedings” and Note 19, “Commitments and Contingencies,” to our consolidated financial statements.</w:t>
      </w:r>
    </w:p>
    <w:p>
      <w:pPr>
        <w:spacing w:after="0" w:line="84" w:lineRule="exact"/>
        <w:rPr>
          <w:rFonts w:ascii="Times New Roman" w:cs="Times New Roman" w:eastAsia="Times New Roman" w:hAnsi="Times New Roman"/>
          <w:sz w:val="18"/>
          <w:szCs w:val="18"/>
          <w:color w:val="auto"/>
        </w:rPr>
      </w:pPr>
    </w:p>
    <w:p>
      <w:pPr>
        <w:ind w:left="66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2023 and 2022, we recorded costs of $32.7 million, $45.3 million and $72.6 million, respectively, representing professional fees and other expenses related to litigation associated with our EO sterilization facilities.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50" w:name="page51"/>
    <w:bookmarkEnd w:id="50"/>
    <w:p>
      <w:pPr>
        <w:ind w:left="660" w:right="40" w:hanging="328"/>
        <w:spacing w:after="0" w:line="278"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Borrowings, financing costs and financial leverage</w:t>
      </w:r>
      <w:r>
        <w:rPr>
          <w:rFonts w:ascii="Times New Roman" w:cs="Times New Roman" w:eastAsia="Times New Roman" w:hAnsi="Times New Roman"/>
          <w:sz w:val="17"/>
          <w:szCs w:val="17"/>
          <w:color w:val="auto"/>
        </w:rPr>
        <w:t>. On May 30, 2024, the Company and SHH entered into Amendment No. 4 to the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Secured Credit Facilities, which provided for the issuance of term loans to the Company in an aggregate principal amount of $1,509.4 million maturing on May 30, 2031. On the same date, the Company issued Secured Notes in an aggregate principal amount of $750.0 million, which bear interest at an annual rate of 7.375% and mature on June 1, 2031. The proceeds from the Refinancing Term Loans and the issuance of the Secured Notes, along with cash on the balance sheet, were used to refinance all of the Company’s previously outstanding term loans due December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Service revenues primarily consist of revenue generated from contract sterilization and lab testing and advisory services within our Sterigenics and Nelson Labs segments, respectively. Service revenues also primarily consist of Co-60 installation and disposal revenues and gamma irradiation system refurbishments and installation services within our Nordion segment. Product revenues primarily consist of revenues generated from sales of Co-60 radiation sources and gamma irradiation systems. Provisions for discounts, rebates to customers, and other adjustments may be provided for as reductions in net revenues. Refunds, returns, warranties and other related obligations are not material to any of our business units, nor do we intend to incur material incremental costs to secure customer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maintaining gamma irradiation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Amortization of intangible assets primarily consists of expense associated with customer relationship intangible assets, the majority of which relate to the fair values attributed to these assets upon the recapitalization of the Company in connection with the acquisition by the Sponsors in 2015. These customer relationship intangible assets were initially assigned a weighted average useful life of ten years and have a remaining useful life of approximately one year. These customer relationship intangible assets accounted for approximately $48.4 million of our current annual amortization expense and are expected to be fully amortized in 2025. Amortization expense fluctuates when we have an acquisition, disposition, impairment charge, or as their useful lives expire.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represents gross profit, less SG&amp;A and amortization of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represents interest paid or accruing on our outstanding indebtedness and the amortization of debt discount and debt issuance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is primarily affected by changes in average outstanding indebtedness (including finance lease obligations) and variable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interest expense net of interest income, which primarily consists of interest earned on cash on hand.</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year ended December 31, 2024 occurred in connection with the refinancing of our capital structure in May 2024 and Amendment No. 3 (as defined below) to Revolving Credit Facility. The refinancing activity primarily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Georgia EO litigation settlement</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October 16, 2023, the Company reached an agreement to resolve 79 EO claims in the State of Georgia. Under the terms of the agreements, the Company paid $35.0 million to settle the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Illinois EO litigation settlement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9, 2023, the Company reached agreements to settle approximately 880 pending and threatened EO claims in Illinois. Under the terms of the agreements, the Company paid $407.7 million to settle the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investment in unconsolidated affiliate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recorded an impairment charge of $9.6 million related to a joint venture investment, which was acquired as part of the 2020 acquisition of Iotron Industries Canada, Inc.. Due to a shift in business strategy, the joint venture did not proceed. Based on these facts and circumstances, we concluded that the investment was impaired as of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changes in the fair value of the embedded derivatives in Nordion’s contracts, the net impact of pension related benefits and the income related to deferred income on a lease associated with the 2018 divestiture of the Medical Isotopes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primarily consists of income taxes in foreign jurisdictions and U.S. federal and state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 Sales Growth (Non-GAAP)</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EBITDA (Non-GAAP)</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2" w:name="page53"/>
    <w:bookmarkEnd w:id="5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 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Income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Segment income is the primary earnings measure we use to evaluate the performance of our reportable segments, as disclosed in Note 21,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based on net revenue. Corporate operating expenses that are directly incurred by a segment are reflected in each segment’s income. Segment income excludes certain items which are included in “Income (loss) before taxes” as determined in our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 summarizes the consolidated results of operations for the years ended December 31, 2024 and 2023. The discussion of the consolidated results of operation for the years ended December 31, 2023 and 2022 are presented within our Annual Report on Form 10-K for the year ended December 31, 2023 under “Item 7. Management’s Discussion and Analysis of Financial Condition and Results of Operations - Consolidated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as compared to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years ended December 31,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3"/>
                <w:szCs w:val="13"/>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 Change</w:t>
            </w:r>
          </w:p>
        </w:tc>
        <w:tc>
          <w:tcPr>
            <w:tcW w:w="22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498,146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26,016</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304,669</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300,466</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297,626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276,692</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44,398</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198,500</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204,326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60" w:type="dxa"/>
            <w:vAlign w:val="bottom"/>
          </w:tcPr>
          <w:p>
            <w:pPr>
              <w:spacing w:after="0"/>
              <w:rPr>
                <w:sz w:val="23"/>
                <w:szCs w:val="2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548,574</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6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820" w:right="280" w:hanging="407"/>
        <w:spacing w:after="0" w:line="239" w:lineRule="auto"/>
        <w:tabs>
          <w:tab w:leader="none" w:pos="8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year ended December 31, 2024 to the year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9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Net revenues for the year ended December 31,</w:t>
            </w:r>
          </w:p>
        </w:tc>
        <w:tc>
          <w:tcPr>
            <w:tcW w:w="340" w:type="dxa"/>
            <w:vAlign w:val="bottom"/>
          </w:tcPr>
          <w:p>
            <w:pPr>
              <w:spacing w:after="0"/>
              <w:rPr>
                <w:sz w:val="13"/>
                <w:szCs w:val="13"/>
                <w:color w:val="auto"/>
              </w:rPr>
            </w:pPr>
          </w:p>
        </w:tc>
        <w:tc>
          <w:tcPr>
            <w:tcW w:w="1080" w:type="dxa"/>
            <w:vAlign w:val="bottom"/>
          </w:tcPr>
          <w:p>
            <w:pPr>
              <w:jc w:val="right"/>
              <w:ind w:right="49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95"/>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line="160" w:lineRule="exact"/>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282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905,598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158,619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Net revenues were $1,100.4 million in the year ended December 31, 2024, an increase of $51.2 million, or 4.9%, as compared with the prior year. Net revenues in the year ended December 31, 2024 increased approximately 5.4% compared with the same period in 2023 on a constant currency basis.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227"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Service revenues increased $36.2 million, or 4.0%, to $941.8 million in 2024 as compared to $905.6 million in 2023. Favorable pricing of $30.6 million and $6.7 million in the Sterigenics and Nelson Labs segments, respectively, coupled with an increase in service revenue volume and mix of $2.2 million and $1.0 million in the Sterigenics and Nelson Labs segments, respectively, were the primary drivers of service revenue growth. Partially offsetting these growth factors was a $2.2 million unfavorable impact from changes in foreign currency exchange rates across all segments as well as a decline in service revenue of $2.1 million in the Nordion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revenues increased $14.9 million, or 10.4%, to $158.6 million in the year ended December 31, 2024 as compared to $143.7 million in the year ended December 31, 2023. Volume and mix growth of $10.3 million coupled with favorable pricing of $7.3 million were the primary drivers of the increase in product revenues. Partially offsetting these growth factors was an unfavorable change in foreign currency exchange rates of $2.7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year ended December 31, 2024 to the year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Cost of revenues for the year ended December 31,</w:t>
            </w:r>
          </w:p>
        </w:tc>
        <w:tc>
          <w:tcPr>
            <w:tcW w:w="340" w:type="dxa"/>
            <w:vAlign w:val="bottom"/>
          </w:tcPr>
          <w:p>
            <w:pPr>
              <w:spacing w:after="0"/>
              <w:rPr>
                <w:sz w:val="13"/>
                <w:szCs w:val="13"/>
                <w:color w:val="auto"/>
              </w:rPr>
            </w:pPr>
          </w:p>
        </w:tc>
        <w:tc>
          <w:tcPr>
            <w:tcW w:w="1060" w:type="dxa"/>
            <w:vAlign w:val="bottom"/>
          </w:tcPr>
          <w:p>
            <w:pPr>
              <w:jc w:val="right"/>
              <w:ind w:right="47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line="160" w:lineRule="exact"/>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439,543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418,611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58,603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498,146</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26,016</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45.3% and 45.0% of our consolidated net revenues for the years ended December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Cost of service revenues increased $20.9 million for the year ended December 31, 2024 as compared to the prior year. The primary drivers of the increase in cost of service revenues were higher employee compensation costs of $10.1 million, a $5.1 million increase in depreciation related to capital assets recently placed in service and an increase in certain facility repairs and maintenance costs of $3.3 million. The remaining difference was primarily driven by other inflationary pressures. This was partially offset by favorable changes in foreign currency exchange rates of $1.2 million.</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product revenues increased $5.1 million, or 9.5%, for the year ended December 31, 2024 as compared to the prior year. The increase was primarily a result of higher volumes of Co-60 shipments and supplier mix, which resulted in increases in direct material and material transportation costs of $4.8 million. Changes in foreign currency exchange rates resulted in a $0.8 million favorable impact to cost of product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year ended December 31, 2024 to the year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Operating expenses for the year ended December 31,</w:t>
            </w:r>
          </w:p>
        </w:tc>
        <w:tc>
          <w:tcPr>
            <w:tcW w:w="340" w:type="dxa"/>
            <w:vAlign w:val="bottom"/>
          </w:tcPr>
          <w:p>
            <w:pPr>
              <w:spacing w:after="0"/>
              <w:rPr>
                <w:sz w:val="13"/>
                <w:szCs w:val="13"/>
                <w:color w:val="auto"/>
              </w:rPr>
            </w:pPr>
          </w:p>
        </w:tc>
        <w:tc>
          <w:tcPr>
            <w:tcW w:w="1060" w:type="dxa"/>
            <w:vAlign w:val="bottom"/>
          </w:tcPr>
          <w:p>
            <w:pPr>
              <w:jc w:val="right"/>
              <w:ind w:right="4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line="160" w:lineRule="exact"/>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3240" w:type="dxa"/>
            <w:vAlign w:val="bottom"/>
            <w:tcBorders>
              <w:top w:val="single" w:sz="8" w:color="auto"/>
            </w:tcBorders>
          </w:tcPr>
          <w:p>
            <w:pPr>
              <w:spacing w:after="0"/>
              <w:rPr>
                <w:sz w:val="4"/>
                <w:szCs w:val="4"/>
                <w:color w:val="auto"/>
              </w:rPr>
            </w:pPr>
          </w:p>
        </w:tc>
        <w:tc>
          <w:tcPr>
            <w:tcW w:w="17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242,630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5,963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62,039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304,669</w:t>
            </w: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300,466</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4,203</w:t>
            </w:r>
          </w:p>
        </w:tc>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851"/>
        </w:trPr>
        <w:tc>
          <w:tcPr>
            <w:tcW w:w="20" w:type="dxa"/>
            <w:vAlign w:val="bottom"/>
            <w:tcBorders>
              <w:top w:val="single" w:sz="8" w:color="CCEEFF"/>
            </w:tcBorders>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32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4" w:name="page55"/>
    <w:bookmarkEnd w:id="54"/>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27.7% and 28.6% of our consolidated net revenues for the years ended December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SG&amp;A increased $6.0 million, or 2.5%, for the year ended December 31, 2024 as compared to the prior year. The increase was driven primarily by $9.9 million of incremental SG&amp;A compensation related costs and a $4.5 million increase in share-based compensation expense, partially offset by a $9.5 million decrease in legal and other professional services expenses.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9"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Amortization of intangible assets decreased $1.8 million, or 2.8%, for the year ended December 31, 2024, compared to the prior year, due primarily to changes in foreign currency exchange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net increased $21.8 million, or 15.3%, for the year ended December 31, 2024 as compared to the prior year. Lower favorability from interest rate derivative activity of $15.0 million coupled with an $8.4 million decline in interest income on cash and cash equivalents on deposit at financial institutions were the primary drivers of the increase in interest expense,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year ended December 31, 2024 was $24.2 million and primarily occurred in connection with the refinancing of our capital structure in May 2024 and Amendment No. 3 to Revolving Credit Facility. The refinancing activity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Georgia EO litigation settlement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October 16, 2023, the Company reached an agreement to resolve 79 pending EO claims in the State of Georgia. Under the terms of the agreement, the Company paid $35.0 million in January 2024 to settle the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Foreign exchange loss was $0.2 million for the year ended December 31, 2024 and 2023. Foreign exchange gains and losses in our Consolidated Statements of Operations and Comprehensive Income (Loss) mainly relates to short-term gains and losses on transactions denominated in currencies other than the functional currency of our operating entities. As described in Note 20, “Financial Instruments and Financial Risk”, we enter into monthly U.S. dollar-denominated foreign currency forward contracts to manage foreign currency exchange rate risk related to our international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income, net was $5.3 million for the year ended December 31, 2024, a decrease of $2.1 million, or 28.0%, as compared to the prior year. The fluctuation was primarily driven by a $3.9 million unfavorable change in the fair value of embedded derivatives in Nordion’s purchase and sales contracts, partially offset by $1.1 million of other income related to a tax credit incentive.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Provision for income taxes was $69.5 million for the year ended December 31, 2024 as compared to $54.7 million in the prior year. The change was primarily attributable to higher pre-tax income of $113.9 million in the year ended December 31, 2024 compared to $106.0 million for the year ended December 31, 2023, and an incremental increase in the valuation allowance attributable to the limitation on the deductibility of interest expense, partially offset by a decrease in Global Intangible Low Taxed Income (“GILTI”).</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2024 differed from the statutory rate of 21% primarily due to a net increase in the valuation allowance attributable to the limitation on the deductibility of interest expense and the foreign rate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t>differential, partially offset by a benefit for state income taxes. The provision for income taxes for the year ended December 31, 2023 differed from the statutory rate of 21% primarily due to an increase in the the valuation allowance attributable to the limitation on the deductibility of interest expense as well as federal and state net operating loss carryforward balances, the impact of the foreign rate differential and GILTI, partially offset by a benefit for state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income for the year ended December 31, 2024 was $44.4 million, as compared to net income of $51.4 million for the year ended December 31, 2023, primarily due to the factors described above. Adjusted Net Income was $198.5 million for the year ended December 31, 2024, as compared to</w:t>
      </w:r>
    </w:p>
    <w:p>
      <w:pPr>
        <w:ind w:right="140"/>
        <w:spacing w:after="0" w:line="253" w:lineRule="auto"/>
        <w:rPr>
          <w:sz w:val="20"/>
          <w:szCs w:val="20"/>
          <w:color w:val="auto"/>
        </w:rPr>
      </w:pPr>
      <w:r>
        <w:rPr>
          <w:rFonts w:ascii="Times New Roman" w:cs="Times New Roman" w:eastAsia="Times New Roman" w:hAnsi="Times New Roman"/>
          <w:sz w:val="18"/>
          <w:szCs w:val="18"/>
          <w:color w:val="auto"/>
        </w:rPr>
        <w:t>$204.3 million for the year ended December 31, 2023, primarily due to the factors described above. Adjusted EBITDA was $548.6 million for the year ended December 31, 2024, as compared to $528.0 million for the year ended December 31, 2023, primarily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68" w:lineRule="exact"/>
        <w:rPr>
          <w:sz w:val="20"/>
          <w:szCs w:val="20"/>
          <w:color w:val="auto"/>
        </w:rPr>
      </w:pPr>
    </w:p>
    <w:p>
      <w:pPr>
        <w:ind w:left="660" w:right="4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recurring non-cash charges such as depreciation of fixed assets, although these assets may have to be replaced in the future, as well as amortization of acquired intangible assets and asset retirement obligations (“ARO”);</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of acquiring and integrating businesses, which will continue to be a part of our growth strategy;</w:t>
      </w:r>
    </w:p>
    <w:p>
      <w:pPr>
        <w:spacing w:after="0" w:line="117"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charges on long-lived assets, intangible assets and investments accounted for under the equity method;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on refinancing of debt incurred in connection with refinancing or early extinguishment of long-term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incurred in connection with the secondary offering of our common stock and other shareholder activities;</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and charges related to the litigation, settlement agreements, and other activities associated with our EO sterilization facilities, including those related to Willowbrook, Illinois, Atlanta, Georgia, Santa Teresa, New Mexico and Vernon, California;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6" w:name="page57"/>
    <w:bookmarkEnd w:id="56"/>
    <w:p>
      <w:pPr>
        <w:ind w:left="660" w:right="100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Adjusted EBITDA, interest expense or the cash requirements necessary to service interest or principal payments on our indebtedness; and</w:t>
      </w:r>
    </w:p>
    <w:p>
      <w:pPr>
        <w:spacing w:after="0" w:line="53"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8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51,376</w:t>
            </w:r>
          </w:p>
        </w:tc>
      </w:tr>
      <w:tr>
        <w:trPr>
          <w:trHeight w:val="214"/>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79,377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81,348</w:t>
            </w:r>
          </w:p>
        </w:tc>
      </w:tr>
      <w:tr>
        <w:trPr>
          <w:trHeight w:val="218"/>
        </w:trPr>
        <w:tc>
          <w:tcPr>
            <w:tcW w:w="794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32,364</w:t>
            </w:r>
          </w:p>
        </w:tc>
      </w:tr>
      <w:tr>
        <w:trPr>
          <w:trHeight w:val="216"/>
        </w:trPr>
        <w:tc>
          <w:tcPr>
            <w:tcW w:w="79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(gain)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16"/>
        </w:trPr>
        <w:tc>
          <w:tcPr>
            <w:tcW w:w="79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32,694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45,312</w:t>
            </w:r>
          </w:p>
        </w:tc>
      </w:tr>
      <w:tr>
        <w:trPr>
          <w:trHeight w:val="216"/>
        </w:trPr>
        <w:tc>
          <w:tcPr>
            <w:tcW w:w="79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3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and other shareholder activities</w:t>
            </w:r>
            <w:r>
              <w:rPr>
                <w:rFonts w:ascii="Times New Roman" w:cs="Times New Roman" w:eastAsia="Times New Roman" w:hAnsi="Times New Roman"/>
                <w:sz w:val="21"/>
                <w:szCs w:val="21"/>
                <w:color w:val="auto"/>
                <w:vertAlign w:val="superscript"/>
              </w:rPr>
              <w:t>(g)</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(h)</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(49,597)</w:t>
            </w:r>
          </w:p>
        </w:tc>
      </w:tr>
      <w:tr>
        <w:trPr>
          <w:trHeight w:val="20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198,500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204,326</w:t>
            </w:r>
          </w:p>
        </w:tc>
      </w:tr>
      <w:tr>
        <w:trPr>
          <w:trHeight w:val="211"/>
        </w:trPr>
        <w:tc>
          <w:tcPr>
            <w:tcW w:w="794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164,691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142,878</w:t>
            </w:r>
          </w:p>
        </w:tc>
      </w:tr>
      <w:tr>
        <w:trPr>
          <w:trHeight w:val="216"/>
        </w:trPr>
        <w:tc>
          <w:tcPr>
            <w:tcW w:w="79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82,420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76,577</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102,963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104,248</w:t>
            </w:r>
          </w:p>
        </w:tc>
      </w:tr>
      <w:tr>
        <w:trPr>
          <w:trHeight w:val="210"/>
        </w:trPr>
        <w:tc>
          <w:tcPr>
            <w:tcW w:w="79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548,574</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528,029</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right="240" w:hanging="330"/>
        <w:spacing w:after="0" w:line="261" w:lineRule="auto"/>
        <w:tabs>
          <w:tab w:leader="none" w:pos="497"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share-based compensation expense to employees and Non-Employee Directors. See Note 15, “Share-Based Compensation” for further information.</w:t>
      </w:r>
    </w:p>
    <w:p>
      <w:pPr>
        <w:ind w:left="500" w:right="160" w:hanging="330"/>
        <w:spacing w:after="0" w:line="255"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spacing w:after="0" w:line="10" w:lineRule="exact"/>
        <w:rPr>
          <w:rFonts w:ascii="Times New Roman" w:cs="Times New Roman" w:eastAsia="Times New Roman" w:hAnsi="Times New Roman"/>
          <w:sz w:val="18"/>
          <w:szCs w:val="18"/>
          <w:color w:val="auto"/>
        </w:rPr>
      </w:pPr>
    </w:p>
    <w:p>
      <w:pPr>
        <w:ind w:left="500" w:right="120" w:hanging="330"/>
        <w:spacing w:after="0" w:line="266" w:lineRule="auto"/>
        <w:tabs>
          <w:tab w:leader="none" w:pos="497"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140" w:hanging="330"/>
        <w:spacing w:after="0" w:line="273" w:lineRule="auto"/>
        <w:tabs>
          <w:tab w:leader="none" w:pos="49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2" w:lineRule="exact"/>
        <w:rPr>
          <w:rFonts w:ascii="Times New Roman" w:cs="Times New Roman" w:eastAsia="Times New Roman" w:hAnsi="Times New Roman"/>
          <w:sz w:val="17"/>
          <w:szCs w:val="17"/>
          <w:color w:val="auto"/>
        </w:rPr>
      </w:pPr>
    </w:p>
    <w:p>
      <w:pPr>
        <w:ind w:left="500" w:right="120" w:hanging="330"/>
        <w:spacing w:after="0" w:line="266" w:lineRule="auto"/>
        <w:tabs>
          <w:tab w:leader="none" w:pos="4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year ended December 31, 2023 have been adjusted to exclude interest expense, net associated with Term Loan B due 2026 attributable to the loan proceeds that were used to fund the $408.0 million Illinois EO litigation settlement.</w:t>
      </w:r>
    </w:p>
    <w:p>
      <w:pPr>
        <w:ind w:left="500" w:right="200" w:hanging="330"/>
        <w:spacing w:after="0" w:line="266" w:lineRule="auto"/>
        <w:tabs>
          <w:tab w:leader="none" w:pos="491"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the cost to settle 79 pending EO claims in Georgia under a settlement entered into on December 21, 2023. See Note 19, “Commitments and Contingencies.”</w:t>
      </w:r>
    </w:p>
    <w:p>
      <w:pPr>
        <w:ind w:left="500" w:right="40" w:hanging="330"/>
        <w:spacing w:after="0" w:line="282" w:lineRule="auto"/>
        <w:tabs>
          <w:tab w:leader="none" w:pos="49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expenses incurred in connection with secondary offerings of our common stock that closed on March 4, 2024 and September 6, 2024 and legal, consulting, and other fees associated with shareholder engagement.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ind w:left="500" w:hanging="330"/>
        <w:spacing w:after="0" w:line="266" w:lineRule="auto"/>
        <w:tabs>
          <w:tab w:leader="none" w:pos="49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non-cash accretion of ARO related to Co-60 gamma and EO processing facilities, which are based on estimated site remediation costs for any future decommissioning of these facilities and are accreted over the life of the asset.</w:t>
      </w:r>
    </w:p>
    <w:p>
      <w:pPr>
        <w:ind w:left="500" w:right="40" w:hanging="330"/>
        <w:spacing w:after="0" w:line="273" w:lineRule="auto"/>
        <w:tabs>
          <w:tab w:leader="none" w:pos="49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8"/>
          <w:szCs w:val="18"/>
          <w:color w:val="231F20"/>
        </w:rPr>
      </w:pPr>
    </w:p>
    <w:p>
      <w:pPr>
        <w:ind w:left="500" w:right="280" w:hanging="330"/>
        <w:spacing w:after="0" w:line="266" w:lineRule="auto"/>
        <w:tabs>
          <w:tab w:leader="none" w:pos="49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Interest expense, net presented in this reconciliation for the </w:t>
      </w:r>
      <w:r>
        <w:rPr>
          <w:rFonts w:ascii="Times New Roman" w:cs="Times New Roman" w:eastAsia="Times New Roman" w:hAnsi="Times New Roman"/>
          <w:sz w:val="18"/>
          <w:szCs w:val="18"/>
          <w:color w:val="000000"/>
        </w:rPr>
        <w:t>year ended December 31, 2023</w:t>
      </w:r>
      <w:r>
        <w:rPr>
          <w:rFonts w:ascii="Times New Roman" w:cs="Times New Roman" w:eastAsia="Times New Roman" w:hAnsi="Times New Roman"/>
          <w:sz w:val="18"/>
          <w:szCs w:val="18"/>
          <w:color w:val="231F20"/>
        </w:rPr>
        <w:t xml:space="preserve"> has been adjusted to conform to the current year presentation to include interest expense, net on Term Loan B due 2026 attributable to the loan proceeds that were used to fund the $408.0 million Illinois EO litigation settlement.</w:t>
      </w:r>
    </w:p>
    <w:p>
      <w:pPr>
        <w:ind w:left="500" w:right="340" w:hanging="330"/>
        <w:spacing w:after="0" w:line="266" w:lineRule="auto"/>
        <w:tabs>
          <w:tab w:leader="none" w:pos="49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depreciation of Co-60 held at gamma irradiation sites. The year ended December 31, 2024 excludes accelerated depreciation associated with business optimization activities.</w:t>
      </w:r>
    </w:p>
    <w:p>
      <w:pPr>
        <w:ind w:left="500" w:right="40" w:hanging="330"/>
        <w:spacing w:after="0" w:line="273" w:lineRule="auto"/>
        <w:tabs>
          <w:tab w:leader="none" w:pos="49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the difference between the income tax provision/benefit as determined under U.S. GAAP and the income tax benefit associated with pre-tax adjustments described in footnote (i).</w:t>
      </w:r>
    </w:p>
    <w:p>
      <w:pPr>
        <w:spacing w:after="0" w:line="1" w:lineRule="exact"/>
        <w:rPr>
          <w:rFonts w:ascii="Times New Roman" w:cs="Times New Roman" w:eastAsia="Times New Roman" w:hAnsi="Times New Roman"/>
          <w:sz w:val="18"/>
          <w:szCs w:val="18"/>
          <w:color w:val="231F20"/>
        </w:rPr>
      </w:pPr>
    </w:p>
    <w:p>
      <w:pPr>
        <w:ind w:left="500" w:right="200" w:hanging="330"/>
        <w:spacing w:after="0" w:line="282" w:lineRule="auto"/>
        <w:tabs>
          <w:tab w:leader="none" w:pos="49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$97.1 million and $94.1 million of the adjustments for the </w:t>
      </w:r>
      <w:r>
        <w:rPr>
          <w:rFonts w:ascii="Times New Roman" w:cs="Times New Roman" w:eastAsia="Times New Roman" w:hAnsi="Times New Roman"/>
          <w:sz w:val="18"/>
          <w:szCs w:val="18"/>
          <w:color w:val="000000"/>
        </w:rPr>
        <w:t>year ended December 31, 2024 and</w:t>
      </w:r>
      <w:r>
        <w:rPr>
          <w:rFonts w:ascii="Times New Roman" w:cs="Times New Roman" w:eastAsia="Times New Roman" w:hAnsi="Times New Roman"/>
          <w:sz w:val="18"/>
          <w:szCs w:val="18"/>
          <w:color w:val="231F20"/>
        </w:rPr>
        <w:t xml:space="preserve"> 2023, respectively, are included in cost of revenues, primarily consisting of amortization of intangible assets, depreciation, and accretion of ARO.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Nelson Labs business provides outsourced microbiological and analytical chemistry testing and advisory services for the medical device and pharmaceutical industries.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reportable segments please refer to Item 1. “Business” and Note 21, “Segment and Geographic Information” to our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Segment Results for the Years Ended December 31, 2024 and 2023</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 summarizes the segment results for the years ended December 31, 2024 and 2023. The discussion of the segment results for the years ended December 31, 2023 and 2022 are presented within our Annual Report on Form 10-K for the year ended December 31, 2023 under “Item 7. Management’s Discussion and Analysis of Financial Condition and Results of Operations - Segment Results for the years ended December 31, 2023 and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year ended December 31, 2024 to the year ended December 31, 2023:</w:t>
      </w:r>
    </w:p>
    <w:p>
      <w:pPr>
        <w:spacing w:after="0" w:line="70"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33020</wp:posOffset>
            </wp:positionV>
            <wp:extent cx="23317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7"/>
                <w:szCs w:val="17"/>
                <w:color w:val="auto"/>
              </w:rPr>
            </w:pPr>
          </w:p>
        </w:tc>
        <w:tc>
          <w:tcPr>
            <w:tcW w:w="13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88"/>
        </w:trPr>
        <w:tc>
          <w:tcPr>
            <w:tcW w:w="4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697,853</w:t>
            </w:r>
          </w:p>
        </w:tc>
        <w:tc>
          <w:tcPr>
            <w:tcW w:w="1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667,130</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0"/>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173,355</w:t>
            </w: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160,459</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323"/>
        </w:trPr>
        <w:tc>
          <w:tcPr>
            <w:tcW w:w="4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229,233</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221,699</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43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4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r>
      <w:tr>
        <w:trPr>
          <w:trHeight w:val="270"/>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378,171</w:t>
            </w: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362,212</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420" w:type="dxa"/>
            <w:vAlign w:val="bottom"/>
          </w:tcPr>
          <w:p>
            <w:pPr>
              <w:spacing w:after="0"/>
              <w:rPr>
                <w:sz w:val="23"/>
                <w:szCs w:val="23"/>
                <w:color w:val="auto"/>
              </w:rPr>
            </w:pP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101,220</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96,678</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0"/>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69,183</w:t>
            </w:r>
          </w:p>
        </w:tc>
        <w:tc>
          <w:tcPr>
            <w:tcW w:w="1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69,139</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r>
      <w:tr>
        <w:trPr>
          <w:trHeight w:val="27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54.2 %</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3260" w:type="dxa"/>
            <w:vAlign w:val="bottom"/>
          </w:tcPr>
          <w:p>
            <w:pPr>
              <w:spacing w:after="0"/>
              <w:rPr>
                <w:sz w:val="23"/>
                <w:szCs w:val="23"/>
                <w:color w:val="auto"/>
              </w:rPr>
            </w:pPr>
          </w:p>
        </w:tc>
      </w:tr>
      <w:tr>
        <w:trPr>
          <w:trHeight w:val="270"/>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58.4 %</w:t>
            </w: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3260" w:type="dxa"/>
            <w:vAlign w:val="bottom"/>
            <w:shd w:val="clear" w:color="auto" w:fill="CCEEFF"/>
          </w:tcPr>
          <w:p>
            <w:pPr>
              <w:spacing w:after="0"/>
              <w:rPr>
                <w:sz w:val="23"/>
                <w:szCs w:val="23"/>
                <w:color w:val="auto"/>
              </w:rPr>
            </w:pPr>
          </w:p>
        </w:tc>
      </w:tr>
      <w:tr>
        <w:trPr>
          <w:trHeight w:val="27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30.2 %</w:t>
            </w:r>
          </w:p>
        </w:tc>
        <w:tc>
          <w:tcPr>
            <w:tcW w:w="160" w:type="dxa"/>
            <w:vAlign w:val="bottom"/>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3260" w:type="dxa"/>
            <w:vAlign w:val="bottom"/>
          </w:tcPr>
          <w:p>
            <w:pPr>
              <w:spacing w:after="0"/>
              <w:rPr>
                <w:sz w:val="23"/>
                <w:szCs w:val="23"/>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Sterigenics net revenues were $697.9 million for the year ended December 31, 2024, an increase of $30.7 million, or 4.6%, as compared to the prior year. The increase was attributable to a favorable impact from pricing of 4.6% and changes in volume and mix of 0.3%, partially offset by unfavorable changes in foreign currency exchange rates of 0.3%.</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Nordion net revenues were $173.4 million for the year ended December 31, 2024, an increase of $12.9 million, or 8.0%, as compared to the prior year. The increase was driven by growth from volume and mix and pricing of 4.9% and 5.2%, respectively, partially offset by unfavorable changes in foreign currency exchange rates of 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Nelson Labs net revenues were $229.2 million for the year ended December 31, 2024, an increase of $7.5 million, or 3.4%, as compared to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attributable to a 3.0% favorable impact from pricing and 0.4% from changes in volume and mix.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22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Sterigenics segment income was $378.2 million for the year ended December 31, 2024, an increase of $16.0 million, or 4.4%, as compared to the prior year. The increase in segment income was driven mainly by favorable pricing, partially offset by inflation and certain facility repairs and maintenance costs.</w:t>
      </w:r>
    </w:p>
    <w:p>
      <w:pPr>
        <w:spacing w:after="0" w:line="176" w:lineRule="exact"/>
        <w:rPr>
          <w:sz w:val="20"/>
          <w:szCs w:val="20"/>
          <w:color w:val="auto"/>
        </w:rPr>
      </w:pPr>
    </w:p>
    <w:p>
      <w:pPr>
        <w:jc w:val="both"/>
        <w:ind w:right="240" w:firstLine="4"/>
        <w:spacing w:after="0" w:line="266" w:lineRule="auto"/>
        <w:rPr>
          <w:sz w:val="20"/>
          <w:szCs w:val="20"/>
          <w:color w:val="auto"/>
        </w:rPr>
      </w:pPr>
      <w:r>
        <w:rPr>
          <w:rFonts w:ascii="Times New Roman" w:cs="Times New Roman" w:eastAsia="Times New Roman" w:hAnsi="Times New Roman"/>
          <w:sz w:val="18"/>
          <w:szCs w:val="18"/>
          <w:color w:val="auto"/>
        </w:rPr>
        <w:t>Nordion segment income was $101.2 million for the year ended December 31, 2024, an increase of $4.5 million, or 4.7%, as compared to the prior year. The increase in segment income was driven primarily by favorable pricing and higher volumes and mix, partially offset by supplier mix. The decrease in segment income margin was driven by higher employee compensation costs and unfavorable mix.</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Nelson Labs segment income was $69.2 million for the year ended December 31, 2024, an increase of 0.1%, as compared to the prior year. Pricing and labor productivity improvements resulted in a favorable impact to segment income during the year ended December 31, 2024 compared to the prior year. Partially offsetting this and negatively impacting segment income margin were increases in employee compensation costs and unfavorable mix.</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As of December 31, 2024, we had $278.9 million of cash and cash equivalents. This is a decrease of $22.8 million from the balance at December 31, 2023. The decrease in cash and cash equivalents was attributable to $179.0 million of purchases of property, plant and equipment, $50.6 million of cash used in financing activities and a $17.4 million decline due to changes in foreign currency exchange rates, partially offset by $224.2 million of cash provided by operating activities. Our foreign subsidiaries held cash of approximately $259.8 million at December 31, 2024 and $224.1 million at December 31, 2023. No material restrictions exist to accessing cash held by our foreign subsidiaries notwithstanding any potential tax consequences.</w:t>
      </w:r>
    </w:p>
    <w:p>
      <w:pPr>
        <w:spacing w:after="0" w:line="19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Refer to “Debt Facilities” below within this Item, Note 9, “Long-Term Debt”, and Item 1A,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 “Risks Related to Our Indebtedness and Liquidity” for additional information.</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described in more detail below, on March 1, 2024, the Company and SHH entered into Amendment No. 3 to the Revolving Credit Facility. Amendment No. 3 did not materially change the terms and conditions of the Credit Agreement, including</w:t>
      </w:r>
    </w:p>
    <w:p>
      <w:pPr>
        <w:spacing w:after="0"/>
        <w:rPr>
          <w:sz w:val="20"/>
          <w:szCs w:val="20"/>
          <w:color w:val="auto"/>
        </w:rPr>
      </w:pPr>
      <w:r>
        <w:rPr>
          <w:rFonts w:ascii="Times New Roman" w:cs="Times New Roman" w:eastAsia="Times New Roman" w:hAnsi="Times New Roman"/>
          <w:sz w:val="18"/>
          <w:szCs w:val="18"/>
          <w:color w:val="auto"/>
        </w:rPr>
        <w:t>with respect to the amount of commitments under the Revolving Credit Facility, which remain $423.8 million.</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discussed below, on May 30, 2024 the Company and SHH closed on the Refinancing Term Loans in an aggregate principal amount of $1,509.4 million as well as an issuance of Secured Notes in an aggregate principal amount of $750.0 million, both of which mature in 2031. The Company used the net proceeds from the Refinancing Term Loans and Secured Notes, along with cash on hand, to refinance its previously outstanding $1,763.1 million and $496.3 million Term Loans due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Cash</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Our primary long-term liquidity requirements beyond the next twelve months will be to service our debt, make capital expenditures, and fund suitable business acquisitions. As of December 31, 2024,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2024, our interest rate derivatives limit our cash flow exposure of our variable rate borrowings under the Term Loans. Refer to Note 20, “Financial Instruments and Financial Risk”, “</w:t>
      </w:r>
      <w:r>
        <w:rPr>
          <w:rFonts w:ascii="Times New Roman" w:cs="Times New Roman" w:eastAsia="Times New Roman" w:hAnsi="Times New Roman"/>
          <w:sz w:val="17"/>
          <w:szCs w:val="17"/>
          <w:i w:val="1"/>
          <w:iCs w:val="1"/>
          <w:color w:val="auto"/>
        </w:rPr>
        <w:t>Derivative Instruments</w:t>
      </w:r>
      <w:r>
        <w:rPr>
          <w:rFonts w:ascii="Times New Roman" w:cs="Times New Roman" w:eastAsia="Times New Roman" w:hAnsi="Times New Roman"/>
          <w:sz w:val="17"/>
          <w:szCs w:val="17"/>
          <w:color w:val="auto"/>
        </w:rPr>
        <w:t>” for additional information regarding the interest rate limits used to manage</w:t>
      </w:r>
    </w:p>
    <w:p>
      <w:pPr>
        <w:spacing w:after="0" w:line="4"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8"/>
          <w:szCs w:val="18"/>
          <w:color w:val="auto"/>
        </w:rPr>
        <w:t xml:space="preserve">economic risks associated with our variable rate borrowings. Refer to Item 7A.,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Quantitative and Qualitative Disclosures About Market Risk</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for additional information about changes in interest rate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year ended December 31, 2024, our capital expenditures amounted to $179.1 million, compared to $215.0 million in the year ended December 31, 2023. Our capital expenditures for the year ended December 31, 2024 included approximately $32 million related to environmental facility enhancements.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2024,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For 2025, it is estimated that approximately $46 million of capital expenditures will relate to environmental facility enhancements.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4, the “Credit Agreement”).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 on borrowings under the Refinancing Term Loans for the year ended December 31, 2024 was 8.29%.</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w:t>
      </w:r>
    </w:p>
    <w:p>
      <w:pPr>
        <w:spacing w:after="0" w:line="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ind w:right="20"/>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December 31, 2024, we were in compliance with all of the covenants under the Senior Secured Credit Facilities and the Indenture.</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December 31, 2024, the Company had $14.0 of letters of credit issued against the Revolving Credit Facility, resulting in total availability under the Revolving Credit Facility of $409.8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2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section summarizes cash flow information for the years ended December 31, 2024 and 2023. Cash flow information for the years ended December 31, 2023 and 2022 are presented within our Annual Report on Form 10-K for the year ended December 31, 2023 under Item 7, “Management’s Discussion and Analysis of Financial Condition and Results of Operations - 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88"/>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30"/>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224,164</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(147,732)</w:t>
            </w:r>
          </w:p>
        </w:tc>
      </w:tr>
      <w:tr>
        <w:trPr>
          <w:trHeight w:val="230"/>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(214,906)</w:t>
            </w:r>
          </w:p>
        </w:tc>
      </w:tr>
      <w:tr>
        <w:trPr>
          <w:trHeight w:val="230"/>
        </w:trPr>
        <w:tc>
          <w:tcPr>
            <w:tcW w:w="20" w:type="dxa"/>
            <w:vAlign w:val="bottom"/>
          </w:tcPr>
          <w:p>
            <w:pPr>
              <w:spacing w:after="0"/>
              <w:rPr>
                <w:sz w:val="19"/>
                <w:szCs w:val="19"/>
                <w:color w:val="auto"/>
              </w:rPr>
            </w:pPr>
          </w:p>
        </w:tc>
        <w:tc>
          <w:tcPr>
            <w:tcW w:w="8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r>
      <w:tr>
        <w:trPr>
          <w:trHeight w:val="230"/>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including restricted cash, during the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(94,640)</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$371.9 million to net cash provided of $224.2 million for the year ended December 31, 2024 as compared to net cash used in operating activities of $147.7 million for the prior year. The increase in net cash provided by operating activities in 2024 compared to the prior year was due mainly to the timing of cash outflows for the Illinois and Georgia EO litigation settlements. Approximately $407.7 million was paid in June 2023 for the settlements of the Illinois EO claims, whereas $35.0 million was paid in January 2024 for settlement of the Georgia EO claims.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$35.9 million to net cash used of $179.0 million in the year ended December 31, 2024 as compared to</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$214.9 million for the prior year. The variance was mainly driven by a decrease in capital expenditures of $35.9 million in the year ended December 31, 2024 compared to the prior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$50.6 million compared to net cash provided by financing activities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$266.0 million for the year ended December 31, 2023 resulting in a net change of $316.5 million. The difference was mainly attributable to $5.0 million of debt repayments (net of debt proceeds) in the year ended December 31, 2024 as compared to $297.5 million of debt proceeds (net of repayments) in the year ended December 31, 2023 resulting in a $302.5 million net change in cash outflow. Cash outflows for debt issuance costs also increased $6.4 million during the year ended December 31, 2024 as compared to the prior year. In addition, a purchase option for a leased facility was exercised in the first quarter of 2024 resulting in a $6.7 million cash outflow.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our significant contractual and other cash obligations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8"/>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15"/>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More than 5</w:t>
            </w:r>
          </w:p>
        </w:tc>
      </w:tr>
      <w:tr>
        <w:trPr>
          <w:trHeight w:val="173"/>
        </w:trPr>
        <w:tc>
          <w:tcPr>
            <w:tcW w:w="2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5"/>
                <w:szCs w:val="15"/>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28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40" w:type="dxa"/>
            <w:vAlign w:val="bottom"/>
          </w:tcPr>
          <w:p>
            <w:pPr>
              <w:spacing w:after="0"/>
              <w:rPr>
                <w:sz w:val="15"/>
                <w:szCs w:val="15"/>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3,299,746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183,748</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348,172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362,490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2,405,336</w:t>
            </w: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Finance </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117,367</w:t>
            </w:r>
          </w:p>
        </w:tc>
      </w:tr>
      <w:tr>
        <w:trPr>
          <w:trHeight w:val="229"/>
        </w:trPr>
        <w:tc>
          <w:tcPr>
            <w:tcW w:w="20" w:type="dxa"/>
            <w:vAlign w:val="bottom"/>
          </w:tcPr>
          <w:p>
            <w:pPr>
              <w:spacing w:after="0"/>
              <w:rPr>
                <w:sz w:val="19"/>
                <w:szCs w:val="19"/>
                <w:color w:val="auto"/>
              </w:rPr>
            </w:pPr>
          </w:p>
        </w:tc>
        <w:tc>
          <w:tcPr>
            <w:tcW w:w="3480" w:type="dxa"/>
            <w:vAlign w:val="bottom"/>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Operating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Supply and service obligations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2,219,136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1,938,966</w:t>
            </w:r>
          </w:p>
        </w:tc>
      </w:tr>
      <w:tr>
        <w:trPr>
          <w:trHeight w:val="230"/>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Direct material costs </w:t>
            </w:r>
            <w:r>
              <w:rPr>
                <w:rFonts w:ascii="Times New Roman" w:cs="Times New Roman" w:eastAsia="Times New Roman" w:hAnsi="Times New Roman"/>
                <w:sz w:val="23"/>
                <w:szCs w:val="23"/>
                <w:color w:val="auto"/>
                <w:vertAlign w:val="superscript"/>
              </w:rPr>
              <w:t>(e)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161,796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5,885,005</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281,661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541,792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554,865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4,506,687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right="120" w:hanging="412"/>
        <w:spacing w:after="0" w:line="255" w:lineRule="auto"/>
        <w:tabs>
          <w:tab w:leader="none" w:pos="4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and interest payments on the Senior Secured Credit Facilities and Secured Notes. We have calculated the interest payments on the Senior Secured Credit Facilities using an assumed range of 6.91% to 7.84% based on anticipated forward movements in SOFR and the fixed rate of 7.375% for the Secured Notes. In addition, interest payments include the impact of existing interest rate swaps described in Note 20, “Financial Instruments and Financial Risk” in the notes to consolidated financial statements.</w:t>
      </w:r>
    </w:p>
    <w:p>
      <w:pPr>
        <w:spacing w:after="0" w:line="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payments under our finance leases for various facilities and equipment.</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lease payments under our operating leases for several of our facilities and other property and equipment.</w:t>
      </w:r>
    </w:p>
    <w:p>
      <w:pPr>
        <w:spacing w:after="0" w:line="9" w:lineRule="exact"/>
        <w:rPr>
          <w:rFonts w:ascii="Times New Roman" w:cs="Times New Roman" w:eastAsia="Times New Roman" w:hAnsi="Times New Roman"/>
          <w:sz w:val="18"/>
          <w:szCs w:val="18"/>
          <w:color w:val="auto"/>
        </w:rPr>
      </w:pPr>
    </w:p>
    <w:p>
      <w:pPr>
        <w:ind w:left="420" w:right="560" w:hanging="412"/>
        <w:spacing w:after="0" w:line="250" w:lineRule="auto"/>
        <w:tabs>
          <w:tab w:leader="none" w:pos="4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under various supply and service agreements, primarily Co-60, that are enforceable and legally binding on us.</w:t>
      </w:r>
    </w:p>
    <w:p>
      <w:pPr>
        <w:ind w:left="420" w:hanging="412"/>
        <w:spacing w:after="0" w:line="252" w:lineRule="auto"/>
        <w:tabs>
          <w:tab w:leader="none" w:pos="4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2024 and 2023, we had $58.5 million and $67.3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2024 and 2023, $49.1 million and $48.2 million, respectively, of the standby letters of credit and surety bonds referenced above were outstanding in favor of the various local and state licensing authorities in the event we defaulted on our decommissioning obligation.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majority of our sales agreements contain performance obligations satisfied at a point in time when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have transferred to our customers. Revenues recognized over time are generally accounted for using an input measure to determine progress completed as of the end of the period.</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business units and we do not incur material incremental costs to secure customer contracts.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the approval of our quality assurance process, at which time the service is complete.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generally using an input measure of time incurred to determine progress completed at the end of the period. Revenue recognized over time in excess of the 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capitalize sales commissions because substantially all of our sales commission programs have an amortization period of one year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4" w:name="page65"/>
    <w:bookmarkEnd w:id="64"/>
    <w:p>
      <w:pPr>
        <w:spacing w:after="0" w:line="275" w:lineRule="auto"/>
        <w:rPr>
          <w:sz w:val="20"/>
          <w:szCs w:val="20"/>
          <w:color w:val="auto"/>
        </w:rPr>
      </w:pPr>
      <w:r>
        <w:rPr>
          <w:rFonts w:ascii="Times New Roman" w:cs="Times New Roman" w:eastAsia="Times New Roman" w:hAnsi="Times New Roman"/>
          <w:sz w:val="17"/>
          <w:szCs w:val="17"/>
          <w:i w:val="1"/>
          <w:iCs w:val="1"/>
          <w:color w:val="auto"/>
        </w:rPr>
        <w:t>Goodwill and Other Indefinite-Lived Intangibles</w:t>
      </w:r>
      <w:r>
        <w:rPr>
          <w:rFonts w:ascii="Times New Roman" w:cs="Times New Roman" w:eastAsia="Times New Roman" w:hAnsi="Times New Roman"/>
          <w:sz w:val="17"/>
          <w:szCs w:val="17"/>
          <w:color w:val="auto"/>
        </w:rPr>
        <w:t>. Assets and liabilities of a business acquired are accounted for at their estimated fair values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Goodwill and other indefinite-lived intangible assets, primarily certain regulatory licenses and trade names, are tested for impairment annually as of October 1. If circumstances change during interim periods between annual tests that indicate that the carrying amount of such assets may not be recoverable, the Company tests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December 31, 2024, goodwill and intangible assets totaled $1,398.7 million, or 45.5% of our total assets. We consider the impairment analyses of these assets critical because of their quantitative significance to the Company and our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assigned to our segments at December 31, 2024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300" w:type="dxa"/>
            <w:vAlign w:val="bottom"/>
          </w:tcPr>
          <w:p>
            <w:pPr>
              <w:spacing w:after="0"/>
              <w:rPr>
                <w:sz w:val="15"/>
                <w:szCs w:val="15"/>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2024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255,485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172,366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1,081,073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performed a quantitative assessment of all reporting units (Sterigenics, Nordion and Nelson Labs) as of October 1, 2024.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2024. No factors were identified that would result in the potential impairment to the indefinite-lived intangible assets. There have been no other significant events or circumstances that occurred since the annual assessment date of October 1 that would change the conclusions reached above. We provide additional information about our goodwill and other indefinite-lived intangible assets in Note 7, “Goodwill and Other Intangible Assets” to our consolidated financial statements.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use the liability method of accounting for income taxes whereby we recognize deferred tax assets and liabilities for the future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At December 31, 2024 and 2023, we maintained a valuation allowance of $160.6 million and $125.4 million, respectively, against our deferred tax assets, primarily attributable to the excess interest expense on our long-term debt in the United States, as well as state and foreign net operating loss carryforwards.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meets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5" w:name="page66"/>
    <w:bookmarkEnd w:id="65"/>
    <w:p>
      <w:pPr>
        <w:ind w:right="160"/>
        <w:spacing w:after="0" w:line="258" w:lineRule="auto"/>
        <w:rPr>
          <w:sz w:val="20"/>
          <w:szCs w:val="20"/>
          <w:color w:val="auto"/>
        </w:rPr>
      </w:pPr>
      <w:r>
        <w:rPr>
          <w:rFonts w:ascii="Times New Roman" w:cs="Times New Roman" w:eastAsia="Times New Roman" w:hAnsi="Times New Roman"/>
          <w:sz w:val="18"/>
          <w:szCs w:val="18"/>
          <w:color w:val="auto"/>
        </w:rPr>
        <w:t>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subject to taxation from federal, state,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10, “Income Taxes” to our consolidated financial statements.</w:t>
      </w:r>
    </w:p>
    <w:p>
      <w:pPr>
        <w:spacing w:after="0" w:line="17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We are, and will likely continue to be, involved in a number of legal proceedings, government investigations and claims,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record a liability for such contingencies to the extent we conclude that their occurrence is both probable and estimable. If a potentially material loss contingency is not probable, but is reasonably possible, or is probable but cannot be estimated, then the nature of the contingent liability is disclosed within our consolidated financial statements, together with an estimate of the range of possible loss if the range is determinable and material. We consider many factors in making these assessments, including the professional judgment of experienced members of management and our legal counsel. For legal proceedings and claims described within our consolidated financial statements, we have made estimates as to the likelihood of unfavorable outcomes and the amounts of such potential losses, if a range is determinable. While it is not possible to determine the ultimate disposition of each of these matters, the ultimate resolution of pending regulatory and legal matters in future periods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 We record gain contingencies when realized and expected recoveries under</w:t>
      </w:r>
    </w:p>
    <w:p>
      <w:pPr>
        <w:spacing w:after="0" w:line="1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applicable insurance contracts when we are assured of recovery. Refer to Note 19, “Commitments and Contingencies,” to our consolidated financial statements.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reached agreements to settle approximately 880 pending and threatened EO claims in the State of Illinois on January 9, 2023. Under the binding Settlement Agreements, the Company paid $407.7 million to settle the claims.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October 16, 2023, the Company reached an agreement to resolve 79 EO claims in the State of Georgia. Under the terms of the agreements, the Company paid $35.0 million to settle the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applicable to our business, see Note 2, “Recent Accounting Standards”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business, primarily changes in commodity prices, interest rates and foreign currency exchange rates and regulatory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6" w:name="page67"/>
    <w:bookmarkEnd w:id="66"/>
    <w:p>
      <w:pPr>
        <w:ind w:right="180"/>
        <w:spacing w:after="0" w:line="258" w:lineRule="auto"/>
        <w:rPr>
          <w:sz w:val="20"/>
          <w:szCs w:val="20"/>
          <w:color w:val="auto"/>
        </w:rPr>
      </w:pPr>
      <w:r>
        <w:rPr>
          <w:rFonts w:ascii="Times New Roman" w:cs="Times New Roman" w:eastAsia="Times New Roman" w:hAnsi="Times New Roman"/>
          <w:sz w:val="18"/>
          <w:szCs w:val="18"/>
          <w:color w:val="auto"/>
        </w:rPr>
        <w:t>We actively seek to manage the risk of fluctuating prices through long-term supply and service contracts. Most of our Sterigenics customer contracts contain provisions that permit us to pass through all or a portion of our supply price increases to our customers, though some of our contracts do not contain these provisions. Even for contracts that do contain these provisions, there is often at least a brief lag between when we incur increased costs for supplies and when we can pass through these costs to our customers. In addition, even when we are contractually permitted to pass on price increases, we may decide not to do so to preserve our sales volumes or for other reasons.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interest rate swap agreement with a notional amount of $400.0 million. The interest rate swap’s effective date began on August 23, 2023 and expires on August 23, 2025. We designated the interest rate swap as a cash flow hedge designed to hedge the variability of cash flows attributable to changes in the SOFR benchmark interest rate of our Term Loan. We receive interest at the one-month Term SOFR rate and pay a fixed interest rate under the terms of the swap agreement.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we entered into two interest rate cap agreements with a combined notional amount of $1,000.0 million for a total option premium of $4.1 million. The interest rate caps became effective as of July 31, 2023 and expired on July 31, 2024. We designated these interest rate caps as cash flow hedges that were designed to hedge the variability of cash flows attributable to changes in the benchmark interest rate of our Term Loan. Under the current terms of the loan agreement, the benchmark interest rate index transitioned from LIBOR to Term SOFR on June 30, 2023. Accordingly, the interest rate cap agreements hedged the variability of cash flows attributable to changes in SOFR by limiting our cash flow exposure related to Term SOFR under a portion of our variable rate borrowings to 3.5%.</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our indebtedness outstanding as of December 31, 2024, the interest rate under our Term Loans that was in effect on December 31, 2024, and after applying the effects of interest rate caps and the swap referenced above, a 1.0% increase in the interest rate under our outstanding debt obligations as of December 31, 2024, would increase interest expense by approximately $11.1 million per year.</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Note 20, “Financial Instruments and Financial Risk” to our consolidated financial statements for a summary of the activity of the interest rate caps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assets, liabilities, revenues, expenses and other figures presented in our consolidated financial statements, even if their value has not changed in their local currencies.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ind w:right="40"/>
        <w:spacing w:after="0" w:line="289" w:lineRule="auto"/>
        <w:rPr>
          <w:sz w:val="20"/>
          <w:szCs w:val="20"/>
          <w:color w:val="auto"/>
        </w:rPr>
      </w:pPr>
      <w:r>
        <w:rPr>
          <w:rFonts w:ascii="Times New Roman" w:cs="Times New Roman" w:eastAsia="Times New Roman" w:hAnsi="Times New Roman"/>
          <w:sz w:val="17"/>
          <w:szCs w:val="17"/>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 net fair value of the outstanding foreign currency forward contracts was $0.1 million as of each of the years ended December 31, 2024 and 2023.</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Approximately 44.0% of our revenues and 47.3% of our consolidated total assets as of December 31, 2024 were derived from operations outside the United States. Holding other variables constant (such as interest rates and debt levels), if the U.S. dollar had appreciated by 10% against the foreign currencies used by our operations in the year ended December 31, 2024, revenues would have been reduced by approximately $48.4 million and gross profit by approximately $26.1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regulatory requirements and routine regulatory audits, and we must receive permits, licenses, and/or regulatory clearance or approval for numerous aspects of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any of which could impact our ability to provide our services. Our failure to comply with the regulatory requirements of these agencies may subject us to administratively or judicially imposed sanctions. These sanctions could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83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Sotera Health Company</w:t>
            </w:r>
          </w:p>
        </w:tc>
        <w:tc>
          <w:tcPr>
            <w:tcW w:w="2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89"/>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2680" w:type="dxa"/>
            <w:vAlign w:val="bottom"/>
            <w:gridSpan w:val="4"/>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200" w:type="dxa"/>
            <w:vAlign w:val="bottom"/>
          </w:tcPr>
          <w:p>
            <w:pPr>
              <w:spacing w:after="0"/>
              <w:rPr>
                <w:sz w:val="16"/>
                <w:szCs w:val="16"/>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9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680" w:type="dxa"/>
            <w:vAlign w:val="bottom"/>
            <w:gridSpan w:val="4"/>
            <w:shd w:val="clear" w:color="auto" w:fill="CCEEFF"/>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00" w:type="dxa"/>
            <w:vAlign w:val="bottom"/>
            <w:shd w:val="clear" w:color="auto" w:fill="CCEEFF"/>
          </w:tcPr>
          <w:p>
            <w:pPr>
              <w:spacing w:after="0"/>
              <w:rPr>
                <w:sz w:val="16"/>
                <w:szCs w:val="16"/>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79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2680" w:type="dxa"/>
            <w:vAlign w:val="bottom"/>
            <w:gridSpan w:val="4"/>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200" w:type="dxa"/>
            <w:vAlign w:val="bottom"/>
          </w:tcPr>
          <w:p>
            <w:pPr>
              <w:spacing w:after="0"/>
              <w:rPr>
                <w:sz w:val="16"/>
                <w:szCs w:val="16"/>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9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680" w:type="dxa"/>
            <w:vAlign w:val="bottom"/>
            <w:gridSpan w:val="4"/>
            <w:shd w:val="clear" w:color="auto" w:fill="CCEEFF"/>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200" w:type="dxa"/>
            <w:vAlign w:val="bottom"/>
            <w:shd w:val="clear" w:color="auto" w:fill="CCEEFF"/>
          </w:tcPr>
          <w:p>
            <w:pPr>
              <w:spacing w:after="0"/>
              <w:rPr>
                <w:sz w:val="16"/>
                <w:szCs w:val="16"/>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5040" w:type="dxa"/>
            <w:vAlign w:val="bottom"/>
            <w:gridSpan w:val="5"/>
          </w:tcPr>
          <w:p>
            <w:pPr>
              <w:spacing w:after="0"/>
              <w:rPr>
                <w:sz w:val="16"/>
                <w:szCs w:val="16"/>
                <w:color w:val="auto"/>
              </w:rPr>
            </w:pPr>
          </w:p>
        </w:tc>
        <w:tc>
          <w:tcPr>
            <w:tcW w:w="2680" w:type="dxa"/>
            <w:vAlign w:val="bottom"/>
            <w:gridSpan w:val="4"/>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200" w:type="dxa"/>
            <w:vAlign w:val="bottom"/>
          </w:tcPr>
          <w:p>
            <w:pPr>
              <w:spacing w:after="0"/>
              <w:rPr>
                <w:sz w:val="16"/>
                <w:szCs w:val="16"/>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9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80" w:type="dxa"/>
            <w:vAlign w:val="bottom"/>
            <w:gridSpan w:val="4"/>
            <w:shd w:val="clear" w:color="auto" w:fill="CCEEFF"/>
          </w:tcPr>
          <w:p>
            <w:pPr>
              <w:jc w:val="center"/>
              <w:ind w:left="2330"/>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200" w:type="dxa"/>
            <w:vAlign w:val="bottom"/>
            <w:shd w:val="clear" w:color="auto" w:fill="CCEEFF"/>
          </w:tcPr>
          <w:p>
            <w:pPr>
              <w:spacing w:after="0"/>
              <w:rPr>
                <w:sz w:val="16"/>
                <w:szCs w:val="16"/>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83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Data</w:t>
            </w:r>
          </w:p>
        </w:tc>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440" w:type="dxa"/>
            <w:vAlign w:val="bottom"/>
            <w:shd w:val="clear" w:color="auto" w:fill="CCEEFF"/>
          </w:tcPr>
          <w:p>
            <w:pPr>
              <w:spacing w:after="0"/>
              <w:rPr>
                <w:sz w:val="18"/>
                <w:szCs w:val="18"/>
                <w:color w:val="auto"/>
              </w:rPr>
            </w:pPr>
          </w:p>
        </w:tc>
        <w:tc>
          <w:tcPr>
            <w:tcW w:w="354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Schedule II – Valuation and Qualifying Accounts</w:t>
            </w:r>
          </w:p>
        </w:tc>
        <w:tc>
          <w:tcPr>
            <w:tcW w:w="4380" w:type="dxa"/>
            <w:vAlign w:val="bottom"/>
            <w:gridSpan w:val="3"/>
            <w:shd w:val="clear" w:color="auto" w:fill="CCEEFF"/>
          </w:tcPr>
          <w:p>
            <w:pPr>
              <w:spacing w:after="0"/>
              <w:rPr>
                <w:sz w:val="18"/>
                <w:szCs w:val="18"/>
                <w:color w:val="auto"/>
              </w:rPr>
            </w:pPr>
          </w:p>
        </w:tc>
        <w:tc>
          <w:tcPr>
            <w:tcW w:w="2880" w:type="dxa"/>
            <w:vAlign w:val="bottom"/>
            <w:gridSpan w:val="5"/>
            <w:shd w:val="clear" w:color="auto" w:fill="CCEEFF"/>
          </w:tcPr>
          <w:p>
            <w:pPr>
              <w:jc w:val="center"/>
              <w:ind w:left="2130"/>
              <w:spacing w:after="0" w:line="189" w:lineRule="exact"/>
              <w:rPr>
                <w:sz w:val="20"/>
                <w:szCs w:val="20"/>
                <w:color w:val="auto"/>
              </w:rPr>
            </w:pPr>
            <w:r>
              <w:rPr>
                <w:rFonts w:ascii="Times New Roman" w:cs="Times New Roman" w:eastAsia="Times New Roman" w:hAnsi="Times New Roman"/>
                <w:sz w:val="18"/>
                <w:szCs w:val="18"/>
                <w:color w:val="0000FF"/>
                <w:w w:val="96"/>
              </w:rPr>
              <w:t>115</w:t>
            </w:r>
          </w:p>
        </w:tc>
      </w:tr>
      <w:tr>
        <w:trPr>
          <w:trHeight w:val="878"/>
        </w:trPr>
        <w:tc>
          <w:tcPr>
            <w:tcW w:w="440" w:type="dxa"/>
            <w:vAlign w:val="bottom"/>
            <w:tcBorders>
              <w:top w:val="single" w:sz="8" w:color="CCEEFF"/>
            </w:tcBorders>
          </w:tcPr>
          <w:p>
            <w:pPr>
              <w:spacing w:after="0"/>
              <w:rPr>
                <w:sz w:val="24"/>
                <w:szCs w:val="24"/>
                <w:color w:val="auto"/>
              </w:rPr>
            </w:pPr>
          </w:p>
        </w:tc>
        <w:tc>
          <w:tcPr>
            <w:tcW w:w="3540" w:type="dxa"/>
            <w:vAlign w:val="bottom"/>
            <w:tcBorders>
              <w:top w:val="single" w:sz="8" w:color="0000FF"/>
            </w:tcBorders>
            <w:gridSpan w:val="6"/>
          </w:tcPr>
          <w:p>
            <w:pPr>
              <w:spacing w:after="0"/>
              <w:rPr>
                <w:sz w:val="24"/>
                <w:szCs w:val="24"/>
                <w:color w:val="auto"/>
              </w:rPr>
            </w:pPr>
          </w:p>
        </w:tc>
        <w:tc>
          <w:tcPr>
            <w:tcW w:w="18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142"/>
        </w:trPr>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Sotera Health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Sotera Health Company (the Company) as of December 31, 2024 and 2023, the related consolidated statements of operations and comprehensive income (loss),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Valuation of Nelson Labs Reporting Unit Goodwill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3" w:lineRule="exact"/>
        <w:rPr>
          <w:sz w:val="20"/>
          <w:szCs w:val="20"/>
          <w:color w:val="auto"/>
        </w:rPr>
      </w:pPr>
    </w:p>
    <w:p>
      <w:pPr>
        <w:ind w:left="2900" w:right="80"/>
        <w:spacing w:after="0" w:line="255" w:lineRule="auto"/>
        <w:rPr>
          <w:sz w:val="20"/>
          <w:szCs w:val="20"/>
          <w:color w:val="auto"/>
        </w:rPr>
      </w:pPr>
      <w:r>
        <w:rPr>
          <w:rFonts w:ascii="Times New Roman" w:cs="Times New Roman" w:eastAsia="Times New Roman" w:hAnsi="Times New Roman"/>
          <w:sz w:val="18"/>
          <w:szCs w:val="18"/>
          <w:color w:val="auto"/>
        </w:rPr>
        <w:t>As disclosed in Note 7 to the consolidated financial statements, at December 31, 2024, the Company reported $1.1 billion of goodwill; of that, $172.4 million related to the Nelson Labs reporting unit. As explained in Note 1 to the consolidated financial statements, goodwill is tested for impairment annually as of October 1. Management performed a quantitative impairment assessment for its annual evaluation of the Nelson Labs reporting unit in 2024. As part of the quantitative impairment test, management estimated the fair value of the Nelson Labs reporting unit using the discounted cash flow method, a form of the income approach.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Auditing the Company’s goodwill impairment assessment for the Nelson Labs reporting unit was complex due to the significant estimation required to determine the fair value of the reporting unit. In particular, this fair value measurement was sensitive to revenue growth rates and projected EBITDA margins. Elements of these assumptions are forward-looking and could be affected by future market or economic conditions.</w:t>
      </w:r>
    </w:p>
    <w:p>
      <w:pPr>
        <w:spacing w:after="0" w:line="23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assessment process. This included controls over management's review of the significant assumptions described above.</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test the estimated fair value of the Nelson Labs reporting unit, we performed audit procedures that included, among others, assessing the valuation methodology, testing the significant assumptions described above, and testing the completeness and accuracy of the underlying data used by the Company in its analysis. As it pertains to the revenue growth rates and projected EBITDA margins, we compared the significant assumptions used by management to current industry data and historical performance. We performed sensitivity analyses of assumptions to evaluate the changes in the fair value of the reporting unit that would result from changes in the assumptions. We evaluated the reconciliation of the fair value of the reporting units to the market capitalization of the Company. We also assessed the appropriateness of the disclosures in the consolidated financial statements. In addition, we involved our valuation specialists to assist with our evaluation of the methodology and significant assumptions used by the Company.</w:t>
      </w:r>
    </w:p>
    <w:p>
      <w:pPr>
        <w:spacing w:after="0" w:line="200" w:lineRule="exact"/>
        <w:rPr>
          <w:sz w:val="20"/>
          <w:szCs w:val="20"/>
          <w:color w:val="auto"/>
        </w:rPr>
      </w:pPr>
    </w:p>
    <w:p>
      <w:pPr>
        <w:sectPr>
          <w:pgSz w:w="11900" w:h="16838" w:orient="portrait"/>
          <w:cols w:equalWidth="0" w:num="2">
            <w:col w:w="2740" w:space="160"/>
            <w:col w:w="8300"/>
          </w:cols>
          <w:pgMar w:left="320" w:top="12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71" w:name="page72"/>
    <w:bookmarkEnd w:id="71"/>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277,242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296,407</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 short-term</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1,623</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$2,532 and $4,689 as of December 31, 2024 and 2023, respectively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140,327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147,696</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49,158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51,031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53,846</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Income taxes receivable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6,656</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526,037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557,244</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1,036,892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946,914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27,551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2,865</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42,524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28,482</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37,053</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317,653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416,318</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1,081,073</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1,111,190</w:t>
            </w:r>
          </w:p>
        </w:tc>
        <w:tc>
          <w:tcPr>
            <w:tcW w:w="0" w:type="dxa"/>
            <w:vAlign w:val="bottom"/>
          </w:tcPr>
          <w:p>
            <w:pPr>
              <w:spacing w:after="0"/>
              <w:rPr>
                <w:sz w:val="1"/>
                <w:szCs w:val="1"/>
                <w:color w:val="auto"/>
              </w:rPr>
            </w:pPr>
          </w:p>
        </w:tc>
      </w:tr>
      <w:tr>
        <w:trPr>
          <w:trHeight w:val="22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3,071,648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55,098</w:t>
            </w:r>
          </w:p>
        </w:tc>
        <w:tc>
          <w:tcPr>
            <w:tcW w:w="160" w:type="dxa"/>
            <w:vAlign w:val="bottom"/>
          </w:tcPr>
          <w:p>
            <w:pPr>
              <w:spacing w:after="0"/>
              <w:rPr>
                <w:sz w:val="17"/>
                <w:szCs w:val="17"/>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71,039</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90,463</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122,471</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15,100</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14,803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2,923</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7,559</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191,002</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230,654</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2,208,100</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2,223,674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less current portion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95,286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63,793</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24,465</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 retirement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47,944</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16,784</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8,879</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69,500</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64,454</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2,666,737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2,686,686</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Commitments and contingencies note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with $0.01 par value, 1,200,000 shares authorized; 286,037 shares issued at December 31, 2024 and 2023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with $0.01 par value, 120,000 shares authorized; no shares issued at December 31, 2024 and 2023</w:t>
            </w:r>
          </w:p>
        </w:tc>
        <w:tc>
          <w:tcPr>
            <w:tcW w:w="3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(2,571 and 3,207 shares at December 31, 2024 and 2023, respectively)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(23,434)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(27,182)</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1,243,778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1,215,178</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(610,042)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(654,440)</w:t>
            </w:r>
          </w:p>
        </w:tc>
        <w:tc>
          <w:tcPr>
            <w:tcW w:w="0" w:type="dxa"/>
            <w:vAlign w:val="bottom"/>
          </w:tcPr>
          <w:p>
            <w:pPr>
              <w:spacing w:after="0"/>
              <w:rPr>
                <w:sz w:val="1"/>
                <w:szCs w:val="1"/>
                <w:color w:val="auto"/>
              </w:rPr>
            </w:pPr>
          </w:p>
        </w:tc>
      </w:tr>
      <w:tr>
        <w:trPr>
          <w:trHeight w:val="20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(208,251)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(92,682)</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404,911</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443,734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3,071,648</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3,130,420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7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4"/>
        </w:trPr>
        <w:tc>
          <w:tcPr>
            <w:tcW w:w="7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Service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941,822</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905,598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864,828</w:t>
            </w:r>
          </w:p>
        </w:tc>
      </w:tr>
      <w:tr>
        <w:trPr>
          <w:trHeight w:val="218"/>
        </w:trPr>
        <w:tc>
          <w:tcPr>
            <w:tcW w:w="7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158,619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143,690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138,859</w:t>
            </w:r>
          </w:p>
        </w:tc>
      </w:tr>
      <w:tr>
        <w:trPr>
          <w:trHeight w:val="208"/>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1,100,441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1,003,687</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7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Service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439,543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390,860</w:t>
            </w:r>
          </w:p>
        </w:tc>
      </w:tr>
      <w:tr>
        <w:trPr>
          <w:trHeight w:val="218"/>
        </w:trPr>
        <w:tc>
          <w:tcPr>
            <w:tcW w:w="7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58,603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55,823</w:t>
            </w:r>
          </w:p>
        </w:tc>
      </w:tr>
      <w:tr>
        <w:trPr>
          <w:trHeight w:val="20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498,146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472,130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446,683</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602,295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557,004</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7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242,630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245,714</w:t>
            </w:r>
          </w:p>
        </w:tc>
      </w:tr>
      <w:tr>
        <w:trPr>
          <w:trHeight w:val="214"/>
        </w:trPr>
        <w:tc>
          <w:tcPr>
            <w:tcW w:w="73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62,039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62,940</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304,669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308,654</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297,626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248,350</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164,691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80,144</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refinancing of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 EO litigation settlement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 EO litigation settlement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408,000</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investment in unconsolidated affiliate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w:t>
            </w:r>
          </w:p>
        </w:tc>
      </w:tr>
      <w:tr>
        <w:trPr>
          <w:trHeight w:val="208"/>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113,874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(243,111)</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69,476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r>
      <w:tr>
        <w:trPr>
          <w:trHeight w:val="20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44,398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(233,570)</w:t>
            </w: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4"/>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and post-retirement benefits (net of taxes of $2,804, $(3,420) and $7,022, respectively)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8,462</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(10,506)</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20,790</w:t>
            </w:r>
          </w:p>
        </w:tc>
      </w:tr>
      <w:tr>
        <w:trPr>
          <w:trHeight w:val="21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derivatives (net of taxes of $(1,856), $(5,467) and $7,387,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20,939</w:t>
            </w:r>
          </w:p>
        </w:tc>
      </w:tr>
      <w:tr>
        <w:trPr>
          <w:trHeight w:val="214"/>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(118,635)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(64,816)</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(256,657)</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7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r>
      <w:tr>
        <w:trPr>
          <w:trHeight w:val="214"/>
        </w:trPr>
        <w:tc>
          <w:tcPr>
            <w:tcW w:w="7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7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282,784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280,096</w:t>
            </w:r>
          </w:p>
        </w:tc>
      </w:tr>
      <w:tr>
        <w:trPr>
          <w:trHeight w:val="218"/>
        </w:trPr>
        <w:tc>
          <w:tcPr>
            <w:tcW w:w="7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284,906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280,096</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3" w:name="page74"/>
    <w:bookmarkEnd w:id="73"/>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44,398</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(233,570)</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84,260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81,554</w:t>
            </w: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24,168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of investment in unconsolidated affiliate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w:t>
            </w: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(73,960)</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21,211</w:t>
            </w: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(gain)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(gain) on derivatives not designated as hedging instruments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r>
      <w:tr>
        <w:trPr>
          <w:trHeight w:val="19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r>
      <w:tr>
        <w:trPr>
          <w:trHeight w:val="20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7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(12,555)</w:t>
            </w:r>
          </w:p>
        </w:tc>
      </w:tr>
      <w:tr>
        <w:trPr>
          <w:trHeight w:val="20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w:t>
            </w:r>
          </w:p>
        </w:tc>
      </w:tr>
      <w:tr>
        <w:trPr>
          <w:trHeight w:val="196"/>
        </w:trPr>
        <w:tc>
          <w:tcPr>
            <w:tcW w:w="7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r>
      <w:tr>
        <w:trPr>
          <w:trHeight w:val="20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196"/>
        </w:trPr>
        <w:tc>
          <w:tcPr>
            <w:tcW w:w="7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r>
      <w:tr>
        <w:trPr>
          <w:trHeight w:val="216"/>
        </w:trPr>
        <w:tc>
          <w:tcPr>
            <w:tcW w:w="7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Illinois EO litigation settlement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(407,712)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408,000</w:t>
            </w:r>
          </w:p>
        </w:tc>
      </w:tr>
      <w:tr>
        <w:trPr>
          <w:trHeight w:val="196"/>
        </w:trPr>
        <w:tc>
          <w:tcPr>
            <w:tcW w:w="7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Georgia EO litigation settlement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Income taxes payable / receivable,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w:t>
            </w:r>
          </w:p>
        </w:tc>
      </w:tr>
      <w:tr>
        <w:trPr>
          <w:trHeight w:val="196"/>
        </w:trPr>
        <w:tc>
          <w:tcPr>
            <w:tcW w:w="70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0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long-term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(6,842)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224,164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277,961</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(179,070)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(182,378)</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Regulatory Compliance Associates Inc., net of cash acquired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(178,996)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(181,896)</w:t>
            </w: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facility and long-term borrowings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2,259,350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revolving credit facility</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 and debt discount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(2,264,373)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Buyout of leased facility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 on equity awards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(50,564)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197,761</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(17,393)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including restricted cash</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(22,789)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289,370</w:t>
            </w: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301,654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396,294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106,924</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end of period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278,865</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396,294</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6"/>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179,924</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75,849</w:t>
            </w:r>
          </w:p>
        </w:tc>
      </w:tr>
      <w:tr>
        <w:trPr>
          <w:trHeight w:val="2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 net of tax refunds received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65,829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75,496</w:t>
            </w:r>
          </w:p>
        </w:tc>
      </w:tr>
      <w:tr>
        <w:trPr>
          <w:trHeight w:val="190"/>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10,180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16,413</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4" w:name="page75"/>
    <w:bookmarkEnd w:id="74"/>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980" w:type="dxa"/>
            <w:vAlign w:val="bottom"/>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tcPr>
          <w:p>
            <w:pPr>
              <w:jc w:val="center"/>
              <w:ind w:right="280"/>
              <w:spacing w:after="0" w:line="8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center"/>
              <w:ind w:right="260"/>
              <w:spacing w:after="0" w:line="85" w:lineRule="exact"/>
              <w:rPr>
                <w:sz w:val="20"/>
                <w:szCs w:val="20"/>
                <w:color w:val="auto"/>
              </w:rPr>
            </w:pPr>
            <w:r>
              <w:rPr>
                <w:rFonts w:ascii="Times New Roman" w:cs="Times New Roman" w:eastAsia="Times New Roman" w:hAnsi="Times New Roman"/>
                <w:sz w:val="9"/>
                <w:szCs w:val="9"/>
                <w:b w:val="1"/>
                <w:bCs w:val="1"/>
                <w:color w:val="auto"/>
              </w:rPr>
              <w:t>Other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0" w:type="dxa"/>
            <w:vAlign w:val="bottom"/>
          </w:tcPr>
          <w:p>
            <w:pPr>
              <w:spacing w:after="0"/>
              <w:rPr>
                <w:sz w:val="11"/>
                <w:szCs w:val="11"/>
                <w:color w:val="auto"/>
              </w:rPr>
            </w:pPr>
          </w:p>
        </w:tc>
        <w:tc>
          <w:tcPr>
            <w:tcW w:w="680" w:type="dxa"/>
            <w:vAlign w:val="bottom"/>
          </w:tcPr>
          <w:p>
            <w:pPr>
              <w:jc w:val="right"/>
              <w:ind w:right="249"/>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(Loss) Income</w:t>
            </w:r>
          </w:p>
        </w:tc>
        <w:tc>
          <w:tcPr>
            <w:tcW w:w="180" w:type="dxa"/>
            <w:vAlign w:val="bottom"/>
          </w:tcPr>
          <w:p>
            <w:pPr>
              <w:spacing w:after="0"/>
              <w:rPr>
                <w:sz w:val="13"/>
                <w:szCs w:val="13"/>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282,985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(33,545)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1,172,593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(472,246)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(83,566)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586,096</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20,799</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9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Pension and post-retirement plan adjustments,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20,790</w:t>
            </w:r>
          </w:p>
        </w:tc>
        <w:tc>
          <w:tcPr>
            <w:tcW w:w="0" w:type="dxa"/>
            <w:vAlign w:val="bottom"/>
          </w:tcPr>
          <w:p>
            <w:pPr>
              <w:spacing w:after="0"/>
              <w:rPr>
                <w:sz w:val="1"/>
                <w:szCs w:val="1"/>
                <w:color w:val="auto"/>
              </w:rPr>
            </w:pPr>
          </w:p>
        </w:tc>
      </w:tr>
      <w:tr>
        <w:trPr>
          <w:trHeight w:val="193"/>
        </w:trPr>
        <w:tc>
          <w:tcPr>
            <w:tcW w:w="2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of tax</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(64,816)</w:t>
            </w:r>
          </w:p>
        </w:tc>
        <w:tc>
          <w:tcPr>
            <w:tcW w:w="0" w:type="dxa"/>
            <w:vAlign w:val="bottom"/>
          </w:tcPr>
          <w:p>
            <w:pPr>
              <w:spacing w:after="0"/>
              <w:rPr>
                <w:sz w:val="1"/>
                <w:szCs w:val="1"/>
                <w:color w:val="auto"/>
              </w:rPr>
            </w:pPr>
          </w:p>
        </w:tc>
      </w:tr>
      <w:tr>
        <w:trPr>
          <w:trHeight w:val="19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20,939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(233,570)</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282,421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(29,775)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1,189,622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(705,816)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(106,653)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350,238</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409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25,556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28,149</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8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Pension and post-retirement plan adjustments,</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(10,506)</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of tax</w:t>
            </w: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40,174</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(15,697)</w:t>
            </w:r>
          </w:p>
        </w:tc>
        <w:tc>
          <w:tcPr>
            <w:tcW w:w="0" w:type="dxa"/>
            <w:vAlign w:val="bottom"/>
          </w:tcPr>
          <w:p>
            <w:pPr>
              <w:spacing w:after="0"/>
              <w:rPr>
                <w:sz w:val="1"/>
                <w:szCs w:val="1"/>
                <w:color w:val="auto"/>
              </w:rPr>
            </w:pPr>
          </w:p>
        </w:tc>
      </w:tr>
      <w:tr>
        <w:trPr>
          <w:trHeight w:val="20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51,376</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282,830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(27,182)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1,215,178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(654,440)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443,734</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28,600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32,348</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9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Pension and post-retirement plan adjustments,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8,462</w:t>
            </w:r>
          </w:p>
        </w:tc>
        <w:tc>
          <w:tcPr>
            <w:tcW w:w="0" w:type="dxa"/>
            <w:vAlign w:val="bottom"/>
          </w:tcPr>
          <w:p>
            <w:pPr>
              <w:spacing w:after="0"/>
              <w:rPr>
                <w:sz w:val="1"/>
                <w:szCs w:val="1"/>
                <w:color w:val="auto"/>
              </w:rPr>
            </w:pPr>
          </w:p>
        </w:tc>
      </w:tr>
      <w:tr>
        <w:trPr>
          <w:trHeight w:val="193"/>
        </w:trPr>
        <w:tc>
          <w:tcPr>
            <w:tcW w:w="2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of tax</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(118,635)</w:t>
            </w:r>
          </w:p>
        </w:tc>
        <w:tc>
          <w:tcPr>
            <w:tcW w:w="0" w:type="dxa"/>
            <w:vAlign w:val="bottom"/>
          </w:tcPr>
          <w:p>
            <w:pPr>
              <w:spacing w:after="0"/>
              <w:rPr>
                <w:sz w:val="1"/>
                <w:szCs w:val="1"/>
                <w:color w:val="auto"/>
              </w:rPr>
            </w:pPr>
          </w:p>
        </w:tc>
      </w:tr>
      <w:tr>
        <w:trPr>
          <w:trHeight w:val="19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(5,396)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44,398</w:t>
            </w: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283,466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(23,434)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1,243,778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(610,042)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(208,251)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404,911</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143" w:right="9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(also referred to herein as the “Company,” “we,” “our,” “us” or “its”),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with operations primarily in the Americas, Europe and Asia.</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operate and report in three segments, Sterigenics, Nordion and Nelson Labs. We describe our reportable segments in Note 21, “Segment and Geographic Information.” All intercompany balances and transactions have been eliminated in consolidation.</w:t>
      </w:r>
    </w:p>
    <w:p>
      <w:pPr>
        <w:spacing w:after="0" w:line="1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GAAP, we make estimates and assumptions that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an original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to be cash equivalents. Cash and cash equivalents may include various deposit accounts and money market funds.</w:t>
      </w:r>
    </w:p>
    <w:p>
      <w:pPr>
        <w:spacing w:after="0" w:line="152"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17"/>
          <w:szCs w:val="17"/>
          <w:i w:val="1"/>
          <w:iCs w:val="1"/>
          <w:color w:val="auto"/>
        </w:rPr>
        <w:t>ccounts Receivable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7"/>
          <w:szCs w:val="17"/>
          <w:color w:val="auto"/>
        </w:rPr>
        <w:t>Accounts receivable consists of amounts billed and currently due from customers. The amounts due are stated net of the allowance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7"/>
          <w:szCs w:val="17"/>
          <w:color w:val="auto"/>
        </w:rPr>
        <w:t>for uncollectible accounts. The Company maintains an allowance for uncollectible receivables to provide for the estimated amount of receivables that will not be collected.</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Uncollectible Accounts Receivable </w:t>
      </w:r>
      <w:r>
        <w:rPr>
          <w:rFonts w:ascii="Times New Roman" w:cs="Times New Roman" w:eastAsia="Times New Roman" w:hAnsi="Times New Roman"/>
          <w:sz w:val="18"/>
          <w:szCs w:val="18"/>
          <w:color w:val="auto"/>
        </w:rPr>
        <w:t>– We maintain an allowance for uncollectible accounts receivable for estimated losses in the collection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as of December 31, 2024 and 2023 are held at Nordion. Inventories are stated at the lower of cost or net realizable value.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labor, and manufacturing overhead are determined using standard cost, which approximates average cost. We review inventory on an ongoing basis, considering factors such as deterioration and obsolescence. We record a reserve for excess and obsolete inventory, which was immaterial at December 31, 2024 and 2023,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is carried at cost, or initially at fair value if acquired in an acquisition,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Except for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years. For software obtained or developed for internal use, all external direct costs for materials and services and certain personnel costs incurred to develop the software during the application development stage are capitalized. At December 31, 2024 and 2023, we had undepreciated software costs of $11.4 million and $7.9 million, respectively, included in property, plant, and equipment, net. We recognized $4.2 million, $3.3 million and $2.2 million, of depreciation expense related to software costs for the years ending December 31, 2024, 2023 and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assets’ estimated useful lives as presented below:</w:t>
            </w:r>
          </w:p>
        </w:tc>
        <w:tc>
          <w:tcPr>
            <w:tcW w:w="30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 years</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years</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years</w:t>
            </w:r>
          </w:p>
        </w:tc>
      </w:tr>
    </w:tbl>
    <w:p>
      <w:pPr>
        <w:spacing w:after="0" w:line="19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sale or retirement of assets, the cost and related accumulated depreciation is removed from the Consolidated Balance Sheets, and the resulting gain or loss is reflected as a component of operating income.</w:t>
      </w:r>
    </w:p>
    <w:p>
      <w:pPr>
        <w:spacing w:after="0" w:line="16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We determine if an agreement contains a lease and classify our leases as operating or finance at the lease commencement date. Leases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Intangibles </w:t>
      </w:r>
      <w:r>
        <w:rPr>
          <w:rFonts w:ascii="Times New Roman" w:cs="Times New Roman" w:eastAsia="Times New Roman" w:hAnsi="Times New Roman"/>
          <w:sz w:val="18"/>
          <w:szCs w:val="18"/>
          <w:color w:val="auto"/>
        </w:rPr>
        <w:t>– Goodwill and other indefinite-lived intangible assets, primarily certain regulatory licenses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tradenames, are tested for impairment annually as of October 1. If circumstances change during interim periods between annual tests that would indicate that the carrying amount of such assets may not be recoverable, the Company tests such assets at an interim date for impairment. Factors that necessitate an interim impairment assessment include prolonged negative industry or economic trends and significant underperformance relative to historical or projected future operating results.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performed a quantitative assessment of all reporting units (Sterigenics, Nordion and Nelson Labs) as of October 1, 2024. The fair value of each reporting unit was calculated using a discounted cash flow analysis which was dependent on subjective market participant assumptions determined by management. We further corroborated these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There have been no other significant events or circumstances that occurred since the annual assessment date of October 1 that would change the conclusions reached above.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We may enter into derivative instruments and hedging activities to manage, where possible and economically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 risk, foreign currency exchange rate risk and interest rate risk related to borrowings. We also have identified embedded derivatives in certain supply and customer contracts. Certain interest rate derivatives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Post-Retirement and Other Post-Employment Benefit Plans – </w:t>
      </w:r>
      <w:r>
        <w:rPr>
          <w:rFonts w:ascii="Times New Roman" w:cs="Times New Roman" w:eastAsia="Times New Roman" w:hAnsi="Times New Roman"/>
          <w:sz w:val="18"/>
          <w:szCs w:val="18"/>
          <w:color w:val="auto"/>
        </w:rPr>
        <w:t>We sponsor a defined-contribution retirement plan that covers substantially all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costs and obligations are affected by assumptions including the discount rate, the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recognize the over/under funded status of defined benefit pension and post-retirement benefits plans in our Consolidated Balance Sheets. This amount is measured as the difference between the fair value of plan assets and the projected benefit obligation (“PBO”). Changes in the funded status of the plans are recorded in other comprehensive income (loss) in the year they occur. We measure plan assets and obligations as of the balance sheet date. We provide additional information about our pension and other post-retirement benefits plans in Note 11, “Employee Benefits.”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Amortization of net gain or loss included in accumulated other comprehensive income (loss) is reclassified to net periodic pension cost if, as of the beginning of the year, that gain or loss exceeds 10% of the greater of the PBO or the market related value of the plan assets (the ‘corridor’). As most of the plan’s participants are no longer actively accruing benefits, the average remaining life expectancy is used.</w:t>
      </w:r>
    </w:p>
    <w:p>
      <w:pPr>
        <w:spacing w:after="0" w:line="1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(“ARO”) </w:t>
      </w:r>
      <w:r>
        <w:rPr>
          <w:rFonts w:ascii="Times New Roman" w:cs="Times New Roman" w:eastAsia="Times New Roman" w:hAnsi="Times New Roman"/>
          <w:sz w:val="18"/>
          <w:szCs w:val="18"/>
          <w:color w:val="auto"/>
        </w:rPr>
        <w:t>– ARO are legal obligations associated with the retirement of long-lived assets or the exit of a leased facility.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Issuance Costs, Premiums and Discounts </w:t>
      </w:r>
      <w:r>
        <w:rPr>
          <w:rFonts w:ascii="Times New Roman" w:cs="Times New Roman" w:eastAsia="Times New Roman" w:hAnsi="Times New Roman"/>
          <w:sz w:val="18"/>
          <w:szCs w:val="18"/>
          <w:color w:val="auto"/>
        </w:rPr>
        <w:t>– We have incurred costs in connection with obtaining financing as well as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8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Other Risks and Uncertainties </w:t>
      </w:r>
      <w:r>
        <w:rPr>
          <w:rFonts w:ascii="Times New Roman" w:cs="Times New Roman" w:eastAsia="Times New Roman" w:hAnsi="Times New Roman"/>
          <w:sz w:val="18"/>
          <w:szCs w:val="18"/>
          <w:color w:val="auto"/>
        </w:rPr>
        <w:t>– We maintain cash and cash equivalents in the form of demand deposits in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 customer accounted for 10% or more of accounts receivable at December 31, 2024 and 2023, or 10% or more of net revenues for the years ended December 31, 2024, 2023 and 2022.</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use the liability method of accounting for income taxes whereby we recognize deferred tax assets and liabilities for the future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functional currency of our foreign subsidiaries is generally the local currency. Accordingly,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Gains or losses arising from foreign currency transactions are recognized in the Consolidated Statements of Operations and Comprehensive Income (Loss) as foreign exchange loss (gain). The Company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For the years ended December 31, 2024, 2023 and 2022, foreign exchange loss related primarily to short-term losses (offset by short-term gains) on sales denominated in currencies other than the functional currency of our operating entities.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recognized when control of promised goods or services is transferred to customers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which the Company expects to be entitled in exchange for those goods or services. The majority of our sales agreements contain performance obligations satisfied at a point-in-time when control of promised goods or services have transferred to our customers. Sales recognized over time are generally accounted for using an input measure to determine progress completed as of the end of the period.</w:t>
      </w:r>
    </w:p>
    <w:p>
      <w:pPr>
        <w:spacing w:after="0" w:line="1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segments and we do not incur material incremental costs to secure customer contracts.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approval by our quality assurance process. Sterigenics segment revenues are included in service revenues in our Consolidated Statements of Operations and Comprehensive Income (Loss).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capitalize sales commissions because substantially all of our sales commission programs have an amortization period of one year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 Equity-based awards issued to employees under the Sotera Health Company 2020 Omnibus Incentive Plan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restricted stock units (“RSUs”) and stock options that vest over time. Prior to our initial public offering (the “IPO” as described in Note 14, “Stockholders' Equity”), equity-based awards were issued to employees and non-employee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14, “Stockholders' Equity.” The restricted shares of our common stock distributed in respect of pre-IPO time vesting awards vest through June 2025; expense related to these unvested awards will be recognized over the remaining vesting period. Expense attributable to the performance awards was recognized in its entirety in the year ended December 31, 2020 as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related performance conditions were considered probable of achievement and the implied service condition was met. Share-based compensation expense is recognized in the Consolidated Statements of Operations and Comprehensive Income (Loss), primarily within “Selling, general and administrative expenses” at the grant date fair value over the requisite service period (one to four years for awards granted under the 2020 Plan and five years for time vesting pre-IPO awards on a straight-line basis).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stock options awarded under the 2020 Plan using certain valuation assumptions. Share-based compensation expense for all awards recognizes forfeitures as they occur.</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Earnings (Loss) Per Share </w:t>
      </w:r>
      <w:r>
        <w:rPr>
          <w:rFonts w:ascii="Times New Roman" w:cs="Times New Roman" w:eastAsia="Times New Roman" w:hAnsi="Times New Roman"/>
          <w:sz w:val="18"/>
          <w:szCs w:val="18"/>
          <w:color w:val="auto"/>
        </w:rPr>
        <w:t>– In periods in which the Company has net income, earnings per share information is determined using the two-class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the weighted-average number of common shares outstanding during the period and securities that participate in dividends (“participating securities”). Our unvested restricted common stock distributed in respect of partnership interests in Topco Parent (“pre-IPO Class B-1 restricted stock awards”) has the right to receive non-forfeitable dividends or dividend equivalents if the Company declares dividends on its common stock. Under the two-class method, earnings are allocated to both common stock shares and participating securities based on their respective weighted-average shares outstanding for the period. Diluted earnings (loss)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the weighted average common shares outstanding figure within earnings per share until the period in which the vesting condition is satisfied. In periods in which the Company has a net loss, the two-class method is not applicable because the pre-IPO Class B-1 restricted stock awards do not participate in losses. Refer to Note 16, “Earnings (Loss) Per Share” for additional information.</w:t>
      </w:r>
    </w:p>
    <w:p>
      <w:pPr>
        <w:spacing w:after="0" w:line="19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 The Company records repurchases of its own common stock at cost. Repurchased common stock is presented as a reduction of equity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difference between the repurchase and reissue price of the Company’s own stock is added to or deducted from additional paid-in capital. The cost of Treasury Stock reissued is calculated using a weighted average cost method.</w:t>
      </w:r>
    </w:p>
    <w:p>
      <w:pPr>
        <w:spacing w:after="0" w:line="17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 Certain conditions may exist as of the date of the consolidated financial statements which may result in a loss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 Updates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we adopted Accounting Standards Update (“ASU”) 2023-07-Segment Reporting (Topic 280): Improvements to Reportable Segment Disclosures. The amendments in ASU 2023-07 require an entity to provide enhanced disclosures about significant segment expenses. The adoption of this standard did not have a material impact on our consolidated financial statements and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ASUs Issued But Not Yet Adopted</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 our consolidated financial statements and disclosures.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 Disclosures (Subtopic 220-40): Disaggregation of Income Statement Expenses. The amendments in this ASU requires entities to disaggregate certain expense captions into specified categories in disclosures within the footnotes to the financial statements. The Company is in the process of evaluating the impact of this standard on our consolidated financial statements and disclosures.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is in the process of evaluating the impact of this standard on our consolidated financial statements and disclosures.</w:t>
      </w:r>
    </w:p>
    <w:p>
      <w:pPr>
        <w:spacing w:after="0" w:line="29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697,853</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869,138</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231,303</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697,853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173,355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229,233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667,130</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153,747</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820,877</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228,411</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667,130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160,459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221,699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1,049,288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626,646</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147,499</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774,145</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229,542</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626,646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153,639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1,003,687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totaled $15.1 million and $13.5 million at December 31, 2024 and 2023, respectively. We recognize deferred revenue after we have transferred control of the goods or services to the customer and all revenue recognition criteria are met.</w:t>
      </w:r>
    </w:p>
    <w:p>
      <w:pPr>
        <w:spacing w:after="0" w:line="2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42,408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48,552</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49,158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contract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51,031</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1"/>
        </w:trPr>
        <w:tc>
          <w:tcPr>
            <w:tcW w:w="84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4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including Co-60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757,568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250,418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1,599,305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(562,413)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1,036,892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including property under finance leases, was $84.3 million, $76.6 million and $64.3 million for the years ended December 31, 2024, 2023 and 2022, respectively. Capitalized interest totaled $16.2 million, $12.2 million and $3.7 million for the years ended December 31, 2024, 2023 and 2022, respectively, and was recorded as a reduction in “Interest expense, net” in the Consolidated Statements of Operations and Comprehensive Income (Loss).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goodwill during the years ended December 31, 2024 and 2023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80" w:type="dxa"/>
            <w:vAlign w:val="bottom"/>
          </w:tcPr>
          <w:p>
            <w:pPr>
              <w:spacing w:after="0"/>
              <w:rPr>
                <w:sz w:val="15"/>
                <w:szCs w:val="15"/>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January 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657,458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1,101,768</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653,222</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255,485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172,366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1,081,073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48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24"/>
                <w:szCs w:val="24"/>
                <w:color w:val="auto"/>
              </w:rPr>
            </w:pPr>
          </w:p>
        </w:tc>
        <w:tc>
          <w:tcPr>
            <w:tcW w:w="11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4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646,965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537,871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192,630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928,427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708,829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940" w:type="dxa"/>
            <w:vAlign w:val="bottom"/>
            <w:gridSpan w:val="2"/>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98,055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1,026,482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24"/>
                <w:szCs w:val="24"/>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40" w:type="dxa"/>
            <w:vAlign w:val="bottom"/>
          </w:tcPr>
          <w:p>
            <w:pPr>
              <w:jc w:val="right"/>
              <w:ind w:right="153"/>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655,562</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460" w:type="dxa"/>
            <w:vAlign w:val="bottom"/>
            <w:gridSpan w:val="3"/>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1,071,880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right="140" w:hanging="252"/>
        <w:spacing w:after="0" w:line="241" w:lineRule="auto"/>
        <w:tabs>
          <w:tab w:leader="none" w:pos="255"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$79.4 million, $81.3 million, and $81.6 million for the years ended December 31, 2024, 2023 and 2022, respectively. $62.0 million, $63.8 million, and $62.9 million was included in “Amortization of intangible assets” in the Consolidated Statements of Operations and Comprehensive Income (Loss) for the years ended December 31, 2024, 2023 and 2022, whereas the remainder was included in “Cost of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41,338</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21,379</w:t>
            </w: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20,303</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19,755</w:t>
            </w: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19,645</w:t>
            </w: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weighted-average remaining amortization periods of the finite-lived intangible assets by major intangible asset class as of December 31, 2024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jc w:val="center"/>
              <w:ind w:left="475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180"/>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120" w:type="dxa"/>
            <w:vAlign w:val="bottom"/>
            <w:gridSpan w:val="2"/>
          </w:tcPr>
          <w:p>
            <w:pPr>
              <w:jc w:val="center"/>
              <w:ind w:left="47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amortization</w:t>
            </w:r>
          </w:p>
        </w:tc>
      </w:tr>
      <w:tr>
        <w:trPr>
          <w:trHeight w:val="184"/>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7120" w:type="dxa"/>
            <w:vAlign w:val="bottom"/>
            <w:gridSpan w:val="2"/>
          </w:tcPr>
          <w:p>
            <w:pPr>
              <w:jc w:val="center"/>
              <w:ind w:left="4730"/>
              <w:spacing w:after="0" w:line="164" w:lineRule="exact"/>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34"/>
        </w:trPr>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Land-use rights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7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6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20"/>
                <w:szCs w:val="20"/>
                <w:color w:val="auto"/>
              </w:rPr>
            </w:pPr>
          </w:p>
        </w:tc>
      </w:tr>
      <w:tr>
        <w:trPr>
          <w:trHeight w:val="8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06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540" w:type="dxa"/>
            <w:vAlign w:val="bottom"/>
            <w:tcBorders>
              <w:bottom w:val="single" w:sz="8" w:color="9A9A9A"/>
            </w:tcBorders>
          </w:tcPr>
          <w:p>
            <w:pPr>
              <w:spacing w:after="0"/>
              <w:rPr>
                <w:sz w:val="12"/>
                <w:szCs w:val="12"/>
                <w:color w:val="auto"/>
              </w:rPr>
            </w:pPr>
          </w:p>
        </w:tc>
        <w:tc>
          <w:tcPr>
            <w:tcW w:w="7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37,018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Georgia EO litigation settlement reserve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EO litigation settlement reserve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legal reserves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25,321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12,572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3,554</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90,463</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122,471</w:t>
            </w:r>
          </w:p>
        </w:tc>
        <w:tc>
          <w:tcPr>
            <w:tcW w:w="0" w:type="dxa"/>
            <w:vAlign w:val="bottom"/>
          </w:tcPr>
          <w:p>
            <w:pPr>
              <w:spacing w:after="0"/>
              <w:rPr>
                <w:sz w:val="1"/>
                <w:szCs w:val="1"/>
                <w:color w:val="auto"/>
              </w:rPr>
            </w:pPr>
          </w:p>
        </w:tc>
      </w:tr>
      <w:tr>
        <w:trPr>
          <w:trHeight w:val="21"/>
        </w:trPr>
        <w:tc>
          <w:tcPr>
            <w:tcW w:w="46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66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746,293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1,505,577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(22,459)</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1,476,610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2,255,577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2,222,903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2,240,483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2,208,100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46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0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jc w:val="center"/>
              <w:ind w:right="600"/>
              <w:spacing w:after="0" w:line="127"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Term loan B, due 2026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497,500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477,275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2,255,600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4, the “Credit Agreement”). The total borrowing capacity under the Revolving Credit Facility is $423.8 million. The Senior Secured Credit Facilities also provide SHH the right at any time and under certain conditions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incremental term loans or incremental revolving credit commitments based on a formula defined in the Senior Secured Credit Facilities.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2024, the Company and SHH entered into Amendment No. 4 (“Amendment No. 4”) to the Senior Secured Credit Facilities. Among other changes, Amendment No. 4 provides for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 on borrowings under the Refinancing Term Loans for the year ended December 31, 2024 was 8.29%.</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w:t>
      </w:r>
    </w:p>
    <w:p>
      <w:pPr>
        <w:spacing w:after="0" w:line="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As of December 31, 2024, we were in compliance with all of the covenants under the Senior Secured Credit Facilities and the Indenture.</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December 31, 2024, the Company had $14.0 million of letters of credit issued against the Revolving Credit Facility, resulting in total availability under the Revolving Credit Facility of $409.8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Maturities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long-term debt, excluding debt issuance costs and discounts, as of December 31, 2024,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6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9"/>
                <w:szCs w:val="19"/>
                <w:color w:val="auto"/>
              </w:rPr>
            </w:pPr>
          </w:p>
        </w:tc>
        <w:tc>
          <w:tcPr>
            <w:tcW w:w="6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360" w:type="dxa"/>
            <w:vAlign w:val="bottom"/>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63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 sources of income (loss) before income taxes were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tc>
        <w:tc>
          <w:tcPr>
            <w:tcW w:w="3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Year ended December 31,</w:t>
            </w:r>
          </w:p>
        </w:tc>
        <w:tc>
          <w:tcPr>
            <w:tcW w:w="38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6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(116,049)</w:t>
            </w:r>
          </w:p>
        </w:tc>
        <w:tc>
          <w:tcPr>
            <w:tcW w:w="1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(100,635)</w:t>
            </w:r>
          </w:p>
        </w:tc>
        <w:tc>
          <w:tcPr>
            <w:tcW w:w="1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(418,308)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229,923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Provision (benefit) for income taxes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9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Federal 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U.S.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58,235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60,043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 U.S.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State U.S.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69,476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reconciled with the U.S. federal statutory rate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computed at federal statutory rate</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23,914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taxes as a result of:</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Global intangible low-tax income (“GILTI”)</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Impact of rate changes on deferred tax balances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Tax holiday</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Audit settlement</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Tax credits</w:t>
            </w:r>
          </w:p>
        </w:tc>
        <w:tc>
          <w:tcPr>
            <w:tcW w:w="2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2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69,476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120" w:type="dxa"/>
            <w:vAlign w:val="bottom"/>
            <w:tcBorders>
              <w:bottom w:val="single" w:sz="8" w:color="9A9A9A"/>
            </w:tcBorders>
          </w:tcPr>
          <w:p>
            <w:pPr>
              <w:spacing w:after="0"/>
              <w:rPr>
                <w:sz w:val="12"/>
                <w:szCs w:val="12"/>
                <w:color w:val="auto"/>
              </w:rPr>
            </w:pPr>
          </w:p>
        </w:tc>
        <w:tc>
          <w:tcPr>
            <w:tcW w:w="2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components of the tax effects of temporary differences and carryforwards that gave rise to significant portions of the deferred tax assets and liabilities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Disallowed interest carryforward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(160,595)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(125,435)</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119,120</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(185,755)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net deferred tax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2,865</w:t>
            </w:r>
          </w:p>
        </w:tc>
        <w:tc>
          <w:tcPr>
            <w:tcW w:w="16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net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(69,500)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tax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(66,635)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At December 31, 2024 and 2023, the Company had available U.S. federal net operating loss carryforwards of $164.1 million and $235.0 million, respectively, which have no expiration date. At December 31, 2024 and 2023, the Company had available state net operating loss carryforwards of $293.8</w:t>
      </w:r>
    </w:p>
    <w:p>
      <w:pPr>
        <w:ind w:right="20"/>
        <w:spacing w:after="0" w:line="255" w:lineRule="auto"/>
        <w:rPr>
          <w:sz w:val="20"/>
          <w:szCs w:val="20"/>
          <w:color w:val="auto"/>
        </w:rPr>
      </w:pPr>
      <w:r>
        <w:rPr>
          <w:rFonts w:ascii="Times New Roman" w:cs="Times New Roman" w:eastAsia="Times New Roman" w:hAnsi="Times New Roman"/>
          <w:sz w:val="18"/>
          <w:szCs w:val="18"/>
          <w:color w:val="auto"/>
        </w:rPr>
        <w:t>million and $298.8 million, respectively, of which $89.6 million and $103.6 million have no expiration date, and foreign net operating loss carryforwards of approximately $21.4 million and $23.4 million, respectively, the majority of which have no expiration date. At December 31, 2024 and 2023, a valuation allowance was established against foreign net operating loss carryforwards for $3.6 million and $4.4 million, respectively. At December 31, 2024 there is no valuation allowance against U.S. federal net operating loss carryforwards as we expect these deferred tax assets will be realized. At December 31, 2023 we established a valuation allowance against U.S. federal net operating loss carryforwards of $6.8 million. At December 31, 2024 and 2023, we also established a valuation allowance against U.S. state net operating loss carryforwards for $12.5 million and $11.3 million, respectively. Based on management’s assessment, it is not more likely than not that these deferred tax assets will be realized through future taxable income.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December 31, 2024, a deferred tax liability of $3.8 million was recorded for repatriation of earnings for purposes of the Company’s consolidated financial statements as these earnings are not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gross reserve for uncertain tax positions, excluding accrued interest and penalties, was $0.</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as part of the provision for income taxes. For the years ended December 31, 2024, 2023 and 2022, interest and penalties related to uncertain income tax positions that were recognized in the Consolidated Statements of Operations and Comprehensive Income (Loss) were not material.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which represents all of its subsidiaries, files income tax returns in the U.S. federal jurisdiction and various states and foreign jurisdictions. The Company is no longer subject to U.S. federal, state, and local tax examinations before 2016, and non-U.S. income tax examinations by tax authorities for years before 2012. Tax years through December 31, 2018 have been audited by the Internal Revenue Service and are effectively closed for U.S. federal income tax purposes and no other fiscal years are currently under audit. For Nordion’s Canadian tax, all tax years through October 31, 2018 have been closed through audit or statute, and no other fiscal years are currently under audit.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the Company’s foreign operations benefit from a tax holiday, which is set to expire in 2030. This tax holiday may be terminated early if certain conditions are not met. The tax benefit attributable to this holiday was $1.3 million and $1.1 million for the fiscal years ended December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Retirement Benefits in the U.S.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$6.0 million, $5.7 million, and $5.0 million for the years ended December 31, 2024, 2023 and 2022, respectively, and are recorded in the same line as the respective employee’s wages. Administrative expenses related to the plan are paid by the Company and are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Retirement Benefits Outside the U.S.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$1.7 million, $1.7 million and $1.2 million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loss are recorded in “Other (income) expense, net” and the service cost component is included in the same financial statement line item as the applicable employee’s wages in the Consolidated Statements of Operations and Comprehensive Income (Loss). The components of net periodic pension benefit for the defined benefit plans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30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3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determination of the PBO and the net periodic benefit: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9"/>
        </w:trPr>
        <w:tc>
          <w:tcPr>
            <w:tcW w:w="20" w:type="dxa"/>
            <w:vAlign w:val="bottom"/>
          </w:tcPr>
          <w:p>
            <w:pPr>
              <w:spacing w:after="0"/>
              <w:rPr>
                <w:sz w:val="19"/>
                <w:szCs w:val="19"/>
                <w:color w:val="auto"/>
              </w:rPr>
            </w:pPr>
          </w:p>
        </w:tc>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Periodic benefit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r>
      <w:tr>
        <w:trPr>
          <w:trHeight w:val="230"/>
        </w:trPr>
        <w:tc>
          <w:tcPr>
            <w:tcW w:w="20" w:type="dxa"/>
            <w:vAlign w:val="bottom"/>
          </w:tcPr>
          <w:p>
            <w:pPr>
              <w:spacing w:after="0"/>
              <w:rPr>
                <w:sz w:val="19"/>
                <w:szCs w:val="19"/>
                <w:color w:val="auto"/>
              </w:rPr>
            </w:pPr>
          </w:p>
        </w:tc>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527"/>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PBO, fair value of plan assets, and the funded status of the plans are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1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5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Projected benefit obligation, as of beginning of the year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239,947</w:t>
            </w:r>
          </w:p>
        </w:tc>
        <w:tc>
          <w:tcPr>
            <w:tcW w:w="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217,582</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r>
      <w:tr>
        <w:trPr>
          <w:trHeight w:val="229"/>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Actuarial loss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(18,679)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220,633</w:t>
            </w: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239,947</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580" w:type="dxa"/>
            <w:vAlign w:val="bottom"/>
            <w:tcBorders>
              <w:top w:val="single" w:sz="8" w:color="CCEEFF"/>
            </w:tcBorders>
            <w:gridSpan w:val="2"/>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268,424</w:t>
            </w:r>
          </w:p>
        </w:tc>
        <w:tc>
          <w:tcPr>
            <w:tcW w:w="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253,130</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27,925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30"/>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20" w:type="dxa"/>
            <w:vAlign w:val="bottom"/>
          </w:tcPr>
          <w:p>
            <w:pPr>
              <w:spacing w:after="0"/>
              <w:rPr>
                <w:sz w:val="19"/>
                <w:szCs w:val="19"/>
                <w:color w:val="auto"/>
              </w:rPr>
            </w:pPr>
          </w:p>
        </w:tc>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Employee contributions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262,703</w:t>
            </w: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268,424</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580" w:type="dxa"/>
            <w:vAlign w:val="bottom"/>
            <w:tcBorders>
              <w:top w:val="single" w:sz="8" w:color="CCEEFF"/>
            </w:tcBorders>
            <w:gridSpan w:val="2"/>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gridSpan w:val="2"/>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42,070</w:t>
            </w:r>
          </w:p>
        </w:tc>
        <w:tc>
          <w:tcPr>
            <w:tcW w:w="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580" w:type="dxa"/>
            <w:vAlign w:val="bottom"/>
            <w:tcBorders>
              <w:top w:val="single" w:sz="8" w:color="CCEEFF"/>
            </w:tcBorders>
            <w:gridSpan w:val="2"/>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gridSpan w:val="2"/>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218,122</w:t>
            </w:r>
          </w:p>
        </w:tc>
        <w:tc>
          <w:tcPr>
            <w:tcW w:w="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defined benefit pension plans are overfunded as of December 31, 2024 and December 31,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funded status, measured as the difference between the fair value of the plan assets and the PBO, are included in “Post-retirement assets” for overfunded plans and “Post-retirement obligations” for underfunded plans in the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funded status to amounts recognized in the Consolidated Balance Sheets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220,633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239,947</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262,703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268,424</w:t>
            </w: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greater than projected benefit obligation (noncurrent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r>
      <w:tr>
        <w:trPr>
          <w:trHeight w:val="238"/>
        </w:trPr>
        <w:tc>
          <w:tcPr>
            <w:tcW w:w="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net actuarial (gain) loss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r>
    </w:tbl>
    <w:p>
      <w:pPr>
        <w:spacing w:after="0" w:line="28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pension expense: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r>
      <w:tr>
        <w:trPr>
          <w:trHeight w:val="229"/>
        </w:trPr>
        <w:tc>
          <w:tcPr>
            <w:tcW w:w="2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 net of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do not expect to reclassify any of the net actuarial gain in accumulated other comprehensive income to net periodic pension income in the next twelve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asset allocation of the Company’s pension plans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56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to achieve their long-term investment goals by investing in assets that often have uncertain returns, such as Canadian and other foreign equities, and non-government bonds, although the Company also attempts to reduce the overall level of risk by diversifying the asset classes and further diversifying within each individual asset class.</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Methodologies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is a description of the composition and valuation methodologies for pension plan assets. Refer to the discussion of fair value hierarchy in Note 20, “Financial Instruments and Financial Risk.”</w:t>
      </w:r>
    </w:p>
    <w:p>
      <w:pPr>
        <w:spacing w:after="0" w:line="16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Consists of deposits with financial institutions and other short-term highly liquid investments with an original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 Cash and cash equivalents are categorized as Level 1 instruments in the fair value hierarchy.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income securities, equity securities and hedge fund assets </w:t>
      </w:r>
      <w:r>
        <w:rPr>
          <w:rFonts w:ascii="Times New Roman" w:cs="Times New Roman" w:eastAsia="Times New Roman" w:hAnsi="Times New Roman"/>
          <w:sz w:val="18"/>
          <w:szCs w:val="18"/>
          <w:color w:val="auto"/>
        </w:rPr>
        <w:t>- These assets are invested in managed funds that are measured at fair value using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value per share practical expedient and, therefore, are not categorized in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benefit payments from plan assets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12,969</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13,260</w:t>
            </w: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13,571</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13,708</w:t>
            </w: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13,839</w:t>
            </w:r>
          </w:p>
        </w:tc>
      </w:tr>
      <w:tr>
        <w:trPr>
          <w:trHeight w:val="230"/>
        </w:trPr>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4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70,473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All other non-pension post-employment benefit plans are immaterial.</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PBO and net periodic pension cost for these plans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600" w:type="dxa"/>
            <w:vAlign w:val="bottom"/>
            <w:tcBorders>
              <w:top w:val="single" w:sz="8" w:color="auto"/>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Discount rate</w:t>
            </w:r>
          </w:p>
        </w:tc>
        <w:tc>
          <w:tcPr>
            <w:tcW w:w="5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4.65 %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Initial health care cost trend rate</w:t>
            </w:r>
          </w:p>
        </w:tc>
        <w:tc>
          <w:tcPr>
            <w:tcW w:w="5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Ultimate health care cost trend rate</w:t>
            </w:r>
          </w:p>
        </w:tc>
        <w:tc>
          <w:tcPr>
            <w:tcW w:w="5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Years until ultimate trend rate is reached</w:t>
            </w:r>
          </w:p>
        </w:tc>
        <w:tc>
          <w:tcPr>
            <w:tcW w:w="5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37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Discount rate</w:t>
            </w:r>
          </w:p>
        </w:tc>
        <w:tc>
          <w:tcPr>
            <w:tcW w:w="5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4.65 %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87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00" w:type="dxa"/>
            <w:vAlign w:val="bottom"/>
          </w:tcPr>
          <w:p>
            <w:pPr>
              <w:jc w:val="right"/>
              <w:ind w:right="2352"/>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2840" w:type="dxa"/>
            <w:vAlign w:val="bottom"/>
            <w:tcBorders>
              <w:bottom w:val="single" w:sz="8" w:color="9A9A9A"/>
            </w:tcBorders>
          </w:tcPr>
          <w:p>
            <w:pPr>
              <w:spacing w:after="0"/>
              <w:rPr>
                <w:sz w:val="12"/>
                <w:szCs w:val="12"/>
                <w:color w:val="auto"/>
              </w:rPr>
            </w:pPr>
          </w:p>
        </w:tc>
        <w:tc>
          <w:tcPr>
            <w:tcW w:w="37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80" w:type="dxa"/>
            <w:vAlign w:val="bottom"/>
          </w:tcPr>
          <w:p>
            <w:pPr>
              <w:spacing w:after="0"/>
              <w:rPr>
                <w:sz w:val="13"/>
                <w:szCs w:val="13"/>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1% Decrease</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periodic benefit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38"/>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projected benefit obligation and the funded status of the other post-retirement plans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8,964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Benefits paid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Actuarial loss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440" w:type="dxa"/>
            <w:vAlign w:val="bottom"/>
            <w:tcBorders>
              <w:top w:val="single" w:sz="8" w:color="CCEEFF"/>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8,375</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59"/>
        </w:trPr>
        <w:tc>
          <w:tcPr>
            <w:tcW w:w="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4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Benefits paid</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Employer contributions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44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(7,863)</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44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8,364</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All other post-retirement benefit pension plans are underfunded as of December 31, 2024 and 2023.</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44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reconciliation of the funded status to the net plan liabilities recognized in the Consolidated Balance Sheets is as follows: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less than projected benefit obligation (noncurrent liabilities)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actuarial gains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benefit plan liabilities are presented on the Consolidated Balance Sheets as “Post retirement obligations.”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other benefit plan expense: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 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Based on the actuarial assumptions used to develop the Company’s benefit obligations as of December 31, 2024, the following benefit payments are expected to be made to plan participants: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r>
      <w:tr>
        <w:trPr>
          <w:trHeight w:val="23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r>
      <w:tr>
        <w:trPr>
          <w:trHeight w:val="229"/>
        </w:trPr>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4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currently has no funding requirements as the Nordion pension plan had a going concern surplus as of January 1, 2024, as defined by Canadian federal regulations, which require solvency testing on defined benefit pension plans on an annual basis.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cash payment into the pension fund. As of December 31, 2024 and 2023, we had letters of credit outstanding relating to the defined benefit plans totaling $6.4 million and $16.0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did not engage in any material related party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applicable tax,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5"/>
                <w:szCs w:val="15"/>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58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020" w:type="dxa"/>
            <w:vAlign w:val="bottom"/>
          </w:tcPr>
          <w:p>
            <w:pPr>
              <w:jc w:val="center"/>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1"/>
                <w:szCs w:val="11"/>
                <w:color w:val="auto"/>
              </w:rPr>
              <w:t>(a)</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85"/>
              </w:rPr>
              <w:t>(b)</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(64,816)</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tcPr>
          <w:p>
            <w:pPr>
              <w:spacing w:after="0"/>
              <w:rPr>
                <w:sz w:val="2"/>
                <w:szCs w:val="2"/>
                <w:color w:val="auto"/>
              </w:rPr>
            </w:pPr>
          </w:p>
        </w:tc>
        <w:tc>
          <w:tcPr>
            <w:tcW w:w="1560" w:type="dxa"/>
            <w:vAlign w:val="bottom"/>
            <w:tcBorders>
              <w:top w:val="single" w:sz="8" w:color="CCEEFF"/>
            </w:tcBorders>
          </w:tcPr>
          <w:p>
            <w:pPr>
              <w:spacing w:after="0"/>
              <w:rPr>
                <w:sz w:val="2"/>
                <w:szCs w:val="2"/>
                <w:color w:val="auto"/>
              </w:rPr>
            </w:pPr>
          </w:p>
        </w:tc>
        <w:tc>
          <w:tcPr>
            <w:tcW w:w="4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960" w:type="dxa"/>
            <w:vAlign w:val="bottom"/>
            <w:tcBorders>
              <w:top w:val="single" w:sz="8" w:color="CCEEFF"/>
              <w:bottom w:val="single" w:sz="8" w:color="auto"/>
            </w:tcBorders>
          </w:tcPr>
          <w:p>
            <w:pPr>
              <w:spacing w:after="0"/>
              <w:rPr>
                <w:sz w:val="2"/>
                <w:szCs w:val="2"/>
                <w:color w:val="auto"/>
              </w:rPr>
            </w:pPr>
          </w:p>
        </w:tc>
        <w:tc>
          <w:tcPr>
            <w:tcW w:w="34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3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(131,205)</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1"/>
                <w:szCs w:val="11"/>
                <w:color w:val="auto"/>
              </w:rPr>
              <w:t>(a)</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85"/>
              </w:rPr>
              <w:t>(b)</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(91,031)</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5,646</w:t>
            </w: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(105,554)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xml:space="preserve">(170) </w:t>
            </w:r>
            <w:r>
              <w:rPr>
                <w:rFonts w:ascii="Times New Roman" w:cs="Times New Roman" w:eastAsia="Times New Roman" w:hAnsi="Times New Roman"/>
                <w:sz w:val="11"/>
                <w:szCs w:val="11"/>
                <w:color w:val="auto"/>
              </w:rPr>
              <w:t>(a)</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(9,845)</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85"/>
              </w:rPr>
              <w:t>(b)</w:t>
            </w: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8,462</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(118,635)</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(5,396)</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(209,666)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right="40" w:hanging="492"/>
        <w:spacing w:after="0" w:line="261" w:lineRule="auto"/>
        <w:tabs>
          <w:tab w:leader="none" w:pos="4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defined benefit pension and other post-retirement plans, amounts reclassified from accumulated other comprehensive income (loss) are recorded to “Other income, net” within the Consolidated Statements of Operations and Comprehensive Income (Loss).</w:t>
      </w:r>
    </w:p>
    <w:p>
      <w:pPr>
        <w:ind w:left="500" w:right="480" w:hanging="492"/>
        <w:spacing w:after="0" w:line="260" w:lineRule="auto"/>
        <w:tabs>
          <w:tab w:leader="none" w:pos="4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pacing w:after="0" w:line="285" w:lineRule="exact"/>
        <w:rPr>
          <w:sz w:val="20"/>
          <w:szCs w:val="20"/>
          <w:color w:val="auto"/>
        </w:rPr>
      </w:pPr>
    </w:p>
    <w:p>
      <w:pPr>
        <w:ind w:right="9260" w:firstLine="8"/>
        <w:spacing w:after="0" w:line="503" w:lineRule="auto"/>
        <w:tabs>
          <w:tab w:leader="none" w:pos="31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pacing w:after="0" w:line="17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on all matters submitted to a vote of stockholders,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described in the certificate of incorporation.</w:t>
      </w:r>
    </w:p>
    <w:p>
      <w:pPr>
        <w:spacing w:after="0" w:line="158"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those dividends, if any, as may be declared by the board of directors out of legally available funds.</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In the event of liquidation, dissolution or winding up, the holders of the Company’s common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share equally and ratably in the net assets legally available for distribution to stockholders after the payment of all of debts and other liabilities, subject to the prior rights of any preferred stock then outstanding.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addition, prior to the completion of the IPO, the Company’s amended and restated certificate of incorporation authorized 120,000,000 shares of preferred stock, par value $0.01 per share. The board of directors may issue preferred stock, without stockholder approval, in such series and with such designations, preferences, conversion or other rights, voting powers and qualifications, limitations or restrictions thereof, as the board of directors deems appropriate.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Pre-IPO Awards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our IPO, the Company’s equity-based awards issued to service providers (including directors and employees) included partnership interests in Topco Parent (Class B-1 or B-2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former parent made in-kind distributions of shares of our common stock to its limited partners. At the time of the IPO, there were fewer than 60 individuals who received shares in the in-kind distribution; while this distribution represented a modification to the existing awards, there was no associated change in compensation expense because the fair value of the distributed shares immediately before and after the distribution was the same.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Restricted stock distributed in respect of pre-IPO Class B-2 Units were considered performance vesting units. The required performance threshold for the vesting of B-2 restricted stock was the first date on which (i) our Sponsors received actual cash proceeds in an amount equal to or in excess of at least two and one-half times their invested capital in Topco Parent (of which the Company was a direct wholly-owned subsidiary prior to the IPO) and (ii) the Sponsors’ internal rate of return exceeded 20%, subject to such grantee’s continued services through such date. Both performance thresholds were satisfied on March 4, 2024 and, as a result, all outstanding B-2 Units were fully vested as of that date. Share-based compensation expense attributed to the pre-IPO Class B-2 awards was recorded in the fourth quarter of 2020 as the related performance conditions were considered probable of achievement and the implied service conditions were met.</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recognized $1.6 million, $2.0 million and $2.1 million of share-based compensation expense related to the pre-IPO Class B-1 awards for the years ended December 31, 2024, 2023, and 2022,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years ended December 31, 2024, 2023 and 2022 related to the restricted stock distributed to the Company service providers in respect of the pre-IPO awards (Class B-1 and B-2) is presented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 Stock -</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Restricted Stock -</w:t>
            </w:r>
          </w:p>
        </w:tc>
      </w:tr>
      <w:tr>
        <w:trPr>
          <w:trHeight w:val="190"/>
        </w:trPr>
        <w:tc>
          <w:tcPr>
            <w:tcW w:w="82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Pre-IPO B-1</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Pre-IPO B-2</w:t>
            </w:r>
          </w:p>
        </w:tc>
      </w:tr>
      <w:tr>
        <w:trPr>
          <w:trHeight w:val="37"/>
        </w:trPr>
        <w:tc>
          <w:tcPr>
            <w:tcW w:w="82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1,206,089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2,023,959</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(925,544)</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(435,665)</w:t>
            </w: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716,091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1,098,415</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(111,304)</w:t>
            </w:r>
          </w:p>
        </w:tc>
      </w:tr>
      <w:tr>
        <w:trPr>
          <w:trHeight w:val="229"/>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(347,401)</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352,447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987,111</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(278,345)</w:t>
            </w: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(987,111)</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71,451</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8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weighted average unit grant date fair value, weighted average remaining contractual term, total compensation cost and unrecognized compensation cost for the pre-IPO awards: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 Pre-IPO</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dollars in millions, except per award values)</w:t>
            </w:r>
          </w:p>
        </w:tc>
        <w:tc>
          <w:tcPr>
            <w:tcW w:w="1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4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jc w:val="right"/>
              <w:ind w:right="694"/>
              <w:spacing w:after="0" w:line="160" w:lineRule="exact"/>
              <w:rPr>
                <w:sz w:val="20"/>
                <w:szCs w:val="20"/>
                <w:color w:val="auto"/>
              </w:rPr>
            </w:pPr>
            <w:r>
              <w:rPr>
                <w:rFonts w:ascii="Times New Roman" w:cs="Times New Roman" w:eastAsia="Times New Roman" w:hAnsi="Times New Roman"/>
                <w:sz w:val="14"/>
                <w:szCs w:val="14"/>
                <w:b w:val="1"/>
                <w:bCs w:val="1"/>
                <w:color w:val="auto"/>
              </w:rPr>
              <w:t>B-1</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680" w:type="dxa"/>
            <w:vAlign w:val="bottom"/>
            <w:tcBorders>
              <w:top w:val="single" w:sz="8" w:color="auto"/>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Weighted average grant date fair value per unit of unvested units</w:t>
            </w:r>
            <w:r>
              <w:rPr>
                <w:rFonts w:ascii="Times New Roman" w:cs="Times New Roman" w:eastAsia="Times New Roman" w:hAnsi="Times New Roman"/>
                <w:sz w:val="23"/>
                <w:szCs w:val="23"/>
                <w:color w:val="auto"/>
                <w:vertAlign w:val="superscript"/>
              </w:rPr>
              <w:t>(a)</w:t>
            </w: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cost recognized during 2024</w:t>
            </w: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compensation expense at December 31, 2024</w:t>
            </w: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right="200" w:hanging="412"/>
        <w:spacing w:after="0" w:line="280" w:lineRule="auto"/>
        <w:tabs>
          <w:tab w:leader="none" w:pos="4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in-kind distribution of shares of our common stock in connection with our IPO described above, the weighted average grant date fair value per unit is not comparable to the IPO share price.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maintain the 2020 Plan that allows for grants of incentive stock options to employees (including employees of any of our subsidiaries), nonstatutory stock options, restricted stock awards (“RSAs”), RSUs and other cash-based, equity-based or equity-related awards to employees, directors, and consultants, including employees or consultants of our subsidiaries. A maximum of 27.9 million shares of common stock may be issued under the 2020 Plan. At December 31, 2024, 15.6 million shares were available for future issuance. The Company plans to issue shares available under the 2020 Plan or shares from treasury to satisfy requirements of awards paid with shares.</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recognize share-based compensation expense at grant date fair value over the requisite service period on a straight-line basis in our Consolidated Statements of Operations and Comprehensive Income (Loss), in “Selling, general and administrative expenses.” We recognized $35.2 million ($16.4 million for stock options and $18.8 million for RSAs and RSUs), $30.4 million ($14.4 million for stock options and $16.0 million for RSUs) and $19.1 million ($7.8 million for stock options and $11.3 million for RSUs) of share-based compensation expense for these awards for the years ending December 31, 2024, 2023 and 2022,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use a Black-Scholes option pricing model to estimate the fair value of stock options. Since we are a newly public company, the expected volatility is based on the volatility of similar publicly traded businesses within the same or similar industry as the Company in combination with our own volatility. We used the simplified method to estimate the expected term. The risk-free rate is based on the U.S. Treasury yield in effect at the time of the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grant-date fair values of stock options and the assumptions used in estimating the fair values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8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option</w:t>
            </w:r>
          </w:p>
        </w:tc>
        <w:tc>
          <w:tcPr>
            <w:tcW w:w="23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years</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r>
    </w:tbl>
    <w:p>
      <w:pPr>
        <w:spacing w:after="0" w:line="2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75"/>
        </w:trPr>
        <w:tc>
          <w:tcPr>
            <w:tcW w:w="5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2"/>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millions of U.S.</w:t>
            </w:r>
          </w:p>
        </w:tc>
      </w:tr>
      <w:tr>
        <w:trPr>
          <w:trHeight w:val="204"/>
        </w:trPr>
        <w:tc>
          <w:tcPr>
            <w:tcW w:w="556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4"/>
                <w:szCs w:val="14"/>
                <w:i w:val="1"/>
                <w:iCs w:val="1"/>
                <w:color w:val="auto"/>
                <w:w w:val="99"/>
              </w:rPr>
              <w:t>dollars</w:t>
            </w:r>
            <w:r>
              <w:rPr>
                <w:rFonts w:ascii="Times New Roman" w:cs="Times New Roman" w:eastAsia="Times New Roman" w:hAnsi="Times New Roman"/>
                <w:sz w:val="14"/>
                <w:szCs w:val="14"/>
                <w:color w:val="auto"/>
                <w:w w:val="99"/>
              </w:rPr>
              <w:t>)</w:t>
            </w:r>
          </w:p>
        </w:tc>
      </w:tr>
      <w:tr>
        <w:trPr>
          <w:trHeight w:val="37"/>
        </w:trPr>
        <w:tc>
          <w:tcPr>
            <w:tcW w:w="55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6,972,661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8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the end of the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8,328,051</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7.6 years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64"/>
        </w:trPr>
        <w:tc>
          <w:tcPr>
            <w:tcW w:w="5560" w:type="dxa"/>
            <w:vAlign w:val="bottom"/>
            <w:tcBorders>
              <w:bottom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Exercisable at the end of the year</w:t>
            </w:r>
          </w:p>
        </w:tc>
        <w:tc>
          <w:tcPr>
            <w:tcW w:w="13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5,730,231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14.41</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w w:val="98"/>
              </w:rPr>
              <w:t>7.1 years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Unvested at the end of the year</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2,597,820</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16.12</w:t>
            </w:r>
          </w:p>
        </w:tc>
        <w:tc>
          <w:tcPr>
            <w:tcW w:w="18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98"/>
              </w:rPr>
              <w:t>8.6 years</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December 31, 2024, the total unrecognized compensation expense related to stock options expected to be recognized over the weighted-average period of approximately 1.8 years is $12.5 million. The total fair value of stock options vested during the years ended December 31, 2024, 2023 and 2022 was $16.3 million, $10.6 million and $4.4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RSUs generally vest ratably over a period of one to four years and are valued based on the market price on the date of grant. The following table summarizes our unvested RSUs activity for the year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0"/>
        </w:trPr>
        <w:tc>
          <w:tcPr>
            <w:tcW w:w="7200" w:type="dxa"/>
            <w:vAlign w:val="bottom"/>
          </w:tcPr>
          <w:p>
            <w:pPr>
              <w:spacing w:after="0"/>
              <w:rPr>
                <w:sz w:val="16"/>
                <w:szCs w:val="16"/>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20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72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the beginning of the year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2,298,836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(1,063,598)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the end of the year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2,278,537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RSUs expected to be recognized over the weighted-average period of approximately 1.7 years is $18.7 million. The total fair value of RSUs vested during the years ended December 31, 2024, 2023 and 2022 was $15.4 million, $14.1 million and $5.7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(Loss) Per Share</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calculation of diluted earnings per share</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As of March 4, 2024, the performance threshold applicable to all Class B-2 restricted stock awards were fully satisfied, thereby releasing the vesting and forfeiture restrictions on these common shares. Beginning on that date, B-2 restricted stock was not included in the earnings allocation. Diluted earnings per share is computed using the more dilutive of (a) the two-class method, or (b) treasury stock method, as applicable, to the potentially dilutive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and diluted earnings (loss) per common share are calculated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of U.S. dollars and share amounts (except per share amounts)</w:t>
            </w:r>
          </w:p>
        </w:tc>
        <w:tc>
          <w:tcPr>
            <w:tcW w:w="320" w:type="dxa"/>
            <w:vAlign w:val="bottom"/>
          </w:tcPr>
          <w:p>
            <w:pPr>
              <w:spacing w:after="0"/>
              <w:rPr>
                <w:sz w:val="14"/>
                <w:szCs w:val="14"/>
                <w:color w:val="auto"/>
              </w:rPr>
            </w:pPr>
          </w:p>
        </w:tc>
        <w:tc>
          <w:tcPr>
            <w:tcW w:w="106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340" w:type="dxa"/>
            <w:vAlign w:val="bottom"/>
            <w:tcBorders>
              <w:top w:val="single" w:sz="8" w:color="auto"/>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44,398</w:t>
            </w: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Allocation to participating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Sotera Health Company common stockholders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44,339</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282,784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Dilutive effect of potential common shares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284,906</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283,222</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8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stockholders - basic</w:t>
            </w:r>
          </w:p>
        </w:tc>
        <w:tc>
          <w:tcPr>
            <w:tcW w:w="3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58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(loss) per common share attributable to Sotera Health Company common</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stockholders - diluted</w:t>
            </w:r>
          </w:p>
        </w:tc>
        <w:tc>
          <w:tcPr>
            <w:tcW w:w="3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20" w:hanging="332"/>
        <w:spacing w:after="0" w:line="298" w:lineRule="auto"/>
        <w:tabs>
          <w:tab w:leader="none" w:pos="33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the Company reported a net loss for the year ended December 31, 2022, the calculation of diluted weighted average common shares outstanding is not applicable for the year ended December 31, 2022 because the effect of including the potential common shares would be anti-dilutive.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shares does not consider the following potential common shares as the effect would be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of share amounts</w:t>
            </w:r>
          </w:p>
        </w:tc>
        <w:tc>
          <w:tcPr>
            <w:tcW w:w="2860" w:type="dxa"/>
            <w:vAlign w:val="bottom"/>
          </w:tcPr>
          <w:p>
            <w:pPr>
              <w:spacing w:after="0"/>
              <w:rPr>
                <w:sz w:val="14"/>
                <w:szCs w:val="14"/>
                <w:color w:val="auto"/>
              </w:rPr>
            </w:pPr>
          </w:p>
        </w:tc>
        <w:tc>
          <w:tcPr>
            <w:tcW w:w="136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gridSpan w:val="3"/>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5,469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securities</w:t>
            </w:r>
          </w:p>
        </w:tc>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28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6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lease costs </w:t>
      </w:r>
      <w:r>
        <w:rPr>
          <w:rFonts w:ascii="Times New Roman" w:cs="Times New Roman" w:eastAsia="Times New Roman" w:hAnsi="Times New Roman"/>
          <w:sz w:val="9"/>
          <w:szCs w:val="9"/>
          <w:b w:val="1"/>
          <w:bCs w:val="1"/>
          <w:i w:val="1"/>
          <w:iCs w:val="1"/>
          <w:color w:val="auto"/>
        </w:rPr>
        <w:t>(a)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of right of use assets</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13,267</w:t>
            </w:r>
          </w:p>
        </w:tc>
        <w:tc>
          <w:tcPr>
            <w:tcW w:w="1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15,122</w:t>
            </w:r>
          </w:p>
        </w:tc>
      </w:tr>
      <w:tr>
        <w:trPr>
          <w:trHeight w:val="450"/>
        </w:trPr>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36"/>
        </w:trPr>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-607060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-289560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060" w:type="dxa"/>
            <w:vAlign w:val="bottom"/>
            <w:tcBorders>
              <w:top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14,502</w:t>
            </w:r>
          </w:p>
        </w:tc>
        <w:tc>
          <w:tcPr>
            <w:tcW w:w="1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27,769</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 million, $1.4 million, and $1.3 million of short-term lease costs in the years ended December 31, 2024, 2023, and 2022,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terms and discount rates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6"/>
        </w:trPr>
        <w:tc>
          <w:tcPr>
            <w:tcW w:w="76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30"/>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15.2 years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years</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6.57 %</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r>
      <w:tr>
        <w:trPr>
          <w:trHeight w:val="238"/>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1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2"/>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8"/>
        </w:trPr>
        <w:tc>
          <w:tcPr>
            <w:tcW w:w="20" w:type="dxa"/>
            <w:vAlign w:val="bottom"/>
          </w:tcPr>
          <w:p>
            <w:pPr>
              <w:spacing w:after="0"/>
              <w:rPr>
                <w:sz w:val="20"/>
                <w:szCs w:val="20"/>
                <w:color w:val="auto"/>
              </w:rPr>
            </w:pPr>
          </w:p>
        </w:tc>
        <w:tc>
          <w:tcPr>
            <w:tcW w:w="6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Finance cash flows for finance leases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non-cash information was as follows:</w:t>
      </w:r>
    </w:p>
    <w:p>
      <w:pPr>
        <w:spacing w:after="0" w:line="16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0"/>
              <w:spacing w:after="0" w:line="16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0"/>
              <w:spacing w:after="0" w:line="16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0"/>
              <w:spacing w:after="0" w:line="16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w:t>
            </w:r>
          </w:p>
        </w:tc>
      </w:tr>
      <w:tr>
        <w:trPr>
          <w:trHeight w:val="8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400" w:type="dxa"/>
            <w:vAlign w:val="bottom"/>
            <w:tcBorders>
              <w:bottom w:val="single" w:sz="8" w:color="9A9A9A"/>
            </w:tcBorders>
          </w:tcPr>
          <w:p>
            <w:pPr>
              <w:spacing w:after="0"/>
              <w:rPr>
                <w:sz w:val="12"/>
                <w:szCs w:val="12"/>
                <w:color w:val="auto"/>
              </w:rPr>
            </w:pPr>
          </w:p>
        </w:tc>
        <w:tc>
          <w:tcPr>
            <w:tcW w:w="24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5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5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340" w:type="dxa"/>
            <w:vAlign w:val="bottom"/>
          </w:tcPr>
          <w:p>
            <w:pPr>
              <w:spacing w:after="0"/>
              <w:rPr>
                <w:sz w:val="13"/>
                <w:szCs w:val="13"/>
                <w:color w:val="auto"/>
              </w:rPr>
            </w:pPr>
          </w:p>
        </w:tc>
        <w:tc>
          <w:tcPr>
            <w:tcW w:w="14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3"/>
                <w:szCs w:val="13"/>
                <w:color w:val="auto"/>
              </w:rPr>
            </w:pPr>
          </w:p>
        </w:tc>
        <w:tc>
          <w:tcPr>
            <w:tcW w:w="1260" w:type="dxa"/>
            <w:vAlign w:val="bottom"/>
          </w:tcPr>
          <w:p>
            <w:pPr>
              <w:jc w:val="right"/>
              <w:ind w:right="572"/>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16,182</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15,937</w:t>
            </w: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15,187</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14,240</w:t>
            </w: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13,125</w:t>
            </w:r>
          </w:p>
        </w:tc>
      </w:tr>
      <w:tr>
        <w:trPr>
          <w:trHeight w:val="229"/>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117,367</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129,656</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39,130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204,327</w:t>
            </w:r>
          </w:p>
        </w:tc>
      </w:tr>
      <w:tr>
        <w:trPr>
          <w:trHeight w:val="230"/>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(66,988)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29,521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98,209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Asset Retirement Obligations (“ARO”)</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within cost of revenues, respectively.</w:t>
      </w:r>
    </w:p>
    <w:p>
      <w:pPr>
        <w:spacing w:after="0" w:line="17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year, we review decommissioning costs and consider changes in marketplace rates. The following table describes changes to our ARO liability during the years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ARO –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47,944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 settled</w:t>
            </w: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50"/>
        </w:trPr>
        <w:tc>
          <w:tcPr>
            <w:tcW w:w="20" w:type="dxa"/>
            <w:vAlign w:val="bottom"/>
          </w:tcPr>
          <w:p>
            <w:pPr>
              <w:spacing w:after="0"/>
              <w:rPr>
                <w:sz w:val="21"/>
                <w:szCs w:val="21"/>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ARO –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49,319</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47,944</w:t>
            </w:r>
          </w:p>
        </w:tc>
      </w:tr>
    </w:tbl>
    <w:p>
      <w:pPr>
        <w:spacing w:after="0" w:line="2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on the ARO of $0.4 million, $0.4 million and $0.3 million, for the years ended December 31, 2024, 2023, and 2022 respectively.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obligated to provide financial assurance to local and state licensing authorities for possible future decommissioning costs associated with the various facilities that hold Co-60. At December 31, 2024 and 2023, $49.1 million and $48.2 million, respectively, of the standby letters of credit referenced above and surety bonds were outstanding in favor of the various local and state licensing authorities in the event we defaulted on our decommissioning obligation.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56" w:lineRule="exact"/>
        <w:rPr>
          <w:sz w:val="20"/>
          <w:szCs w:val="20"/>
          <w:color w:val="auto"/>
        </w:rPr>
      </w:pPr>
    </w:p>
    <w:p>
      <w:pPr>
        <w:ind w:right="2060"/>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suppliers and our agreements with these suppliers account for material portions of our supply and direct material costs. These costs include obligations under various supply agreements in our Nordion segment for Co-60 that are enforceable and legally binding on us. As of December 31, 2024, we had minimum purchase commitments primarily with domestic and international suppliers of raw materials for the Nordion business totaling $2,219.1 million. The terms of these long-term supply or service arrangements range from 1 to 39 years. In addition, our Sterigenics segment has obligations to purchase ethylene oxide (“EO”). Our contract to purchase EO in the U.S. requires us to purchase all of our requirements from one supplier, and our contracts to purchase EO outside the U.S. generally require that we purchase a specified percentage of our requirements for our operations in the countries covered by those contracts. We expect to utilize the Co-60 and EO encompassed by these agreements in the normal course of our business and therefore our commitments under these agreements are not recognized on the consolidated balance sheets as a liability.</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Oxide Tort Litigation</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2024, subsidiaries of the Company and other parties were defendants in four lawsuits in Los Angeles County Superior Court in which the plaintiffs are asserting 33 claims for personal injuries and wrongful death allegedly resulting from emissions and releases of EO from Sterigenics’ Vernon facilities (the “Vernon Cases”). The Vernon Cases have been assigned to one judge and discovery is underway.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vigorously defending the Vernon Cases.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2024, subsidiaries of the Company and other parties were defendants in 313 personal injury and wrongful death claims in the State Court of Cobb County (the “Georgia Trial Court”) and 312 of the claims have been consolidated for pretrial purposes (the “Consolidated Personal Injury Cases”). The Consolidated Personal Injury Cases are governed by a case management order pursuant to which general causation issues in a pool of eight cases are to be adjudicated in Phase 1 and specific causation issues in the pool cases are to be adjudicated in Phase 2; the remaining Consolidated Personal Injury Cases (including ten cases that include both personal injury and property claims) are stayed. On November 22, 2024, the Georgia Trial Court issued a Phase 1 ruling on general causation issues granting in part and denying in part defendants’ motions to exclude certain Phase 1 expert testimony and defendants’ motions for summary judgment on Phase 1 issues (the “Phase 1 Ruling”). Both plaintiffs and defendants appealed the Phase 1 Ruling and these appeals are pending before the Georgia Court of Appeals. Phase 2 discovery in the pool cases is scheduled to take place through May 2025. One lawsuit has not been consolidated and the parties have jointly requested the Georgia Trial Court to stay the case along with the stayed cases in the Consolidated Personal Injury Cases.</w:t>
      </w:r>
    </w:p>
    <w:p>
      <w:pPr>
        <w:spacing w:after="0" w:line="2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2024, subsidiaries of the Company and other parties were also defendants in a lawsuit pending in the Georgia Trial Court in which employees of a sterilization customer of Sterigenics allege they were injured while working at the customer’s distribution facility by exposure to residual EO allegedly emanating from products of the customer that had been sterilized by Sterigenics. Pursuant to the customer’s contract with Sterigenics, the customer is indemnifying Sterigenics against this lawsuit and discovery is underway.</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subsidiaries of the Company were also defendants in 345 property devaluation lawsuits pending in the Georgia Trial Court that have been consolidated for pretrial purposes (the “Consolidated Property Cases”). A pool of nine of the Consolidated Property Cases are proceeding under case management orders and the remaining cases are stayed.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vigorously defending the Atlanta Cases.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2024, subsidiaries of the Company and other parties were defendants in 96 lawsuits in Illinois in which plaintiffs allege personal injuries or wrongful deaths resulting from purported emissions and releases of EO from Sterigenics’ former Willowbrook facility (the “Willowbrook Cases”). The Willowbrook Cases are pending in the Circuit Court of Cook County and have been assigned to a single judge for coordinated discovery and pretrial proceedings. Two of the Willowbrook Cases are set for trial in April 2025 and five of the Willowbrook Cases are set for trial in June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vigorously defending the Willowbrook Cases.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Mexico</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and certain subsidiaries are defendants in a lawsuit in the Third Judicial District Court, Doña Ana County, New Mexico in which the New Mexico Attorney General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an August 2023 order granting Sterigenics’ motion for summary judgment on strict liability, the Unfair Practices Act claim, and the claims for decreased property values, increased healthcare costs and medical monitoring costs. The case has been remanded to the District Court of Doña Ana County for further proceedings on the remaining claims. The case is set for trial in July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vigorously defending the NMAG’s remaining claims.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Settlements and the resolution of the tort lawsuit pending in the United States District Court for the District of New Mexico (as previously disclosed in Note 14, Commitments and Contingencies of our Quarterly Report on Form 10-Q for the quarterly period ended September 30, 2024) were driven by dynamics unique to the claims that were settled and thus should not give rise to presumptions that the Company will settle additional EO tort claims and/or that any such settlements will be for comparable amounts.</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 Coverage for Environmental Liabilities</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pursuing additional insurance coverage for our legal expenses related to EO tort lawsuits. In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briefing is complete, and oral argument was held before the United States Court of Appeals for the Seventh Circuit on September 25, 2024.</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Sterigenics is also a party in insurance coverage lawsuits pending in the Circuit Court of Cook County, the Delaware Superior Court and the Los Angeles County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is stayed pending resolution of the coverage lawsuit in the Circuit Court of Cook County and the Los Angeles County Superior Court case remains in preliminary stages. It is not possible to predict how much, if any, of the insurance proceeds sought will ultimately be recovered.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Sotera Health Company Securities Litigation and Related Matters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2023, a stockholder class action was filed in the U.S. District Court for the Northern District of Ohio (the “Ohio District Court”)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Ohio District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On June 25, 2024, the Delaware Chancery Court stayed the May 2024 Derivative Litigation pending a ruling on the merits on the motion to dismiss the Amended Complaint in the Michigan Funds Litigation.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vigorously defending the Michigan Funds Litigation and, if necessary, plans to vigorously defend the May 2024 Derivative Litigation.</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Financial Instruments and Financial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in Hedge Relationships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interest rate swap agreement with a notional amount of $400.0 million. The interest rate swap was effective on August 23, 2023 and expires on August 23, 2025. We have designated the interest rate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2022, we entered into two interest rate cap agreements with a combined notional amount of $1,000.0 million for a total option premium of $4.1 million. The interest rate caps were effective on July 31, 2023 and expired on July 31, 2024. We designated these interest rate caps as cash flow hedges designed to hedge the variability of cash flows attributable to changes in the benchmark interest rate of our Term Loan (or any successor thereto). Under the current terms of the loan agreement, the benchmark interest rate index transitioned from LIBOR to the Term SOFR on June 30, 2023. Accordingly, the interest rate cap agreements hedged the variability of cash flows attributable to changes in SOFR by limiting our cash flow exposure related to Term SOFR under a portion of our variable rate borrowings to 3.5%.</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in Hedge Relationships</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notional and fair values of our derivative instruments: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4"/>
                <w:szCs w:val="14"/>
                <w:i w:val="1"/>
                <w:iCs w:val="1"/>
                <w:color w:val="auto"/>
              </w:rPr>
              <w:t>(in U.S. dollars; notional in millions, fair value in thousands)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right"/>
              <w:ind w:right="593"/>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tcPr>
          <w:p>
            <w:pPr>
              <w:jc w:val="right"/>
              <w:ind w:right="573"/>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derivatives</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w:t>
            </w:r>
          </w:p>
        </w:tc>
        <w:tc>
          <w:tcPr>
            <w:tcW w:w="4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(a)</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2,689</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894.5</w:t>
            </w:r>
          </w:p>
        </w:tc>
        <w:tc>
          <w:tcPr>
            <w:tcW w:w="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3,236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the total notional amounts for certain of the Company’s supply and sales contracts accounted for as embedded derivatives.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Embedded derivatives assets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on the Consolidated Balance Sheets depending upon their position at period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activities of our derivative instruments for the periods presented, and the line item they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8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Realized gain on interest rate derivatives recorded in interest expense, net</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0"/>
        </w:trPr>
        <w:tc>
          <w:tcPr>
            <w:tcW w:w="20" w:type="dxa"/>
            <w:vAlign w:val="bottom"/>
          </w:tcPr>
          <w:p>
            <w:pPr>
              <w:spacing w:after="0"/>
              <w:rPr>
                <w:sz w:val="19"/>
                <w:szCs w:val="19"/>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loss (gain) on embedded derivatives recorded in other income,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(gain) on foreign currency forward contracts recorded in foreign exchange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38"/>
        </w:trPr>
        <w:tc>
          <w:tcPr>
            <w:tcW w:w="20" w:type="dxa"/>
            <w:vAlign w:val="bottom"/>
          </w:tcPr>
          <w:p>
            <w:pPr>
              <w:spacing w:after="0"/>
              <w:rPr>
                <w:sz w:val="20"/>
                <w:szCs w:val="20"/>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loss (gain) on foreign currency forward contracts recorded in foreign exchange loss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50"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6"/>
          <w:szCs w:val="16"/>
          <w:color w:val="auto"/>
        </w:rPr>
        <w:t>mounts represent periodic settlement of interest rate caps and swaps.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to reclassify approximately $0.5 million of after-tax net gains on derivative instruments from accumulated other comprehensive income (loss) to income during the next 12 months associated with our cash flow hedges. Refer to Note 13, “Other Comprehensive Income (Loss)” for unrealized gains on interest rate derivatives, net of applicable tax, recorded in other comprehensive income (loss) and amounts reclassified from accumulated other comprehensive income to interest expense, net of applicable tax, during the years ended December 31, 2024 and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December 31, 2024 and 2023, accounts receivable was net of an allowance for uncollectible accounts of $2.5 million and $4.7 million, respectively.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fair value our financial assets and liabilities: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6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gridSpan w:val="3"/>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20" w:type="dxa"/>
            <w:vAlign w:val="bottom"/>
          </w:tcPr>
          <w:p>
            <w:pPr>
              <w:spacing w:after="0"/>
              <w:rPr>
                <w:sz w:val="19"/>
                <w:szCs w:val="19"/>
                <w:color w:val="auto"/>
              </w:rPr>
            </w:pP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Notes, due 2031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746,293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1,461,807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1,493,314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98,209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6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gridSpan w:val="3"/>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caps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20" w:type="dxa"/>
            <w:vAlign w:val="bottom"/>
          </w:tcPr>
          <w:p>
            <w:pPr>
              <w:spacing w:after="0"/>
              <w:rPr>
                <w:sz w:val="19"/>
                <w:szCs w:val="19"/>
                <w:color w:val="auto"/>
              </w:rPr>
            </w:pP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 Loan B, due 2026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 Loan, due 2026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1,751,197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B, due 2026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200" w:hanging="492"/>
        <w:spacing w:after="0" w:line="252" w:lineRule="auto"/>
        <w:tabs>
          <w:tab w:leader="none" w:pos="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curves and yield curves. Additional information is provided in Note 1, “Significant Accounting Policies.”</w:t>
      </w:r>
    </w:p>
    <w:p>
      <w:pPr>
        <w:spacing w:after="0" w:line="2" w:lineRule="exact"/>
        <w:rPr>
          <w:rFonts w:ascii="Times New Roman" w:cs="Times New Roman" w:eastAsia="Times New Roman" w:hAnsi="Times New Roman"/>
          <w:sz w:val="18"/>
          <w:szCs w:val="18"/>
          <w:color w:val="auto"/>
        </w:rPr>
      </w:pPr>
    </w:p>
    <w:p>
      <w:pPr>
        <w:ind w:left="500" w:right="140" w:hanging="492"/>
        <w:spacing w:after="0" w:line="238" w:lineRule="auto"/>
        <w:tabs>
          <w:tab w:leader="none" w:pos="4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are not designated as hedging instruments are measured at fair value with gains or losses recognized immediately in the Consolidated Statements of Operations and Comprehensive Income (Loss). Refer also to Note 1, “Significant Accounting Policies.”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w:t>
      </w:r>
    </w:p>
    <w:p>
      <w:pPr>
        <w:ind w:left="500" w:right="60" w:hanging="492"/>
        <w:spacing w:after="0" w:line="250" w:lineRule="auto"/>
        <w:tabs>
          <w:tab w:leader="none" w:pos="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of current portion of long-term debt and long-term debt instruments are reported net of discounts and debt issuance costs. The estimated fair value of these instruments are based upon quoted prices for each Term Loan and the Secured Notes in inactive markets as provided by an independent fixed income security pricing service.</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“Leases.” Fair value approximates carrying value.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and Geographic Information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Revenue Concentrations</w:t>
      </w:r>
    </w:p>
    <w:p>
      <w:pPr>
        <w:spacing w:after="0" w:line="2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two customers reported within the Nordion segment individually represented 10% or more of the segment’s total net revenues. These customers represented 21.3% and 13.0% of the total segment’s external net revenues for the year ended December 31, 2024. For the year ended December 31, 2023, three customers reported within the Nordion segment individually represented 10% or more of the segment’s total net revenues. These customers represented 20.1%, 14.8%, and 13.9% of the total segment’s external net revenues for the year ended December 31, 2023. For the year ended December 31, 2022, five customers reported within the Nordion segment individually represented 10% or more of the segment’s total net</w:t>
      </w:r>
    </w:p>
    <w:p>
      <w:pPr>
        <w:spacing w:after="0" w:line="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revenues. These customers represented 17.7%, 13.6%, 11.2%, 10.7% and 10.2% of the total segment’s external net revenues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ind w:left="20"/>
        <w:spacing w:after="0" w:line="208" w:lineRule="auto"/>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697,853</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173,355</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229,233</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1,100,441</w:t>
            </w:r>
          </w:p>
        </w:tc>
      </w:tr>
      <w:tr>
        <w:trPr>
          <w:trHeight w:val="230"/>
        </w:trPr>
        <w:tc>
          <w:tcPr>
            <w:tcW w:w="2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286,434</w:t>
            </w:r>
          </w:p>
        </w:tc>
        <w:tc>
          <w:tcPr>
            <w:tcW w:w="4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67,087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155,088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508,609</w:t>
            </w:r>
          </w:p>
        </w:tc>
      </w:tr>
      <w:tr>
        <w:trPr>
          <w:trHeight w:val="234"/>
        </w:trPr>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33,248</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5,048</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43,258</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378,171</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101,220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69,183</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548,574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-633730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-334010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4"/>
                <w:szCs w:val="14"/>
                <w:color w:val="auto"/>
              </w:rPr>
            </w:pPr>
          </w:p>
        </w:tc>
        <w:tc>
          <w:tcPr>
            <w:tcW w:w="1520" w:type="dxa"/>
            <w:vAlign w:val="bottom"/>
          </w:tcPr>
          <w:p>
            <w:pPr>
              <w:jc w:val="right"/>
              <w:ind w:right="410"/>
              <w:spacing w:after="0" w:line="156" w:lineRule="exact"/>
              <w:rPr>
                <w:sz w:val="20"/>
                <w:szCs w:val="20"/>
                <w:color w:val="auto"/>
              </w:rPr>
            </w:pPr>
            <w:r>
              <w:rPr>
                <w:rFonts w:ascii="Times New Roman" w:cs="Times New Roman" w:eastAsia="Times New Roman" w:hAnsi="Times New Roman"/>
                <w:sz w:val="18"/>
                <w:szCs w:val="18"/>
                <w:b w:val="1"/>
                <w:bCs w:val="1"/>
                <w:color w:val="auto"/>
              </w:rPr>
              <w:t>Sterigenics</w:t>
            </w:r>
          </w:p>
        </w:tc>
        <w:tc>
          <w:tcPr>
            <w:tcW w:w="400" w:type="dxa"/>
            <w:vAlign w:val="bottom"/>
          </w:tcPr>
          <w:p>
            <w:pPr>
              <w:spacing w:after="0"/>
              <w:rPr>
                <w:sz w:val="14"/>
                <w:szCs w:val="14"/>
                <w:color w:val="auto"/>
              </w:rPr>
            </w:pPr>
          </w:p>
        </w:tc>
        <w:tc>
          <w:tcPr>
            <w:tcW w:w="1540" w:type="dxa"/>
            <w:vAlign w:val="bottom"/>
          </w:tcPr>
          <w:p>
            <w:pPr>
              <w:jc w:val="right"/>
              <w:ind w:right="530"/>
              <w:spacing w:after="0" w:line="156" w:lineRule="exact"/>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14"/>
                <w:szCs w:val="14"/>
                <w:color w:val="auto"/>
              </w:rPr>
            </w:pPr>
          </w:p>
        </w:tc>
        <w:tc>
          <w:tcPr>
            <w:tcW w:w="154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14"/>
                <w:szCs w:val="14"/>
                <w:color w:val="auto"/>
              </w:rPr>
            </w:pPr>
          </w:p>
        </w:tc>
        <w:tc>
          <w:tcPr>
            <w:tcW w:w="1240" w:type="dxa"/>
            <w:vAlign w:val="bottom"/>
          </w:tcPr>
          <w:p>
            <w:pPr>
              <w:jc w:val="right"/>
              <w:ind w:right="51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4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667,130</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160,459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1,049,288</w:t>
            </w:r>
          </w:p>
        </w:tc>
      </w:tr>
      <w:tr>
        <w:trPr>
          <w:trHeight w:val="229"/>
        </w:trPr>
        <w:tc>
          <w:tcPr>
            <w:tcW w:w="40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275,424</w:t>
            </w:r>
          </w:p>
        </w:tc>
        <w:tc>
          <w:tcPr>
            <w:tcW w:w="40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59,399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483,032</w:t>
            </w:r>
          </w:p>
        </w:tc>
      </w:tr>
      <w:tr>
        <w:trPr>
          <w:trHeight w:val="229"/>
        </w:trPr>
        <w:tc>
          <w:tcPr>
            <w:tcW w:w="40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expense allocation</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29,494</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4,382</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362,212</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96,678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69,139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528,029</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4"/>
                <w:szCs w:val="14"/>
                <w:color w:val="auto"/>
              </w:rPr>
            </w:pPr>
          </w:p>
        </w:tc>
        <w:tc>
          <w:tcPr>
            <w:tcW w:w="1520" w:type="dxa"/>
            <w:vAlign w:val="bottom"/>
          </w:tcPr>
          <w:p>
            <w:pPr>
              <w:jc w:val="right"/>
              <w:ind w:right="410"/>
              <w:spacing w:after="0" w:line="156" w:lineRule="exact"/>
              <w:rPr>
                <w:sz w:val="20"/>
                <w:szCs w:val="20"/>
                <w:color w:val="auto"/>
              </w:rPr>
            </w:pPr>
            <w:r>
              <w:rPr>
                <w:rFonts w:ascii="Times New Roman" w:cs="Times New Roman" w:eastAsia="Times New Roman" w:hAnsi="Times New Roman"/>
                <w:sz w:val="18"/>
                <w:szCs w:val="18"/>
                <w:b w:val="1"/>
                <w:bCs w:val="1"/>
                <w:color w:val="auto"/>
              </w:rPr>
              <w:t>Sterigenics</w:t>
            </w:r>
          </w:p>
        </w:tc>
        <w:tc>
          <w:tcPr>
            <w:tcW w:w="400" w:type="dxa"/>
            <w:vAlign w:val="bottom"/>
          </w:tcPr>
          <w:p>
            <w:pPr>
              <w:spacing w:after="0"/>
              <w:rPr>
                <w:sz w:val="14"/>
                <w:szCs w:val="14"/>
                <w:color w:val="auto"/>
              </w:rPr>
            </w:pPr>
          </w:p>
        </w:tc>
        <w:tc>
          <w:tcPr>
            <w:tcW w:w="1540" w:type="dxa"/>
            <w:vAlign w:val="bottom"/>
          </w:tcPr>
          <w:p>
            <w:pPr>
              <w:jc w:val="right"/>
              <w:ind w:right="530"/>
              <w:spacing w:after="0" w:line="156" w:lineRule="exact"/>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14"/>
                <w:szCs w:val="14"/>
                <w:color w:val="auto"/>
              </w:rPr>
            </w:pPr>
          </w:p>
        </w:tc>
        <w:tc>
          <w:tcPr>
            <w:tcW w:w="154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14"/>
                <w:szCs w:val="14"/>
                <w:color w:val="auto"/>
              </w:rPr>
            </w:pPr>
          </w:p>
        </w:tc>
        <w:tc>
          <w:tcPr>
            <w:tcW w:w="1240" w:type="dxa"/>
            <w:vAlign w:val="bottom"/>
          </w:tcPr>
          <w:p>
            <w:pPr>
              <w:jc w:val="right"/>
              <w:ind w:right="51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4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626,646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153,639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1,003,687</w:t>
            </w:r>
          </w:p>
        </w:tc>
      </w:tr>
      <w:tr>
        <w:trPr>
          <w:trHeight w:val="229"/>
        </w:trPr>
        <w:tc>
          <w:tcPr>
            <w:tcW w:w="40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260,295</w:t>
            </w:r>
          </w:p>
        </w:tc>
        <w:tc>
          <w:tcPr>
            <w:tcW w:w="40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60,119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462,175</w:t>
            </w:r>
          </w:p>
        </w:tc>
      </w:tr>
      <w:tr>
        <w:trPr>
          <w:trHeight w:val="229"/>
        </w:trPr>
        <w:tc>
          <w:tcPr>
            <w:tcW w:w="40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expense allocation</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27,207</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4,043</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339,144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89,477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77,628</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506,249</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140" w:hanging="492"/>
        <w:spacing w:after="0" w:line="260" w:lineRule="auto"/>
        <w:tabs>
          <w:tab w:leader="none" w:pos="49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are reported net of intersegment sales. Our Nordion segment recognized $58.7 million, $43.9 million and $52.4 million in revenues from sales to our Sterigenics segment for the years ended December 31, 2024, 2023 and 2022, respectively, that is not reflected in net revenues in the table above. Intersegment sales for Sterigenics and Nelson Labs are immaterial for all periods presented.</w:t>
      </w:r>
    </w:p>
    <w:p>
      <w:pPr>
        <w:ind w:left="500" w:right="200" w:hanging="492"/>
        <w:spacing w:after="0" w:line="255" w:lineRule="auto"/>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expenses are comprised of direct materials, labor, utilities, other costs of revenues, SG&amp;A, and other non-operating expense (income) attributable to each segment.</w:t>
      </w:r>
    </w:p>
    <w:p>
      <w:pPr>
        <w:jc w:val="both"/>
        <w:ind w:left="500" w:right="520" w:hanging="492"/>
        <w:spacing w:after="0" w:line="260" w:lineRule="auto"/>
        <w:tabs>
          <w:tab w:leader="none" w:pos="49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operating expenses that are directly incurred by a segment are reflected in each segment’s income. The remaining Corporate operating expenses for executive management, accounting, information technology, legal, human resources, treasury, investor relations, corporate development, tax, purchasing, and marketing not directly incurred by a segment are allocated to the segments primarily based on total net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for the years ended December 31, 2024,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4"/>
                <w:szCs w:val="14"/>
                <w:color w:val="auto"/>
              </w:rPr>
            </w:pPr>
          </w:p>
        </w:tc>
        <w:tc>
          <w:tcPr>
            <w:tcW w:w="1420" w:type="dxa"/>
            <w:vAlign w:val="bottom"/>
          </w:tcPr>
          <w:p>
            <w:pPr>
              <w:jc w:val="right"/>
              <w:ind w:right="6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6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Sterigenics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131,258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144,027</w:t>
            </w:r>
          </w:p>
        </w:tc>
      </w:tr>
      <w:tr>
        <w:trPr>
          <w:trHeight w:val="229"/>
        </w:trPr>
        <w:tc>
          <w:tcPr>
            <w:tcW w:w="20" w:type="dxa"/>
            <w:vAlign w:val="bottom"/>
          </w:tcPr>
          <w:p>
            <w:pPr>
              <w:spacing w:after="0"/>
              <w:rPr>
                <w:sz w:val="19"/>
                <w:szCs w:val="19"/>
                <w:color w:val="auto"/>
              </w:rPr>
            </w:pPr>
          </w:p>
        </w:tc>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Nordion</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34,928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26,575</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Nelson Labs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179,070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214,975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182,378</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CODM.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(loss) before taxes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548,574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506,249</w:t>
            </w: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9"/>
                <w:szCs w:val="9"/>
                <w:color w:val="auto"/>
              </w:rPr>
              <w: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164,691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9"/>
                <w:szCs w:val="9"/>
                <w:color w:val="auto"/>
              </w:rPr>
              <w:t>(b)</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161,797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145,554</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9"/>
                <w:szCs w:val="9"/>
                <w:color w:val="auto"/>
              </w:rPr>
              <w:t>(c)</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36,896</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9"/>
                <w:szCs w:val="9"/>
                <w:color w:val="auto"/>
              </w:rPr>
              <w:t>(d)</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 instruments, net</w:t>
            </w:r>
            <w:r>
              <w:rPr>
                <w:rFonts w:ascii="Times New Roman" w:cs="Times New Roman" w:eastAsia="Times New Roman" w:hAnsi="Times New Roman"/>
                <w:sz w:val="9"/>
                <w:szCs w:val="9"/>
                <w:color w:val="auto"/>
              </w:rPr>
              <w:t>(e)</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9"/>
                <w:szCs w:val="9"/>
                <w:color w:val="auto"/>
              </w:rPr>
              <w:t>(f)</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r>
              <w:rPr>
                <w:rFonts w:ascii="Times New Roman" w:cs="Times New Roman" w:eastAsia="Times New Roman" w:hAnsi="Times New Roman"/>
                <w:sz w:val="9"/>
                <w:szCs w:val="9"/>
                <w:color w:val="auto"/>
              </w:rPr>
              <w:t>(g)</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9"/>
                <w:szCs w:val="9"/>
                <w:color w:val="auto"/>
              </w:rPr>
              <w:t>(h)</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32,694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EO litigation settlement</w:t>
            </w:r>
            <w:r>
              <w:rPr>
                <w:rFonts w:ascii="Times New Roman" w:cs="Times New Roman" w:eastAsia="Times New Roman" w:hAnsi="Times New Roman"/>
                <w:sz w:val="9"/>
                <w:szCs w:val="9"/>
                <w:color w:val="auto"/>
              </w:rPr>
              <w:t>(i)</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Georgia EO litigation settlement</w:t>
            </w:r>
            <w:r>
              <w:rPr>
                <w:rFonts w:ascii="Times New Roman" w:cs="Times New Roman" w:eastAsia="Times New Roman" w:hAnsi="Times New Roman"/>
                <w:sz w:val="9"/>
                <w:szCs w:val="9"/>
                <w:color w:val="auto"/>
              </w:rPr>
              <w:t>(j)</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offering and other shareholder activities</w:t>
            </w:r>
            <w:r>
              <w:rPr>
                <w:rFonts w:ascii="Times New Roman" w:cs="Times New Roman" w:eastAsia="Times New Roman" w:hAnsi="Times New Roman"/>
                <w:sz w:val="9"/>
                <w:szCs w:val="9"/>
                <w:color w:val="auto"/>
              </w:rPr>
              <w:t>(k)</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Borders>
              <w:bottom w:val="single" w:sz="8" w:color="CCEEFF"/>
            </w:tcBorders>
          </w:tcPr>
          <w:p>
            <w:pPr>
              <w:spacing w:after="0"/>
              <w:rPr>
                <w:sz w:val="23"/>
                <w:szCs w:val="23"/>
                <w:color w:val="auto"/>
              </w:rPr>
            </w:pPr>
          </w:p>
        </w:tc>
        <w:tc>
          <w:tcPr>
            <w:tcW w:w="6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9"/>
                <w:szCs w:val="9"/>
                <w:color w:val="auto"/>
              </w:rPr>
              <w:t>(l)</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2,638</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before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right="300" w:hanging="492"/>
        <w:spacing w:after="0" w:line="261"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year ended December 31, 2023 has been adjusted to conform to the current year presentation to include interest expense, net on Term Loan B due 2026 attributable to the loan proceeds that were used to fund the $408.0 million Illinois EO litigation settlement. The year ended December 31, 2022 excludes a $1.7 million unrealized loss on interest rate derivatives not designated as hedging instruments.</w:t>
      </w:r>
    </w:p>
    <w:p>
      <w:pPr>
        <w:spacing w:after="0" w:line="4" w:lineRule="exact"/>
        <w:rPr>
          <w:rFonts w:ascii="Times New Roman" w:cs="Times New Roman" w:eastAsia="Times New Roman" w:hAnsi="Times New Roman"/>
          <w:sz w:val="18"/>
          <w:szCs w:val="18"/>
          <w:color w:val="auto"/>
        </w:rPr>
      </w:pPr>
    </w:p>
    <w:p>
      <w:pPr>
        <w:ind w:left="500" w:right="360" w:hanging="492"/>
        <w:spacing w:after="0" w:line="266"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The year ended December 31, 2024 excludes accelerated depreciation associated with business optimization activities.</w:t>
      </w:r>
    </w:p>
    <w:p>
      <w:pPr>
        <w:ind w:left="500" w:right="240" w:hanging="492"/>
        <w:spacing w:after="0" w:line="273"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 See Note 15, “Share-Based Compensation” for further information.</w:t>
      </w:r>
    </w:p>
    <w:p>
      <w:pPr>
        <w:spacing w:after="0" w:line="1" w:lineRule="exact"/>
        <w:rPr>
          <w:rFonts w:ascii="Times New Roman" w:cs="Times New Roman" w:eastAsia="Times New Roman" w:hAnsi="Times New Roman"/>
          <w:sz w:val="18"/>
          <w:szCs w:val="18"/>
          <w:color w:val="auto"/>
        </w:rPr>
      </w:pPr>
    </w:p>
    <w:p>
      <w:pPr>
        <w:ind w:left="500" w:right="160" w:hanging="492"/>
        <w:spacing w:after="0" w:line="266"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ind w:left="500" w:right="120" w:hanging="492"/>
        <w:spacing w:after="0" w:line="266"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140" w:hanging="492"/>
        <w:spacing w:after="0" w:line="273" w:lineRule="auto"/>
        <w:tabs>
          <w:tab w:leader="none" w:pos="49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2"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an equity method investment in a joint venture.</w:t>
      </w:r>
    </w:p>
    <w:p>
      <w:pPr>
        <w:spacing w:after="0" w:line="49" w:lineRule="exact"/>
        <w:rPr>
          <w:rFonts w:ascii="Times New Roman" w:cs="Times New Roman" w:eastAsia="Times New Roman" w:hAnsi="Times New Roman"/>
          <w:sz w:val="18"/>
          <w:szCs w:val="18"/>
          <w:color w:val="auto"/>
        </w:rPr>
      </w:pPr>
    </w:p>
    <w:p>
      <w:pPr>
        <w:ind w:left="500" w:right="120" w:hanging="492"/>
        <w:spacing w:after="0" w:line="260"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 Amounts presented for the year ended December 31, 2023 have been adjusted to exclude interest expense, net associated with Term Loan B due 2026 attributable to the loan proceeds that were used to fund the $408.0 million Illinois EO litigation settlement.</w:t>
      </w:r>
    </w:p>
    <w:p>
      <w:pPr>
        <w:spacing w:after="0" w:line="2" w:lineRule="exact"/>
        <w:rPr>
          <w:rFonts w:ascii="Times New Roman" w:cs="Times New Roman" w:eastAsia="Times New Roman" w:hAnsi="Times New Roman"/>
          <w:sz w:val="18"/>
          <w:szCs w:val="18"/>
          <w:color w:val="auto"/>
        </w:rPr>
      </w:pPr>
    </w:p>
    <w:p>
      <w:pPr>
        <w:ind w:left="500" w:right="20" w:hanging="492"/>
        <w:spacing w:after="0" w:line="273"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880 pending and threatened EO claims in Illinois pursuant to settlement agreements entered into on March 28, 2023. See Note 19, “Commitments and Contingencies.”</w:t>
      </w:r>
    </w:p>
    <w:p>
      <w:pPr>
        <w:spacing w:after="0" w:line="1"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79 pending EO claims in Georgia under a settlement entered into on December 21, 2023. See Note 19, “Commitments and Contingencies.”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right="40" w:hanging="492"/>
        <w:spacing w:after="0" w:line="273" w:lineRule="auto"/>
        <w:tabs>
          <w:tab w:leader="none" w:pos="4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secondary offerings of our common stock that closed on March 4, 2024 and September 6, 2024 and legal, consulting, and other fees associated with shareholder engagement.</w:t>
      </w:r>
    </w:p>
    <w:p>
      <w:pPr>
        <w:spacing w:after="0" w:line="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geographic area are reported by the country’s origin of the revenues.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0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616,684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579,018</w:t>
            </w: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208,886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188,741</w:t>
            </w: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187,542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166,025</w:t>
            </w: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78,860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1,100,441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net revenues from Asian and Latin American countries that individually represent 3% or less of our total net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are based on physical locations and are comprised of the net book value of property, plant, and equipment.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587,707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494,793</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188,498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170,669</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86,460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1,036,892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long-lived assets in Asian and Latin American countries that individually represent 5% or less of our total long-lived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(credits) to</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1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4"/>
                <w:szCs w:val="14"/>
                <w:b w:val="1"/>
                <w:bCs w:val="1"/>
                <w:color w:val="auto"/>
                <w:vertAlign w:val="superscript"/>
              </w:rPr>
              <w:t>(2)</w:t>
            </w:r>
          </w:p>
        </w:tc>
        <w:tc>
          <w:tcPr>
            <w:tcW w:w="140" w:type="dxa"/>
            <w:vAlign w:val="bottom"/>
          </w:tcPr>
          <w:p>
            <w:pPr>
              <w:spacing w:after="0"/>
              <w:rPr>
                <w:sz w:val="12"/>
                <w:szCs w:val="12"/>
                <w:color w:val="auto"/>
              </w:rPr>
            </w:pPr>
          </w:p>
        </w:tc>
        <w:tc>
          <w:tcPr>
            <w:tcW w:w="1180" w:type="dxa"/>
            <w:vAlign w:val="bottom"/>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Uncollectible accounts written off, net of recoveries.</w:t>
      </w:r>
    </w:p>
    <w:p>
      <w:pPr>
        <w:spacing w:after="0" w:line="19"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Exchange Act Rule 13a-15(f). Using criteria set forth by the Committee of Sponsoring Organizations of the Treadway Commission (2013 framework) in Internal Control-Integrated Framework, the Company’s management assessed the effectiveness of the Company’s internal control over financial reporting as of December 31, 2024. Based on this assessment, management concluded that the Company’s internal control over financial reporting was effective as of December 31, 2024.</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Ernst &amp; Young LLP, an independent registered public accounting firm, as stated in their report, which is included in this Annual Report on Form 10-K and is included in this Item 9A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ind w:right="50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Sotera Health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Sotera Health Company’s internal control over financial reporting as of December 31, 2024, based on criteria established in Internal Control—Integrated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2024, based on the COSO criteria.</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Revision and Retention Awards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currently a party to an offer letter, dated February 26, 2024, with Mr. Jonathan Lyons, the Company’s Chief Financial Officer, which offer letter generally provides for certain of his initial and ongoing compensation and benefits arrangements with the Company. On February 26, 2025, the Company entered into an amendment and restatement of the offer letter, primarily to revise the terms of Mr. Lyons’ entitlement to cash severance benefits under the offer letter. Under the amendment and restatement, the Company increased the amount of such cash severance benefits from one times his annual base salary rate to one times the sum of his annual base salary rate plus his target short-term annual incentive. Further, on March 3, 2025, the Company intends to provide to Mr. Lyons (1) a $500,000 cash-based retention award that will vest as to 10% of the award on the 6-month anniversary of the grant date, 20% of the award on the 12-month anniversary of the grant date, 30% of the award on the 18-month anniversary of the grant date and the remaining amount of the award on the 24-month anniversary of the grant date, in each case generally subject to Mr. Lyons’ continued service with the Company through the applicable vesting date, as well as (2) a retention grant of $500,000 in time-based restricted stock units, which award will, in general, vest as to 50% of the award on the first anniversary of the grant date and the remaining amount of the award on the second anniversary of the grant date, in each case subject to Mr. Lyons’ continued service with the Company through the applicable vesting date. The vesting of the time-based restricted stock units award will accelerate if Mr. Lyons’ service ceases due to his death or disability, or under certain conditions regarding a change in control of the Company (as described in the applicable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is incorporated by reference to the sections titled “Board Composition, Nominations Process and Director Qualifications,” “Corporate Governance” and “Insider Trading Policy” to be included in our Definitive Proxy Statement for the 2025 Annual Meeting of Stockholders, which will be filed with the SEC within 120 days after the fiscal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 as of February 20,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56"/>
        </w:trPr>
        <w:tc>
          <w:tcPr>
            <w:tcW w:w="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0" w:type="dxa"/>
            <w:vAlign w:val="bottom"/>
          </w:tcPr>
          <w:p>
            <w:pPr>
              <w:spacing w:after="0"/>
              <w:rPr>
                <w:sz w:val="13"/>
                <w:szCs w:val="13"/>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(Jon) Lyons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3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(Mike) P. Rutz</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of Sterigenics</w:t>
            </w:r>
          </w:p>
        </w:tc>
      </w:tr>
      <w:tr>
        <w:trPr>
          <w:trHeight w:val="234"/>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(Alex) Dimitrief</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3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business experience of our executive officers.</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B. Petras, Jr. </w:t>
      </w:r>
      <w:r>
        <w:rPr>
          <w:rFonts w:ascii="Times New Roman" w:cs="Times New Roman" w:eastAsia="Times New Roman" w:hAnsi="Times New Roman"/>
          <w:sz w:val="18"/>
          <w:szCs w:val="18"/>
          <w:color w:val="auto"/>
        </w:rPr>
        <w:t>has served as our Chief Executive Officer since June 2016 and as the Chairman of our board of directors since October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Chairman of the board of managers of Sotera Health Topco, L.P. (“Topco Parent”) from January 2019 and as a member of Topco Parent’s board of managers from June 2016 until the completion of the IPO. Prior to joining the Company,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Jonathan (Jon) M. Lyons </w:t>
      </w:r>
      <w:r>
        <w:rPr>
          <w:rFonts w:ascii="Times New Roman" w:cs="Times New Roman" w:eastAsia="Times New Roman" w:hAnsi="Times New Roman"/>
          <w:sz w:val="18"/>
          <w:szCs w:val="18"/>
          <w:color w:val="auto"/>
        </w:rPr>
        <w:t>has served as our Senior Vice President and Chief Financial Officer since June 2023. Prior to joining the Company, Mr. Lyons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corporate FP&amp;A of Owens Corning, a global leader specializing in building and construction materials, from June 2021 to June 2023 and vice president, finance of the insulation segment from October 2018 to May 2021. Mr. Lyons joined Owens Corning in 2010 as assistant treasurer and also served as treasurer from 2011 to 2014. Mr. Lyons also spent eight years with Cardinal Health, Inc., holding several senior leadership roles in treasury, FP&amp;A, investor relations and tax after beginning his career in public accounting. Mr. Lyons holds an M.B.A. from The Ohio State University and a B.S. in Accounting from Kent State University.</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(Mike) P. Rutz </w:t>
      </w:r>
      <w:r>
        <w:rPr>
          <w:rFonts w:ascii="Times New Roman" w:cs="Times New Roman" w:eastAsia="Times New Roman" w:hAnsi="Times New Roman"/>
          <w:sz w:val="18"/>
          <w:szCs w:val="18"/>
          <w:color w:val="auto"/>
        </w:rPr>
        <w:t>has served as President of Sterigenics since October 2020. Prior to that, Mr. Rutz was Chief Operating Officer of Sterigenics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2020 to October 2020. Prior to joining the Company, he was senior vice president and general manager of the Semiconductor Business Unit at Littelfuse, Inc., a multinational electronic manufacturing company, where he was responsible for leading sales, marketing, product development, operations and business development for power and protection based semiconductor products. Mr. Rutz joined Littelfuse, Inc. in 2014 as senior vice president of global operations, overseeing the company’s manufacturing, procurement, planning, quality, and operational excellence initiatives. Prior to joining Littelfuse, Inc., Mr. Rutz served as senior vice president global supply chain at WMS Gaming, a Chicago-based manufacturer of equipment and software for the gaming industry. Mr. Rutz also spent 16 years with Motorola Solutions, Inc., a telecommunications company, in the paging, cellular and networking groups, and previously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Alexander (Alex) Dimitrief </w:t>
      </w:r>
      <w:r>
        <w:rPr>
          <w:rFonts w:ascii="Times New Roman" w:cs="Times New Roman" w:eastAsia="Times New Roman" w:hAnsi="Times New Roman"/>
          <w:sz w:val="18"/>
          <w:szCs w:val="18"/>
          <w:color w:val="auto"/>
        </w:rPr>
        <w:t>has served as our Senior Vice President and General Counsel since November 2022 and he served as Secretary from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December 2024. Prior to joining the Company, from February 2020 to October 2022, he was a partner at Zeughauser Group, a legal management consulting firm, where he remains as an advisor. Mr. Dimitrief was a senior fellow and distinguished adjunct professor at New York Law School from August 2020 to December 2022 and a lecturer on law at Harvard Law School from September 2019 to December 2022. Mr. Dimitrief previously served in a variety of leadership roles at GE. Mr. Dimitrief was president and chief executive officer of GE’s Global Growth Organization from 2018 until his retirement from GE in January 2019. He previously served as GE’s senior vice president and general counsel from 2015 to 2018 and held other senior legal roles at GE beginning in 2007. Mr. Dimitrief came to GE from Kirkland &amp; Ellis LLP, where he practiced law for twenty years. Mr. Dimitrief holds a B.A. in economics and political science from Yale College and a J.D. from Harvard Law School. He also serves as an independent director of Eos Energy Enterprises and on the Advisory Board of Cresset.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“Non-Employee Director Compensation,” “Compensation Discussion and Analysis,” “Compensation Tables,” “Potential Termination Payments” and “CEO Pay Ratio” to be included in our Definitive Proxy Statement for the 2025 Annual Meeting of Stockholders, which will be filed with the SEC within 120 days after the fiscal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“Security Ownership of Certain Beneficial Owners and Management” and “Equity Compensation Plan Information” to be included in our Definitive Proxy Statement for the 2025 Annual Meeting of Stockholders, which will be filed with the SEC within 120 days after the fiscal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“Director Independence” and “Certain Relationships and Related Party Transactions” to be included in our Definitive Proxy Statement for the 2025 Annual Meeting of Stockholders, which will be filed with the SEC within 120 days after the fiscal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“Independent Registered Public Accounting Firm Fees” and “Policy on Audit Committee’s Pre-Approval of Audit and Permissible Non-Audit Services of Independent Registered Public Accounting Firm” to be included in our Definitive Proxy Statement for the 2025 Annual Meeting of Stockholders, which will be filed with the SEC within 120 days after the fiscal year ended December 31, 2024.</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with Report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67" w:lineRule="exact"/>
        <w:rPr>
          <w:rFonts w:ascii="Times New Roman" w:cs="Times New Roman" w:eastAsia="Times New Roman" w:hAnsi="Times New Roman"/>
          <w:sz w:val="18"/>
          <w:szCs w:val="18"/>
          <w:b w:val="1"/>
          <w:bCs w:val="1"/>
          <w:color w:val="auto"/>
        </w:rPr>
      </w:pPr>
    </w:p>
    <w:p>
      <w:pPr>
        <w:ind w:left="980" w:right="7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filed as part of this Annual Report on Form 10-K under Item 8, “Financial Statements and Supplementary Data”</w:t>
      </w:r>
    </w:p>
    <w:p>
      <w:pPr>
        <w:spacing w:after="0" w:line="4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6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 II - Valuation and Qualifying Accounts for the years ended December 31, 2024, 2023 and 2022</w:t>
      </w:r>
    </w:p>
    <w:p>
      <w:pPr>
        <w:spacing w:after="0" w:line="76" w:lineRule="exact"/>
        <w:rPr>
          <w:rFonts w:ascii="Times New Roman" w:cs="Times New Roman" w:eastAsia="Times New Roman" w:hAnsi="Times New Roman"/>
          <w:sz w:val="18"/>
          <w:szCs w:val="18"/>
          <w:b w:val="1"/>
          <w:bCs w:val="1"/>
          <w:color w:val="auto"/>
        </w:rPr>
      </w:pPr>
    </w:p>
    <w:p>
      <w:pPr>
        <w:ind w:left="98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4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67" w:lineRule="exact"/>
        <w:rPr>
          <w:rFonts w:ascii="Times New Roman" w:cs="Times New Roman" w:eastAsia="Times New Roman" w:hAnsi="Times New Roman"/>
          <w:sz w:val="18"/>
          <w:szCs w:val="18"/>
          <w:b w:val="1"/>
          <w:bCs w:val="1"/>
          <w:color w:val="auto"/>
        </w:rPr>
      </w:pPr>
    </w:p>
    <w:p>
      <w:pPr>
        <w:ind w:left="98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applicable, as part of this Annual Report on Form 10-K.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15"/>
                <w:szCs w:val="15"/>
                <w:color w:val="auto"/>
              </w:rPr>
            </w:pPr>
          </w:p>
        </w:tc>
        <w:tc>
          <w:tcPr>
            <w:tcW w:w="4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12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Filed/Furnished</w:t>
            </w:r>
          </w:p>
        </w:tc>
        <w:tc>
          <w:tcPr>
            <w:tcW w:w="18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4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7"/>
            <w:vMerge w:val="continue"/>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tcPr>
          <w:p>
            <w:pPr>
              <w:jc w:val="right"/>
              <w:ind w:right="95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00" w:type="dxa"/>
            <w:vAlign w:val="bottom"/>
            <w:tcBorders>
              <w:top w:val="single" w:sz="8" w:color="auto"/>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Amended and Restated Certificate of Incorporation</w:t>
              </w:r>
            </w:hyperlink>
          </w:p>
        </w:tc>
        <w:tc>
          <w:tcPr>
            <w:tcW w:w="180" w:type="dxa"/>
            <w:vAlign w:val="bottom"/>
            <w:tcBorders>
              <w:top w:val="single" w:sz="8" w:color="auto"/>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Borders>
              <w:top w:val="single" w:sz="8" w:color="auto"/>
              <w:bottom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001-39729</w:t>
            </w:r>
          </w:p>
        </w:tc>
        <w:tc>
          <w:tcPr>
            <w:tcW w:w="1100" w:type="dxa"/>
            <w:vAlign w:val="bottom"/>
            <w:tcBorders>
              <w:top w:val="single" w:sz="8" w:color="auto"/>
              <w:bottom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2021-03-09</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gridSpan w:val="7"/>
            <w:vMerge w:val="restart"/>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of the Registrant</w:t>
              </w:r>
            </w:hyperlink>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gridSpan w:val="7"/>
            <w:vMerge w:val="continue"/>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Certificate of Amendment to the Amended and</w:t>
              </w:r>
            </w:hyperlink>
          </w:p>
        </w:tc>
        <w:tc>
          <w:tcPr>
            <w:tcW w:w="640" w:type="dxa"/>
            <w:vAlign w:val="bottom"/>
            <w:gridSpan w:val="4"/>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001-39729</w:t>
            </w:r>
          </w:p>
        </w:tc>
        <w:tc>
          <w:tcPr>
            <w:tcW w:w="11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2024-05-24</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gridSpan w:val="7"/>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Restated Certificate of Incorporate of Sotera Health</w:t>
              </w:r>
            </w:hyperlink>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Company, dated May 23, 2024</w:t>
              </w:r>
            </w:hyperlink>
          </w:p>
        </w:tc>
        <w:tc>
          <w:tcPr>
            <w:tcW w:w="3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3.3</w:t>
            </w:r>
          </w:p>
        </w:tc>
        <w:tc>
          <w:tcPr>
            <w:tcW w:w="3820" w:type="dxa"/>
            <w:vAlign w:val="bottom"/>
            <w:gridSpan w:val="1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Amended and Restated Bylaws of Sotera Health</w:t>
              </w:r>
            </w:hyperlink>
          </w:p>
        </w:tc>
      </w:tr>
      <w:tr>
        <w:trPr>
          <w:trHeight w:val="169"/>
        </w:trPr>
        <w:tc>
          <w:tcPr>
            <w:tcW w:w="1460" w:type="dxa"/>
            <w:vAlign w:val="bottom"/>
          </w:tcPr>
          <w:p>
            <w:pPr>
              <w:spacing w:after="0"/>
              <w:rPr>
                <w:sz w:val="14"/>
                <w:szCs w:val="14"/>
                <w:color w:val="auto"/>
              </w:rPr>
            </w:pPr>
          </w:p>
        </w:tc>
        <w:tc>
          <w:tcPr>
            <w:tcW w:w="34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Company</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4.1</w:t>
            </w:r>
          </w:p>
        </w:tc>
        <w:tc>
          <w:tcPr>
            <w:tcW w:w="25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Description of our Common Stock</w:t>
              </w:r>
            </w:hyperlink>
          </w:p>
        </w:tc>
        <w:tc>
          <w:tcPr>
            <w:tcW w:w="1320" w:type="dxa"/>
            <w:vAlign w:val="bottom"/>
            <w:gridSpan w:val="9"/>
          </w:tcPr>
          <w:p>
            <w:pPr>
              <w:spacing w:after="0"/>
              <w:rPr>
                <w:sz w:val="24"/>
                <w:szCs w:val="24"/>
                <w:color w:val="auto"/>
              </w:rPr>
            </w:pPr>
          </w:p>
        </w:tc>
      </w:tr>
      <w:tr>
        <w:trPr>
          <w:trHeight w:val="318"/>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4.2</w:t>
            </w:r>
          </w:p>
        </w:tc>
        <w:tc>
          <w:tcPr>
            <w:tcW w:w="3820" w:type="dxa"/>
            <w:vAlign w:val="bottom"/>
            <w:gridSpan w:val="1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Registration Rights</w:t>
              </w:r>
            </w:hyperlink>
          </w:p>
        </w:tc>
      </w:tr>
      <w:tr>
        <w:trPr>
          <w:trHeight w:val="169"/>
        </w:trPr>
        <w:tc>
          <w:tcPr>
            <w:tcW w:w="1460" w:type="dxa"/>
            <w:vAlign w:val="bottom"/>
          </w:tcPr>
          <w:p>
            <w:pPr>
              <w:spacing w:after="0"/>
              <w:rPr>
                <w:sz w:val="14"/>
                <w:szCs w:val="14"/>
                <w:color w:val="auto"/>
              </w:rPr>
            </w:pPr>
          </w:p>
        </w:tc>
        <w:tc>
          <w:tcPr>
            <w:tcW w:w="312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w:t>
              </w:r>
            </w:hyperlink>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4.3</w:t>
            </w:r>
          </w:p>
        </w:tc>
        <w:tc>
          <w:tcPr>
            <w:tcW w:w="36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Indenture dated as of May 30, 2024, among Sotera</w:t>
              </w:r>
            </w:hyperlink>
          </w:p>
        </w:tc>
        <w:tc>
          <w:tcPr>
            <w:tcW w:w="160" w:type="dxa"/>
            <w:vAlign w:val="bottom"/>
            <w:gridSpan w:val="2"/>
          </w:tcPr>
          <w:p>
            <w:pPr>
              <w:spacing w:after="0"/>
              <w:rPr>
                <w:sz w:val="24"/>
                <w:szCs w:val="24"/>
                <w:color w:val="auto"/>
              </w:rPr>
            </w:pPr>
          </w:p>
        </w:tc>
      </w:tr>
      <w:tr>
        <w:trPr>
          <w:trHeight w:val="169"/>
        </w:trPr>
        <w:tc>
          <w:tcPr>
            <w:tcW w:w="1460" w:type="dxa"/>
            <w:vAlign w:val="bottom"/>
          </w:tcPr>
          <w:p>
            <w:pPr>
              <w:spacing w:after="0"/>
              <w:rPr>
                <w:sz w:val="14"/>
                <w:szCs w:val="14"/>
                <w:color w:val="auto"/>
              </w:rPr>
            </w:pPr>
          </w:p>
        </w:tc>
        <w:tc>
          <w:tcPr>
            <w:tcW w:w="3820" w:type="dxa"/>
            <w:vAlign w:val="bottom"/>
            <w:gridSpan w:val="13"/>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Health Holdings, LLC, as Issuer of the Notes, Sotera</w:t>
              </w:r>
            </w:hyperlink>
          </w:p>
        </w:tc>
      </w:tr>
      <w:tr>
        <w:trPr>
          <w:trHeight w:val="155"/>
        </w:trPr>
        <w:tc>
          <w:tcPr>
            <w:tcW w:w="1460" w:type="dxa"/>
            <w:vAlign w:val="bottom"/>
          </w:tcPr>
          <w:p>
            <w:pPr>
              <w:spacing w:after="0"/>
              <w:rPr>
                <w:sz w:val="13"/>
                <w:szCs w:val="13"/>
                <w:color w:val="auto"/>
              </w:rPr>
            </w:pPr>
          </w:p>
        </w:tc>
        <w:tc>
          <w:tcPr>
            <w:tcW w:w="38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Health Company, as Holdings, and the Guarantors</w:t>
              </w:r>
            </w:hyperlink>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36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party hereto and Wilmington Trust, National</w:t>
              </w:r>
            </w:hyperlink>
          </w:p>
        </w:tc>
        <w:tc>
          <w:tcPr>
            <w:tcW w:w="200" w:type="dxa"/>
            <w:vAlign w:val="bottom"/>
            <w:gridSpan w:val="3"/>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8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Association</w:t>
              </w:r>
            </w:hyperlink>
          </w:p>
        </w:tc>
        <w:tc>
          <w:tcPr>
            <w:tcW w:w="2340" w:type="dxa"/>
            <w:vAlign w:val="bottom"/>
            <w:tcBorders>
              <w:top w:val="single" w:sz="8" w:color="0000FF"/>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20" w:type="dxa"/>
            <w:vAlign w:val="bottom"/>
            <w:gridSpan w:val="4"/>
          </w:tcPr>
          <w:p>
            <w:pPr>
              <w:spacing w:after="0"/>
              <w:rPr>
                <w:sz w:val="14"/>
                <w:szCs w:val="14"/>
                <w:color w:val="auto"/>
              </w:rPr>
            </w:pPr>
          </w:p>
        </w:tc>
      </w:tr>
      <w:tr>
        <w:trPr>
          <w:trHeight w:val="318"/>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4.4</w:t>
            </w:r>
          </w:p>
        </w:tc>
        <w:tc>
          <w:tcPr>
            <w:tcW w:w="3820" w:type="dxa"/>
            <w:vAlign w:val="bottom"/>
            <w:gridSpan w:val="1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7.375% Senior Secured Notes due 2031</w:t>
              </w:r>
            </w:hyperlink>
          </w:p>
        </w:tc>
      </w:tr>
      <w:tr>
        <w:trPr>
          <w:trHeight w:val="318"/>
        </w:trPr>
        <w:tc>
          <w:tcPr>
            <w:tcW w:w="1460" w:type="dxa"/>
            <w:vAlign w:val="bottom"/>
          </w:tcPr>
          <w:p>
            <w:pPr>
              <w:spacing w:after="0"/>
              <w:rPr>
                <w:sz w:val="24"/>
                <w:szCs w:val="24"/>
                <w:color w:val="auto"/>
              </w:rPr>
            </w:pPr>
          </w:p>
        </w:tc>
        <w:tc>
          <w:tcPr>
            <w:tcW w:w="350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Notes Security Agreement, dated as of May 30,</w:t>
              </w:r>
            </w:hyperlink>
          </w:p>
        </w:tc>
        <w:tc>
          <w:tcPr>
            <w:tcW w:w="320" w:type="dxa"/>
            <w:vAlign w:val="bottom"/>
            <w:gridSpan w:val="4"/>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4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w w:val="97"/>
              </w:rPr>
              <w:t>4.5</w:t>
            </w:r>
          </w:p>
        </w:tc>
        <w:tc>
          <w:tcPr>
            <w:tcW w:w="3660" w:type="dxa"/>
            <w:vAlign w:val="bottom"/>
            <w:tcBorders>
              <w:bottom w:val="single" w:sz="8" w:color="0000FF"/>
            </w:tcBorders>
            <w:gridSpan w:val="3"/>
          </w:tcPr>
          <w:p>
            <w:pPr>
              <w:spacing w:after="0" w:line="17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2024, among Sotera Health Holdings, LLC, Sotera</w:t>
              </w:r>
            </w:hyperlink>
          </w:p>
        </w:tc>
        <w:tc>
          <w:tcPr>
            <w:tcW w:w="0" w:type="dxa"/>
            <w:vAlign w:val="bottom"/>
          </w:tcPr>
          <w:p>
            <w:pPr>
              <w:spacing w:after="0"/>
              <w:rPr>
                <w:sz w:val="1"/>
                <w:szCs w:val="1"/>
                <w:color w:val="auto"/>
              </w:rPr>
            </w:pPr>
          </w:p>
        </w:tc>
      </w:tr>
      <w:tr>
        <w:trPr>
          <w:trHeight w:val="102"/>
        </w:trPr>
        <w:tc>
          <w:tcPr>
            <w:tcW w:w="1460" w:type="dxa"/>
            <w:vAlign w:val="bottom"/>
            <w:vMerge w:val="continue"/>
          </w:tcPr>
          <w:p>
            <w:pPr>
              <w:spacing w:after="0"/>
              <w:rPr>
                <w:sz w:val="8"/>
                <w:szCs w:val="8"/>
                <w:color w:val="auto"/>
              </w:rPr>
            </w:pPr>
          </w:p>
        </w:tc>
        <w:tc>
          <w:tcPr>
            <w:tcW w:w="3660" w:type="dxa"/>
            <w:vAlign w:val="bottom"/>
            <w:gridSpan w:val="3"/>
            <w:vMerge w:val="restart"/>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Health Company, the other Grantors party thereto,</w:t>
              </w:r>
            </w:hyperlink>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3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2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and Wilmington Trust, National Association</w:t>
              </w:r>
            </w:hyperlink>
          </w:p>
        </w:tc>
        <w:tc>
          <w:tcPr>
            <w:tcW w:w="4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2024-11-05</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2021-03-09</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2021-03-09</w:t>
            </w:r>
          </w:p>
        </w:tc>
      </w:tr>
      <w:tr>
        <w:trPr>
          <w:trHeight w:val="79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2024-08-05</w:t>
            </w:r>
          </w:p>
        </w:tc>
      </w:tr>
      <w:tr>
        <w:trPr>
          <w:trHeight w:val="70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2024-08-05</w:t>
            </w:r>
          </w:p>
        </w:tc>
      </w:tr>
      <w:tr>
        <w:trPr>
          <w:trHeight w:val="60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2024-08-05</w:t>
            </w:r>
          </w:p>
        </w:tc>
      </w:tr>
    </w:tbl>
    <w:p>
      <w:pPr>
        <w:spacing w:after="0" w:line="359" w:lineRule="exact"/>
        <w:rPr>
          <w:sz w:val="20"/>
          <w:szCs w:val="20"/>
          <w:color w:val="auto"/>
        </w:rPr>
      </w:pPr>
    </w:p>
    <w:p>
      <w:pPr>
        <w:sectPr>
          <w:pgSz w:w="11900" w:h="16838" w:orient="portrait"/>
          <w:cols w:equalWidth="0" w:num="2">
            <w:col w:w="6480" w:space="720"/>
            <w:col w:w="4040"/>
          </w:cols>
          <w:pgMar w:left="320" w:top="13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10.1+</w:t>
            </w:r>
          </w:p>
        </w:tc>
        <w:tc>
          <w:tcPr>
            <w:tcW w:w="34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Employment Agreement by and between Sotera</w:t>
              </w:r>
            </w:hyperlink>
          </w:p>
        </w:tc>
        <w:tc>
          <w:tcPr>
            <w:tcW w:w="1280" w:type="dxa"/>
            <w:vAlign w:val="bottom"/>
            <w:gridSpan w:val="3"/>
          </w:tcPr>
          <w:p>
            <w:pPr>
              <w:spacing w:after="0"/>
              <w:rPr>
                <w:sz w:val="18"/>
                <w:szCs w:val="18"/>
                <w:color w:val="auto"/>
              </w:rPr>
            </w:pPr>
          </w:p>
        </w:tc>
        <w:tc>
          <w:tcPr>
            <w:tcW w:w="160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333-249648</w:t>
            </w: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2020-11-12</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740" w:type="dxa"/>
            <w:vAlign w:val="bottom"/>
            <w:gridSpan w:val="7"/>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Health Company and Michael B. Petras, Jr., dated as</w:t>
              </w:r>
            </w:hyperlink>
          </w:p>
        </w:tc>
        <w:tc>
          <w:tcPr>
            <w:tcW w:w="16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of November 10, 2020</w:t>
              </w:r>
            </w:hyperlink>
          </w:p>
        </w:tc>
        <w:tc>
          <w:tcPr>
            <w:tcW w:w="2160" w:type="dxa"/>
            <w:vAlign w:val="bottom"/>
            <w:tcBorders>
              <w:top w:val="single" w:sz="8" w:color="0000FF"/>
            </w:tcBorders>
            <w:gridSpan w:val="4"/>
          </w:tcPr>
          <w:p>
            <w:pPr>
              <w:spacing w:after="0"/>
              <w:rPr>
                <w:sz w:val="13"/>
                <w:szCs w:val="13"/>
                <w:color w:val="auto"/>
              </w:rPr>
            </w:pP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10.2+</w:t>
            </w:r>
          </w:p>
        </w:tc>
        <w:tc>
          <w:tcPr>
            <w:tcW w:w="33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Executed Employment Offer by Sotera Health</w:t>
              </w:r>
            </w:hyperlink>
          </w:p>
        </w:tc>
        <w:tc>
          <w:tcPr>
            <w:tcW w:w="1400" w:type="dxa"/>
            <w:vAlign w:val="bottom"/>
            <w:gridSpan w:val="4"/>
          </w:tcPr>
          <w:p>
            <w:pPr>
              <w:spacing w:after="0"/>
              <w:rPr>
                <w:sz w:val="24"/>
                <w:szCs w:val="24"/>
                <w:color w:val="auto"/>
              </w:rPr>
            </w:pPr>
          </w:p>
        </w:tc>
        <w:tc>
          <w:tcPr>
            <w:tcW w:w="160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001-39729</w:t>
            </w: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2023-02-28</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740" w:type="dxa"/>
            <w:vAlign w:val="bottom"/>
            <w:gridSpan w:val="7"/>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Company and Michael F. Biehl dated as of July 18,</w:t>
              </w:r>
            </w:hyperlink>
          </w:p>
        </w:tc>
        <w:tc>
          <w:tcPr>
            <w:tcW w:w="16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2022</w:t>
              </w:r>
            </w:hyperlink>
          </w:p>
        </w:tc>
        <w:tc>
          <w:tcPr>
            <w:tcW w:w="128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8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gridSpan w:val="35"/>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Executed Restrictive Covenants Agreement by 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between Sotera Health Company and Michael 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Biehl dated as of July 20, 2022</w:t>
              </w:r>
            </w:hyperlink>
          </w:p>
        </w:tc>
        <w:tc>
          <w:tcPr>
            <w:tcW w:w="12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Executed Employment Offer by Sotera Health</w:t>
              </w:r>
            </w:hyperlink>
          </w:p>
        </w:tc>
        <w:tc>
          <w:tcPr>
            <w:tcW w:w="540" w:type="dxa"/>
            <w:vAlign w:val="bottom"/>
            <w:gridSpan w:val="19"/>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35"/>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Company and Alex Dimitrief dated as of October 28,</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75">
              <w:r>
                <w:rPr>
                  <w:rFonts w:ascii="Times New Roman" w:cs="Times New Roman" w:eastAsia="Times New Roman" w:hAnsi="Times New Roman"/>
                  <w:sz w:val="18"/>
                  <w:szCs w:val="18"/>
                  <w:color w:val="0000FF"/>
                  <w:w w:val="94"/>
                </w:rPr>
                <w:t>2022</w:t>
              </w:r>
            </w:hyperlink>
          </w:p>
        </w:tc>
        <w:tc>
          <w:tcPr>
            <w:tcW w:w="4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17"/>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Executed Restrictive Covenants Agreement by 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w w:val="95"/>
              </w:rPr>
            </w:pPr>
            <w:hyperlink r:id="rId176">
              <w:r>
                <w:rPr>
                  <w:rFonts w:ascii="Times New Roman" w:cs="Times New Roman" w:eastAsia="Times New Roman" w:hAnsi="Times New Roman"/>
                  <w:sz w:val="18"/>
                  <w:szCs w:val="18"/>
                  <w:color w:val="0000FF"/>
                  <w:w w:val="95"/>
                </w:rPr>
                <w:t>between Sotera Health Company and Alex Dimitrief,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dated as of November 1, 2022</w:t>
              </w:r>
            </w:hyperlink>
          </w:p>
        </w:tc>
        <w:tc>
          <w:tcPr>
            <w:tcW w:w="16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Cash Retention Bonus Agreement by and between</w:t>
              </w:r>
            </w:hyperlink>
          </w:p>
        </w:tc>
        <w:tc>
          <w:tcPr>
            <w:tcW w:w="200" w:type="dxa"/>
            <w:vAlign w:val="bottom"/>
            <w:gridSpan w:val="8"/>
          </w:tcPr>
          <w:p>
            <w:pPr>
              <w:spacing w:after="0"/>
              <w:rPr>
                <w:sz w:val="18"/>
                <w:szCs w:val="18"/>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3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Michael Rutz and Sotera Health Company dated as</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of November 7, 2022</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Executed Amended and Restated Employment Offer</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by Sotera Health Company and Jonathan M. Lyons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dated as of February 26, 2024</w:t>
              </w:r>
            </w:hyperlink>
          </w:p>
        </w:tc>
        <w:tc>
          <w:tcPr>
            <w:tcW w:w="1560" w:type="dxa"/>
            <w:vAlign w:val="bottom"/>
            <w:tcBorders>
              <w:top w:val="single" w:sz="8" w:color="0000FF"/>
            </w:tcBorders>
            <w:gridSpan w:val="21"/>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Executed Restrictive Covenants Agreement by 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between Sotera Health Company and Jonathan M.</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Lyons dated as of June 26, 2023</w:t>
              </w:r>
            </w:hyperlink>
          </w:p>
        </w:tc>
        <w:tc>
          <w:tcPr>
            <w:tcW w:w="13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Sotera Health Company Supplemental Retirement</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Benefit Plan, effective as of January 1, 2018</w:t>
              </w:r>
            </w:hyperlink>
          </w:p>
        </w:tc>
        <w:tc>
          <w:tcPr>
            <w:tcW w:w="4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Sotera Health Company 2020 Omnibus Incentive</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Plan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Sotera Health Company 2020 Omnibus</w:t>
              </w:r>
            </w:hyperlink>
          </w:p>
        </w:tc>
        <w:tc>
          <w:tcPr>
            <w:tcW w:w="380" w:type="dxa"/>
            <w:vAlign w:val="bottom"/>
            <w:gridSpan w:val="17"/>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35"/>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Incentive Plan Restricted Stock Unit Grant Notice</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and Agreement</w:t>
              </w:r>
            </w:hyperlink>
          </w:p>
        </w:tc>
        <w:tc>
          <w:tcPr>
            <w:tcW w:w="60" w:type="dxa"/>
            <w:vAlign w:val="bottom"/>
            <w:gridSpan w:val="3"/>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Sotera Health Company 2020 Omnibus</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Incentive Plan Stock Option Grant Notice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Agreement</w:t>
              </w:r>
            </w:hyperlink>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Indemnification Agreement entered into</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between the Registrant and each director and</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executive officer</w:t>
              </w:r>
            </w:hyperlink>
          </w:p>
        </w:tc>
        <w:tc>
          <w:tcPr>
            <w:tcW w:w="2020" w:type="dxa"/>
            <w:vAlign w:val="bottom"/>
            <w:tcBorders>
              <w:top w:val="single" w:sz="8" w:color="0000FF"/>
            </w:tcBorders>
            <w:gridSpan w:val="9"/>
          </w:tcPr>
          <w:p>
            <w:pPr>
              <w:spacing w:after="0"/>
              <w:rPr>
                <w:sz w:val="14"/>
                <w:szCs w:val="14"/>
                <w:color w:val="auto"/>
              </w:rPr>
            </w:pPr>
          </w:p>
        </w:tc>
        <w:tc>
          <w:tcPr>
            <w:tcW w:w="28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Stockholders Agreement</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2019 Credit Agreement, dated as of December 13,</w:t>
              </w:r>
            </w:hyperlink>
          </w:p>
        </w:tc>
        <w:tc>
          <w:tcPr>
            <w:tcW w:w="200" w:type="dxa"/>
            <w:vAlign w:val="bottom"/>
            <w:gridSpan w:val="9"/>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35"/>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2019, among the Registrant, Sotera Health Holdings,</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LLC, the lenders and issuing banks party thereto and</w:t>
              </w:r>
            </w:hyperlink>
          </w:p>
        </w:tc>
        <w:tc>
          <w:tcPr>
            <w:tcW w:w="40" w:type="dxa"/>
            <w:vAlign w:val="bottom"/>
            <w:gridSpan w:val="2"/>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Jefferies Finance LLC, as first lien administrative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agent and first lien collateral agent</w:t>
              </w:r>
            </w:hyperlink>
          </w:p>
        </w:tc>
        <w:tc>
          <w:tcPr>
            <w:tcW w:w="1080" w:type="dxa"/>
            <w:vAlign w:val="bottom"/>
            <w:tcBorders>
              <w:top w:val="single" w:sz="8" w:color="0000FF"/>
            </w:tcBorders>
            <w:gridSpan w:val="10"/>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Guarantee Agreement, dated as of December 13,</w:t>
              </w:r>
            </w:hyperlink>
          </w:p>
        </w:tc>
        <w:tc>
          <w:tcPr>
            <w:tcW w:w="360" w:type="dxa"/>
            <w:vAlign w:val="bottom"/>
            <w:gridSpan w:val="16"/>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2019, among the Registrant, Sotera Health Holdings,</w:t>
              </w:r>
            </w:hyperlink>
          </w:p>
        </w:tc>
        <w:tc>
          <w:tcPr>
            <w:tcW w:w="20" w:type="dxa"/>
            <w:vAlign w:val="bottom"/>
          </w:tcPr>
          <w:p>
            <w:pPr>
              <w:spacing w:after="0"/>
              <w:rPr>
                <w:sz w:val="13"/>
                <w:szCs w:val="13"/>
                <w:color w:val="auto"/>
              </w:rPr>
            </w:pPr>
          </w:p>
        </w:tc>
      </w:tr>
    </w:tbl>
    <w:p>
      <w:pPr>
        <w:ind w:left="1480" w:right="100"/>
        <w:spacing w:after="0" w:line="226"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LLC, the other guarantors party thereto and Jefferies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Finance LLC, as first lien collateral agent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8058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39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59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2024-02-27</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2023-08-03</w:t>
            </w:r>
          </w:p>
        </w:tc>
      </w:tr>
      <w:tr>
        <w:trPr>
          <w:trHeight w:val="621"/>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52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60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2020-11-02</w:t>
            </w:r>
          </w:p>
        </w:tc>
      </w:tr>
      <w:tr>
        <w:trPr>
          <w:trHeight w:val="52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2021-03-09</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97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bl>
    <w:p>
      <w:pPr>
        <w:spacing w:after="0" w:line="468" w:lineRule="exact"/>
        <w:rPr>
          <w:sz w:val="20"/>
          <w:szCs w:val="20"/>
          <w:color w:val="auto"/>
        </w:rPr>
      </w:pPr>
    </w:p>
    <w:p>
      <w:pPr>
        <w:sectPr>
          <w:pgSz w:w="11900" w:h="16838" w:orient="portrait"/>
          <w:cols w:equalWidth="0" w:num="3">
            <w:col w:w="5360" w:space="180"/>
            <w:col w:w="1240" w:space="200"/>
            <w:col w:w="4260"/>
          </w:cols>
          <w:pgMar w:left="320" w:top="130"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92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2"/>
        </w:trPr>
        <w:tc>
          <w:tcPr>
            <w:tcW w:w="1300" w:type="dxa"/>
            <w:vAlign w:val="bottom"/>
            <w:tcBorders>
              <w:top w:val="single" w:sz="8" w:color="auto"/>
            </w:tcBorders>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gridSpan w:val="30"/>
          </w:tcPr>
          <w:p>
            <w:pPr>
              <w:spacing w:after="0" w:line="182"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Collateral Agreement, dated as of December 13,</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0"/>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2019, among the Registrant, Sotera Health Holdings,</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LLC, the other guarantors party thereto and Jefferies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Finance LLC, as first lien collateral agent</w:t>
              </w:r>
            </w:hyperlink>
          </w:p>
        </w:tc>
        <w:tc>
          <w:tcPr>
            <w:tcW w:w="8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Patent Security Agreement, dated as of December</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13, 2019, between Sterigenics U.S., LLC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Jefferies Finance LLC, as collateral agent</w:t>
              </w:r>
            </w:hyperlink>
          </w:p>
        </w:tc>
        <w:tc>
          <w:tcPr>
            <w:tcW w:w="24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Trademark Security Agreement, dated as of</w:t>
              </w:r>
            </w:hyperlink>
          </w:p>
        </w:tc>
        <w:tc>
          <w:tcPr>
            <w:tcW w:w="760" w:type="dxa"/>
            <w:vAlign w:val="bottom"/>
            <w:gridSpan w:val="21"/>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0"/>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December 13, 2019, between Sterigenics U.S., LLC</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Jefferies Finance LLC, as collateral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Trademark Security Agreement, dated as of</w:t>
              </w:r>
            </w:hyperlink>
          </w:p>
        </w:tc>
        <w:tc>
          <w:tcPr>
            <w:tcW w:w="140" w:type="dxa"/>
            <w:vAlign w:val="bottom"/>
            <w:tcBorders>
              <w:top w:val="single" w:sz="8" w:color="0000FF"/>
            </w:tcBorders>
            <w:gridSpan w:val="2"/>
          </w:tcPr>
          <w:p>
            <w:pPr>
              <w:spacing w:after="0"/>
              <w:rPr>
                <w:sz w:val="24"/>
                <w:szCs w:val="24"/>
                <w:color w:val="auto"/>
              </w:rPr>
            </w:pPr>
          </w:p>
        </w:tc>
        <w:tc>
          <w:tcPr>
            <w:tcW w:w="620" w:type="dxa"/>
            <w:vAlign w:val="bottom"/>
            <w:gridSpan w:val="19"/>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0"/>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December 13, 2019, between Nelson Laboratories,</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LLC and Jefferies Finance LLC, as collateral agent</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Trademark Security Agreement, dated as of</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December 13, 2019, between Sotera Health</w:t>
              </w:r>
            </w:hyperlink>
          </w:p>
        </w:tc>
        <w:tc>
          <w:tcPr>
            <w:tcW w:w="780" w:type="dxa"/>
            <w:vAlign w:val="bottom"/>
            <w:gridSpan w:val="22"/>
          </w:tcPr>
          <w:p>
            <w:pPr>
              <w:jc w:val="right"/>
              <w:ind w:right="100"/>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LLC and</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Jefferies Finance LLC, as collateral agent</w:t>
              </w:r>
            </w:hyperlink>
          </w:p>
        </w:tc>
        <w:tc>
          <w:tcPr>
            <w:tcW w:w="8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Copyright Security Agreement, dated as of</w:t>
              </w:r>
            </w:hyperlink>
          </w:p>
        </w:tc>
        <w:tc>
          <w:tcPr>
            <w:tcW w:w="820" w:type="dxa"/>
            <w:vAlign w:val="bottom"/>
            <w:gridSpan w:val="23"/>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0"/>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December 13, 2019, among Jefferies Finance LLC</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and Nelson Laboratories, LLC, as collateral agent</w:t>
              </w:r>
            </w:hyperlink>
          </w:p>
        </w:tc>
        <w:tc>
          <w:tcPr>
            <w:tcW w:w="40" w:type="dxa"/>
            <w:vAlign w:val="bottom"/>
            <w:tcBorders>
              <w:top w:val="single" w:sz="8" w:color="0000FF"/>
            </w:tcBorders>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First Lien Pari Passu Intercreditor Agreement, dated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as of July 31, 2020, among Sotera Health Holdings,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LLC, the Registrant, Jefferies Finance LLC as</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3"/>
              </w:rPr>
            </w:pPr>
            <w:hyperlink r:id="rId197">
              <w:r>
                <w:rPr>
                  <w:rFonts w:ascii="Times New Roman" w:cs="Times New Roman" w:eastAsia="Times New Roman" w:hAnsi="Times New Roman"/>
                  <w:sz w:val="18"/>
                  <w:szCs w:val="18"/>
                  <w:color w:val="0000FF"/>
                  <w:w w:val="93"/>
                </w:rPr>
                <w:t>Collateral Agent and Authorized Representative,</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16"/>
          </w:tcPr>
          <w:p>
            <w:pPr>
              <w:jc w:val="right"/>
              <w:ind w:right="100"/>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Wilmington Trust, National Association as</w:t>
              </w:r>
            </w:hyperlink>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Additional First Lien Collateral Agent and</w:t>
              </w:r>
            </w:hyperlink>
          </w:p>
        </w:tc>
        <w:tc>
          <w:tcPr>
            <w:tcW w:w="840" w:type="dxa"/>
            <w:vAlign w:val="bottom"/>
            <w:gridSpan w:val="24"/>
          </w:tcPr>
          <w:p>
            <w:pPr>
              <w:ind w:left="40"/>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Initial</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Authorized Representative</w:t>
              </w:r>
            </w:hyperlink>
          </w:p>
        </w:tc>
        <w:tc>
          <w:tcPr>
            <w:tcW w:w="22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First Lien Collateral Agreement, dated as of July 31,</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2020, among the Registrant, Sotera Health Holdings,</w:t>
              </w:r>
            </w:hyperlink>
          </w:p>
        </w:tc>
        <w:tc>
          <w:tcPr>
            <w:tcW w:w="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LLC, the other grantors party thereto and</w:t>
              </w:r>
            </w:hyperlink>
          </w:p>
        </w:tc>
        <w:tc>
          <w:tcPr>
            <w:tcW w:w="60" w:type="dxa"/>
            <w:vAlign w:val="bottom"/>
            <w:gridSpan w:val="3"/>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Wilmington Trust, National Association,</w:t>
              </w:r>
            </w:hyperlink>
          </w:p>
        </w:tc>
        <w:tc>
          <w:tcPr>
            <w:tcW w:w="960" w:type="dxa"/>
            <w:vAlign w:val="bottom"/>
            <w:gridSpan w:val="27"/>
          </w:tcPr>
          <w:p>
            <w:pPr>
              <w:jc w:val="right"/>
              <w:ind w:right="140"/>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as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notes collateral agent</w:t>
              </w:r>
            </w:hyperlink>
          </w:p>
        </w:tc>
        <w:tc>
          <w:tcPr>
            <w:tcW w:w="226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1"/>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Patent Security Agreement, dated as of July 31,</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2020, between Sterigenics U.S., LLC and</w:t>
              </w:r>
            </w:hyperlink>
          </w:p>
        </w:tc>
        <w:tc>
          <w:tcPr>
            <w:tcW w:w="280" w:type="dxa"/>
            <w:vAlign w:val="bottom"/>
            <w:gridSpan w:val="9"/>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Wilmington Trust, National Association,</w:t>
              </w:r>
            </w:hyperlink>
          </w:p>
        </w:tc>
        <w:tc>
          <w:tcPr>
            <w:tcW w:w="920" w:type="dxa"/>
            <w:vAlign w:val="bottom"/>
            <w:gridSpan w:val="26"/>
          </w:tcPr>
          <w:p>
            <w:pPr>
              <w:jc w:val="right"/>
              <w:ind w:right="140"/>
              <w:spacing w:after="0" w:line="169" w:lineRule="exact"/>
              <w:rPr>
                <w:rFonts w:ascii="Times New Roman" w:cs="Times New Roman" w:eastAsia="Times New Roman" w:hAnsi="Times New Roman"/>
                <w:sz w:val="18"/>
                <w:szCs w:val="18"/>
                <w:color w:val="0000FF"/>
                <w:w w:val="94"/>
              </w:rPr>
            </w:pPr>
            <w:hyperlink r:id="rId199">
              <w:r>
                <w:rPr>
                  <w:rFonts w:ascii="Times New Roman" w:cs="Times New Roman" w:eastAsia="Times New Roman" w:hAnsi="Times New Roman"/>
                  <w:sz w:val="18"/>
                  <w:szCs w:val="18"/>
                  <w:color w:val="0000FF"/>
                  <w:w w:val="94"/>
                </w:rPr>
                <w:t>as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notes collateral agent</w:t>
              </w:r>
            </w:hyperlink>
          </w:p>
        </w:tc>
        <w:tc>
          <w:tcPr>
            <w:tcW w:w="226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0"/>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Trademark Security Agreement, dated as of July 31,</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2020, between Sotera Health Holdings LLC and</w:t>
              </w:r>
            </w:hyperlink>
          </w:p>
        </w:tc>
        <w:tc>
          <w:tcPr>
            <w:tcW w:w="28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r>
    </w:tbl>
    <w:p>
      <w:pPr>
        <w:ind w:left="1480" w:right="100"/>
        <w:spacing w:after="0" w:line="226"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Wilmington Trust, National Association, as first lien</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notes collateral agent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Filed/Furnished</w:t>
      </w: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8058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90170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49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78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70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10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124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97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87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bl>
    <w:p>
      <w:pPr>
        <w:sectPr>
          <w:pgSz w:w="11900" w:h="16838" w:orient="portrait"/>
          <w:cols w:equalWidth="0" w:num="3">
            <w:col w:w="5360" w:space="120"/>
            <w:col w:w="1300" w:space="200"/>
            <w:col w:w="4260"/>
          </w:cols>
          <w:pgMar w:left="320" w:top="130"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90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gridSpan w:val="36"/>
          </w:tcPr>
          <w:p>
            <w:pPr>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Copyright Security Agreement, dated as of July 31,</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2020, between Nelson Laboratories, LLC and</w:t>
              </w:r>
            </w:hyperlink>
          </w:p>
        </w:tc>
        <w:tc>
          <w:tcPr>
            <w:tcW w:w="4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36"/>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Wilmington Trust, National Association, as first lien</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notes collateral agent</w:t>
              </w:r>
            </w:hyperlink>
          </w:p>
        </w:tc>
        <w:tc>
          <w:tcPr>
            <w:tcW w:w="23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390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Restated Supply Agreement, dated as of October 6,</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6"/>
              </w:rPr>
            </w:pPr>
            <w:hyperlink r:id="rId205">
              <w:r>
                <w:rPr>
                  <w:rFonts w:ascii="Times New Roman" w:cs="Times New Roman" w:eastAsia="Times New Roman" w:hAnsi="Times New Roman"/>
                  <w:sz w:val="18"/>
                  <w:szCs w:val="18"/>
                  <w:color w:val="0000FF"/>
                  <w:w w:val="96"/>
                </w:rPr>
                <w:t>2020, between Balchem Corporation and Sterigenics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gridSpan w:val="34"/>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U.S., LLC, Sterigenics S. De R.L. De C.V.,</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4"/>
              </w:rPr>
            </w:pPr>
            <w:hyperlink r:id="rId205">
              <w:r>
                <w:rPr>
                  <w:rFonts w:ascii="Times New Roman" w:cs="Times New Roman" w:eastAsia="Times New Roman" w:hAnsi="Times New Roman"/>
                  <w:sz w:val="18"/>
                  <w:szCs w:val="18"/>
                  <w:color w:val="0000FF"/>
                  <w:w w:val="94"/>
                </w:rPr>
                <w:t>Sterigenics Costa Rica S.R.L. and Sterigenics</w:t>
              </w:r>
            </w:hyperlink>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5"/>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EO</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Canada,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3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Restricted Stock Agreement and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Acknowledgement</w:t>
              </w:r>
            </w:hyperlink>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Non-Employee Director Compensation Policy</w:t>
              </w:r>
            </w:hyperlink>
          </w:p>
        </w:tc>
        <w:tc>
          <w:tcPr>
            <w:tcW w:w="5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Employment Agreement by and between Sotera</w:t>
              </w:r>
            </w:hyperlink>
          </w:p>
        </w:tc>
        <w:tc>
          <w:tcPr>
            <w:tcW w:w="4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36"/>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Health LLC and Michael P. Rutz, dated as of May</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21, 2020</w:t>
              </w:r>
            </w:hyperlink>
          </w:p>
        </w:tc>
        <w:tc>
          <w:tcPr>
            <w:tcW w:w="2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Incremental Facility Amendment to the 2019 Credit</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Agreement, dated as of December 17, 2020, among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Sotera Health Company, Sotera Health Holdings,</w:t>
              </w:r>
            </w:hyperlink>
          </w:p>
        </w:tc>
        <w:tc>
          <w:tcPr>
            <w:tcW w:w="16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36"/>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LLC, the Incremental Amendment Revolving Lends</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party thereto, Jefferies Finance LLC, as First Lien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Administrative Agent, each Issuing Bank and the</w:t>
              </w:r>
            </w:hyperlink>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Other Loan Parties</w:t>
              </w:r>
            </w:hyperlink>
          </w:p>
        </w:tc>
        <w:tc>
          <w:tcPr>
            <w:tcW w:w="60" w:type="dxa"/>
            <w:vAlign w:val="bottom"/>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3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Refinancing Amendment to the First Lien 2019</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Credit Agreement, dated as of January 20, 2021,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19"/>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among Sotera Health Company, Sotera Health</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Holdings, LLC, the Refinancing Lenders Party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36"/>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thereto, the Revolving Lenders party to the First Lien</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Credit Agreement and Jefferies Finance LLC,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First Lien Administrative Agent and First Lien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Collateral Agent</w:t>
              </w:r>
            </w:hyperlink>
          </w:p>
        </w:tc>
        <w:tc>
          <w:tcPr>
            <w:tcW w:w="2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3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Revolving Facilities Amendment to the 2019 Credit</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Agreement, dated as of March 26, 2021, among</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6"/>
              </w:rPr>
            </w:pPr>
            <w:hyperlink r:id="rId211">
              <w:r>
                <w:rPr>
                  <w:rFonts w:ascii="Times New Roman" w:cs="Times New Roman" w:eastAsia="Times New Roman" w:hAnsi="Times New Roman"/>
                  <w:sz w:val="18"/>
                  <w:szCs w:val="18"/>
                  <w:color w:val="0000FF"/>
                  <w:w w:val="96"/>
                </w:rPr>
                <w:t>Sotera Health Company, Sotera Health Holdings,</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2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LLC, the Refinancing Lenders Party thereto, the</w:t>
              </w:r>
            </w:hyperlink>
          </w:p>
        </w:tc>
        <w:tc>
          <w:tcPr>
            <w:tcW w:w="80" w:type="dxa"/>
            <w:vAlign w:val="bottom"/>
            <w:gridSpan w:val="4"/>
          </w:tcPr>
          <w:p>
            <w:pPr>
              <w:spacing w:after="0"/>
              <w:rPr>
                <w:sz w:val="13"/>
                <w:szCs w:val="13"/>
                <w:color w:val="auto"/>
              </w:rPr>
            </w:pPr>
          </w:p>
        </w:tc>
        <w:tc>
          <w:tcPr>
            <w:tcW w:w="1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Revolving Lenders party to the First Lien Credit</w:t>
              </w:r>
            </w:hyperlink>
          </w:p>
        </w:tc>
        <w:tc>
          <w:tcPr>
            <w:tcW w:w="20" w:type="dxa"/>
            <w:vAlign w:val="bottom"/>
            <w:tcBorders>
              <w:bottom w:val="single" w:sz="8" w:color="0000FF"/>
            </w:tcBorders>
          </w:tcPr>
          <w:p>
            <w:pPr>
              <w:spacing w:after="0"/>
              <w:rPr>
                <w:sz w:val="13"/>
                <w:szCs w:val="13"/>
                <w:color w:val="auto"/>
              </w:rPr>
            </w:pPr>
          </w:p>
        </w:tc>
        <w:tc>
          <w:tcPr>
            <w:tcW w:w="400" w:type="dxa"/>
            <w:vAlign w:val="bottom"/>
            <w:gridSpan w:val="18"/>
            <w:vMerge w:val="restart"/>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Lien</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gridSpan w:val="18"/>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Agreement and Jefferies Finance LLC, as First</w:t>
              </w:r>
            </w:hyperlink>
          </w:p>
        </w:tc>
        <w:tc>
          <w:tcPr>
            <w:tcW w:w="4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Administrative Agent and First Lien Collateral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Agent</w:t>
              </w:r>
            </w:hyperlink>
          </w:p>
        </w:tc>
        <w:tc>
          <w:tcPr>
            <w:tcW w:w="240" w:type="dxa"/>
            <w:vAlign w:val="bottom"/>
            <w:gridSpan w:val="12"/>
          </w:tcPr>
          <w:p>
            <w:pPr>
              <w:spacing w:after="0"/>
              <w:rPr>
                <w:sz w:val="13"/>
                <w:szCs w:val="13"/>
                <w:color w:val="auto"/>
              </w:rPr>
            </w:pPr>
          </w:p>
        </w:tc>
        <w:tc>
          <w:tcPr>
            <w:tcW w:w="22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0" w:type="dxa"/>
            <w:vAlign w:val="bottom"/>
            <w:gridSpan w:val="2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to First Lien 2019 Credit Agreement,</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dated as of December 23, 2021 by and among Sotera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480" w:right="100"/>
        <w:spacing w:after="0" w:line="209"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Health Company, Sotera Health Holdings, LLC, and</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JPMorgan Chase Bank, N.A. as First Lien</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Administrative Agent and First Lien Collateral</w:t>
        </w:r>
      </w:hyperlink>
    </w:p>
    <w:p>
      <w:pPr>
        <w:spacing w:after="0" w:line="1" w:lineRule="exact"/>
        <w:rPr>
          <w:rFonts w:ascii="Times New Roman" w:cs="Times New Roman" w:eastAsia="Times New Roman" w:hAnsi="Times New Roman"/>
          <w:sz w:val="18"/>
          <w:szCs w:val="18"/>
          <w:u w:val="single" w:color="auto"/>
          <w:color w:val="0000FF"/>
        </w:rPr>
      </w:pPr>
    </w:p>
    <w:p>
      <w:pPr>
        <w:ind w:left="148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9" w:lineRule="exact"/>
        <w:rPr>
          <w:rFonts w:ascii="Times New Roman" w:cs="Times New Roman" w:eastAsia="Times New Roman" w:hAnsi="Times New Roman"/>
          <w:sz w:val="18"/>
          <w:szCs w:val="18"/>
          <w:u w:val="single" w:color="auto"/>
          <w:color w:val="0000FF"/>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Filed/Furnished</w:t>
      </w: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805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-3486785</wp:posOffset>
            </wp:positionH>
            <wp:positionV relativeFrom="paragraph">
              <wp:posOffset>90170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5"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49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2020-10-23</w:t>
            </w:r>
          </w:p>
        </w:tc>
      </w:tr>
      <w:tr>
        <w:trPr>
          <w:trHeight w:val="97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2020-11-18</w:t>
            </w:r>
          </w:p>
        </w:tc>
      </w:tr>
      <w:tr>
        <w:trPr>
          <w:trHeight w:val="79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333-249648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2020-11-12</w:t>
            </w:r>
          </w:p>
        </w:tc>
      </w:tr>
      <w:tr>
        <w:trPr>
          <w:trHeight w:val="51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2021-03-09</w:t>
            </w:r>
          </w:p>
        </w:tc>
      </w:tr>
      <w:tr>
        <w:trPr>
          <w:trHeight w:val="106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2021-03-09</w:t>
            </w:r>
          </w:p>
        </w:tc>
      </w:tr>
      <w:tr>
        <w:trPr>
          <w:trHeight w:val="151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2021-03-09</w:t>
            </w:r>
          </w:p>
        </w:tc>
      </w:tr>
      <w:tr>
        <w:trPr>
          <w:trHeight w:val="160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2021-05-13</w:t>
            </w:r>
          </w:p>
        </w:tc>
      </w:tr>
      <w:tr>
        <w:trPr>
          <w:trHeight w:val="141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2022-03-01</w:t>
            </w:r>
          </w:p>
        </w:tc>
      </w:tr>
    </w:tbl>
    <w:p>
      <w:pPr>
        <w:sectPr>
          <w:pgSz w:w="11900" w:h="16838" w:orient="portrait"/>
          <w:cols w:equalWidth="0" w:num="3">
            <w:col w:w="5360" w:space="120"/>
            <w:col w:w="1300" w:space="200"/>
            <w:col w:w="4260"/>
          </w:cols>
          <w:pgMar w:left="320" w:top="130"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98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28"/>
        </w:trPr>
        <w:tc>
          <w:tcPr>
            <w:tcW w:w="13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33"/>
            <w:vMerge w:val="restart"/>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Amendment to First Lien 2019 Credit Agreement,</w:t>
              </w:r>
            </w:hyperlink>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80" w:type="dxa"/>
            <w:vAlign w:val="bottom"/>
            <w:gridSpan w:val="3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dated as of March 24, 2022, by and among Sotera</w:t>
              </w:r>
            </w:hyperlink>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Health Company, Sotera Health Holdings, LLC, and</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JPMorgan Chase Bank, N.A. as First Lien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Administrative Agent</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2023 Credit Agreement dated as of February 23,</w:t>
              </w:r>
            </w:hyperlink>
          </w:p>
        </w:tc>
        <w:tc>
          <w:tcPr>
            <w:tcW w:w="4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2023 among the Registrant, Sotera Health Holdings,</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LLC, the Lenders party thereto and JPMorgan Chase</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28"/>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Bank, N.A., as First Lien Administrative Agent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First Lien Collateral Agent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First Lien Guarantee Agreement dated as of February</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23, 2023, among the Registrant, Sotera Health</w:t>
              </w:r>
            </w:hyperlink>
          </w:p>
        </w:tc>
        <w:tc>
          <w:tcPr>
            <w:tcW w:w="6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33"/>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Holdings, LLC, the other guarantors party thereto</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and JPMorgan Chase Bank, N.A., as First Lien</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Collateral Agent</w:t>
              </w:r>
            </w:hyperlink>
          </w:p>
        </w:tc>
        <w:tc>
          <w:tcPr>
            <w:tcW w:w="218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Lien Collateral Agreement dated as of February</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23, 2023, among the Registrant, Sotera Health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Holdings, LLC, the other grantors party thereto</w:t>
              </w:r>
            </w:hyperlink>
          </w:p>
        </w:tc>
        <w:tc>
          <w:tcPr>
            <w:tcW w:w="20" w:type="dxa"/>
            <w:vAlign w:val="bottom"/>
          </w:tcPr>
          <w:p>
            <w:pPr>
              <w:spacing w:after="0"/>
              <w:rPr>
                <w:sz w:val="14"/>
                <w:szCs w:val="14"/>
                <w:color w:val="auto"/>
              </w:rPr>
            </w:pPr>
          </w:p>
        </w:tc>
        <w:tc>
          <w:tcPr>
            <w:tcW w:w="620" w:type="dxa"/>
            <w:vAlign w:val="bottom"/>
            <w:gridSpan w:val="25"/>
          </w:tcPr>
          <w:p>
            <w:pPr>
              <w:ind w:left="100"/>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6"/>
              </w:rPr>
            </w:pPr>
            <w:hyperlink r:id="rId219">
              <w:r>
                <w:rPr>
                  <w:rFonts w:ascii="Times New Roman" w:cs="Times New Roman" w:eastAsia="Times New Roman" w:hAnsi="Times New Roman"/>
                  <w:sz w:val="18"/>
                  <w:szCs w:val="18"/>
                  <w:color w:val="0000FF"/>
                  <w:w w:val="96"/>
                </w:rPr>
                <w:t>JPMorgan Chase Bank, N.A., as First Lien Collateral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0"/>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Agent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First Lien Pari Passu Intercreditor Agreement dated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as of February 23, 2023, among Sotera Health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33"/>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Holdings, LLC, the Registrant, the other grantors</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party thereto and JPMorgan Chase Bank, N.A.</w:t>
              </w:r>
            </w:hyperlink>
          </w:p>
        </w:tc>
        <w:tc>
          <w:tcPr>
            <w:tcW w:w="180" w:type="dxa"/>
            <w:vAlign w:val="bottom"/>
            <w:tcBorders>
              <w:top w:val="single" w:sz="8" w:color="0000FF"/>
            </w:tcBorders>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Copyright Security Agreement, dated as of February</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23, 2023, among Nelson Laboratories, LLC and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221">
              <w:r>
                <w:rPr>
                  <w:rFonts w:ascii="Times New Roman" w:cs="Times New Roman" w:eastAsia="Times New Roman" w:hAnsi="Times New Roman"/>
                  <w:sz w:val="18"/>
                  <w:szCs w:val="18"/>
                  <w:color w:val="0000FF"/>
                  <w:w w:val="98"/>
                </w:rPr>
                <w:t>JPMorgan Chase Bank, N.A., as collateral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Trademark Security Agreement, dated as of February</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23, 2023, among Nelson Laboratories Bozeman,</w:t>
              </w:r>
            </w:hyperlink>
          </w:p>
        </w:tc>
        <w:tc>
          <w:tcPr>
            <w:tcW w:w="4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33"/>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LLC and JPMorgan Chase Bank, N.A., as collateral</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agent</w:t>
              </w:r>
            </w:hyperlink>
          </w:p>
        </w:tc>
        <w:tc>
          <w:tcPr>
            <w:tcW w:w="334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Trademark Security Agreement, dated as of February</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23, 2023, among Regulatory Compliance Associates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 and JPMorgan Chase Bank, N.A., as collateral</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agent</w:t>
              </w:r>
            </w:hyperlink>
          </w:p>
        </w:tc>
        <w:tc>
          <w:tcPr>
            <w:tcW w:w="32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Trademark Security Agreement, dated as of February</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23, 2023, among Sotera Health Holdings, LLC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JPMorgan Chase Bank, N.A., as collateral agent</w:t>
              </w:r>
            </w:hyperlink>
          </w:p>
        </w:tc>
        <w:tc>
          <w:tcPr>
            <w:tcW w:w="2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Incremental Facility Amendment No. 2, dated as of</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March 21, 2023, to the First Lien Credit Agreement</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ind w:left="1480" w:right="60"/>
        <w:spacing w:after="0" w:line="209"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dated as of December 13, 2019 by and among Sotera</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Health Company, Sotera Health Holdings, LLC,</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certain subsidiaries of Sotera Health Company,</w:t>
        </w:r>
      </w:hyperlink>
    </w:p>
    <w:p>
      <w:pPr>
        <w:spacing w:after="0" w:line="1" w:lineRule="exact"/>
        <w:rPr>
          <w:rFonts w:ascii="Times New Roman" w:cs="Times New Roman" w:eastAsia="Times New Roman" w:hAnsi="Times New Roman"/>
          <w:sz w:val="18"/>
          <w:szCs w:val="18"/>
          <w:u w:val="single" w:color="auto"/>
          <w:color w:val="0000FF"/>
        </w:rPr>
      </w:pPr>
    </w:p>
    <w:p>
      <w:pPr>
        <w:ind w:left="1480" w:right="320"/>
        <w:spacing w:after="0" w:line="218"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JPMorgan Chase Bank, N.A., as First Lien</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Administrative Agent and the lenders and issuing</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banks party thereto</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9"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-6350</wp:posOffset>
            </wp:positionH>
            <wp:positionV relativeFrom="paragraph">
              <wp:posOffset>13335</wp:posOffset>
            </wp:positionV>
            <wp:extent cx="8058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5" w:lineRule="exact"/>
        <w:rPr>
          <w:rFonts w:ascii="Times New Roman" w:cs="Times New Roman" w:eastAsia="Times New Roman" w:hAnsi="Times New Roman"/>
          <w:sz w:val="18"/>
          <w:szCs w:val="18"/>
          <w:u w:val="single" w:color="auto"/>
          <w:color w:val="0000FF"/>
        </w:rPr>
      </w:pPr>
    </w:p>
    <w:p>
      <w:pPr>
        <w:spacing w:after="0"/>
        <w:tabs>
          <w:tab w:leader="none" w:pos="960" w:val="left"/>
          <w:tab w:leader="none" w:pos="2020" w:val="left"/>
          <w:tab w:leader="none" w:pos="2960" w:val="left"/>
        </w:tabs>
        <w:rPr>
          <w:sz w:val="20"/>
          <w:szCs w:val="20"/>
          <w:color w:val="auto"/>
        </w:rPr>
      </w:pP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-130175</wp:posOffset>
            </wp:positionH>
            <wp:positionV relativeFrom="paragraph">
              <wp:posOffset>19685</wp:posOffset>
            </wp:positionV>
            <wp:extent cx="27089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66"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1"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0"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10.39</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0"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5"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376"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390"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363" w:lineRule="exact"/>
        <w:rPr>
          <w:rFonts w:ascii="Times New Roman" w:cs="Times New Roman" w:eastAsia="Times New Roman" w:hAnsi="Times New Roman"/>
          <w:sz w:val="18"/>
          <w:szCs w:val="18"/>
          <w:u w:val="single" w:color="auto"/>
          <w:color w:val="0000FF"/>
        </w:rPr>
      </w:pPr>
    </w:p>
    <w:p>
      <w:pPr>
        <w:ind w:left="20"/>
        <w:spacing w:after="0"/>
        <w:tabs>
          <w:tab w:leader="none" w:pos="860" w:val="left"/>
          <w:tab w:leader="none" w:pos="210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7"/>
          <w:szCs w:val="17"/>
          <w:color w:val="auto"/>
        </w:rPr>
        <w:t>2023-02-28</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4" w:lineRule="exact"/>
        <w:rPr>
          <w:rFonts w:ascii="Times New Roman" w:cs="Times New Roman" w:eastAsia="Times New Roman" w:hAnsi="Times New Roman"/>
          <w:sz w:val="18"/>
          <w:szCs w:val="18"/>
          <w:u w:val="single" w:color="auto"/>
          <w:color w:val="0000FF"/>
        </w:rPr>
      </w:pPr>
    </w:p>
    <w:p>
      <w:pPr>
        <w:ind w:left="80"/>
        <w:spacing w:after="0"/>
        <w:tabs>
          <w:tab w:leader="none" w:pos="860" w:val="left"/>
          <w:tab w:leader="none" w:pos="2160" w:val="left"/>
          <w:tab w:leader="none" w:pos="29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2023-03-22</w:t>
      </w:r>
    </w:p>
    <w:p>
      <w:pPr>
        <w:spacing w:after="0" w:line="847"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360" w:space="180"/>
            <w:col w:w="1240" w:space="400"/>
            <w:col w:w="3840"/>
          </w:cols>
          <w:pgMar w:left="320" w:top="130" w:right="5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66" w:lineRule="exact"/>
        <w:rPr>
          <w:rFonts w:ascii="Times New Roman" w:cs="Times New Roman" w:eastAsia="Times New Roman" w:hAnsi="Times New Roman"/>
          <w:sz w:val="18"/>
          <w:szCs w:val="18"/>
          <w:u w:val="single" w:color="auto"/>
          <w:color w:val="0000FF"/>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94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40" w:type="dxa"/>
            <w:vAlign w:val="bottom"/>
            <w:tcBorders>
              <w:top w:val="single" w:sz="8" w:color="auto"/>
            </w:tcBorders>
            <w:gridSpan w:val="37"/>
          </w:tcPr>
          <w:p>
            <w:pPr>
              <w:spacing w:after="0" w:line="18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dated as of June 22, 2023, to the First</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Lien Credit Agreement dated as of December 13,</w:t>
              </w:r>
            </w:hyperlink>
          </w:p>
        </w:tc>
        <w:tc>
          <w:tcPr>
            <w:tcW w:w="1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37"/>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2019 by and among Sotera Health Company, Sotera</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Health Holdings, LLC, certain subsidiaries of Sotera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Health Company, JPMorgan Chase Bank, N.A., as</w:t>
              </w:r>
            </w:hyperlink>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37"/>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First Lien Administrative Agent and the lenders 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issuing banks party thereto</w:t>
              </w:r>
            </w:hyperlink>
          </w:p>
        </w:tc>
        <w:tc>
          <w:tcPr>
            <w:tcW w:w="18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Amendment No. 3 to the First Lien Credit</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Agreement, dated March 1, 2024, by and</w:t>
              </w:r>
            </w:hyperlink>
          </w:p>
        </w:tc>
        <w:tc>
          <w:tcPr>
            <w:tcW w:w="900" w:type="dxa"/>
            <w:vAlign w:val="bottom"/>
            <w:gridSpan w:val="29"/>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among</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8"/>
              </w:rPr>
            </w:pPr>
            <w:hyperlink r:id="rId231">
              <w:r>
                <w:rPr>
                  <w:rFonts w:ascii="Times New Roman" w:cs="Times New Roman" w:eastAsia="Times New Roman" w:hAnsi="Times New Roman"/>
                  <w:sz w:val="18"/>
                  <w:szCs w:val="18"/>
                  <w:color w:val="0000FF"/>
                  <w:w w:val="98"/>
                </w:rPr>
                <w:t>Sotera Health Company, Sotera Health Holdings,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16"/>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the</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Refinancing Revolving Lenders, and JPMorgan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Chase Bank, N.A., as First Lien Administrative</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Agent</w:t>
              </w:r>
            </w:hyperlink>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Amendment No. 4 to First Lien Credit Agreement,</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dated as of May 30, 2024, among Sotera Health</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Company, Sotera Health Holdings, LLC, each</w:t>
              </w:r>
            </w:hyperlink>
          </w:p>
        </w:tc>
        <w:tc>
          <w:tcPr>
            <w:tcW w:w="500" w:type="dxa"/>
            <w:vAlign w:val="bottom"/>
            <w:gridSpan w:val="23"/>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Term</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and Revolving Lender party and JPMorgan Chase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Bank, N.A., as First Lien Administrative Agent</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24"/>
                <w:szCs w:val="24"/>
                <w:color w:val="auto"/>
              </w:rPr>
            </w:pPr>
          </w:p>
        </w:tc>
        <w:tc>
          <w:tcPr>
            <w:tcW w:w="342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Willowbrook Group Settlement Term Sheet</w:t>
              </w:r>
            </w:hyperlink>
          </w:p>
        </w:tc>
        <w:tc>
          <w:tcPr>
            <w:tcW w:w="520" w:type="dxa"/>
            <w:vAlign w:val="bottom"/>
            <w:gridSpan w:val="25"/>
          </w:tcPr>
          <w:p>
            <w:pPr>
              <w:spacing w:after="0"/>
              <w:rPr>
                <w:sz w:val="24"/>
                <w:szCs w:val="24"/>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Willowbrook Trial Plaintiffs Settlement Term Sheet</w:t>
              </w:r>
            </w:hyperlink>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Settlement Agreement dated as of March 28, 2023 by</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and among Sotera Health LLC, Sterigenics U.S.,</w:t>
              </w:r>
            </w:hyperlink>
          </w:p>
        </w:tc>
        <w:tc>
          <w:tcPr>
            <w:tcW w:w="3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37"/>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LLC and Plaintiffs’ Counsel (Illinois Ethylene Oxide</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35">
              <w:r>
                <w:rPr>
                  <w:rFonts w:ascii="Times New Roman" w:cs="Times New Roman" w:eastAsia="Times New Roman" w:hAnsi="Times New Roman"/>
                  <w:sz w:val="18"/>
                  <w:szCs w:val="18"/>
                  <w:color w:val="0000FF"/>
                  <w:w w:val="97"/>
                </w:rPr>
                <w:t>Tort Litigation)</w:t>
              </w:r>
            </w:hyperlink>
          </w:p>
        </w:tc>
        <w:tc>
          <w:tcPr>
            <w:tcW w:w="276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Willowbrook Group Settlement Agreement dated as</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of March 28, 2023 by and among Sotera Health</w:t>
              </w:r>
            </w:hyperlink>
          </w:p>
        </w:tc>
        <w:tc>
          <w:tcPr>
            <w:tcW w:w="36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37"/>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LLC, Sterigenics U.S., LLC and Plaintiff's Executive</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Committee (Illinois Ethylene Oxide Tort Litigation)</w:t>
              </w:r>
            </w:hyperlink>
          </w:p>
        </w:tc>
        <w:tc>
          <w:tcPr>
            <w:tcW w:w="1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Sotera Health Company 2020 Omnibus</w:t>
              </w:r>
            </w:hyperlink>
          </w:p>
        </w:tc>
        <w:tc>
          <w:tcPr>
            <w:tcW w:w="440" w:type="dxa"/>
            <w:vAlign w:val="bottom"/>
            <w:gridSpan w:val="21"/>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37"/>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Incentive Plan Restricted Stock Unit Grant Notice</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(As Amended) and Agreement</w:t>
              </w:r>
            </w:hyperlink>
          </w:p>
        </w:tc>
        <w:tc>
          <w:tcPr>
            <w:tcW w:w="1400" w:type="dxa"/>
            <w:vAlign w:val="bottom"/>
            <w:tcBorders>
              <w:top w:val="single" w:sz="8" w:color="0000FF"/>
            </w:tcBorders>
            <w:gridSpan w:val="16"/>
          </w:tcPr>
          <w:p>
            <w:pPr>
              <w:spacing w:after="0"/>
              <w:rPr>
                <w:sz w:val="14"/>
                <w:szCs w:val="14"/>
                <w:color w:val="auto"/>
              </w:rPr>
            </w:pPr>
          </w:p>
        </w:tc>
        <w:tc>
          <w:tcPr>
            <w:tcW w:w="320" w:type="dxa"/>
            <w:vAlign w:val="bottom"/>
            <w:gridSpan w:val="15"/>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3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Sotera Health Company 2020 Omnibus</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Incentive Plan Stock Option Grant Notice (As</w:t>
              </w:r>
            </w:hyperlink>
          </w:p>
        </w:tc>
        <w:tc>
          <w:tcPr>
            <w:tcW w:w="100" w:type="dxa"/>
            <w:vAlign w:val="bottom"/>
            <w:gridSpan w:val="5"/>
          </w:tcPr>
          <w:p>
            <w:pPr>
              <w:spacing w:after="0"/>
              <w:rPr>
                <w:sz w:val="13"/>
                <w:szCs w:val="13"/>
                <w:color w:val="auto"/>
              </w:rPr>
            </w:pPr>
          </w:p>
        </w:tc>
        <w:tc>
          <w:tcPr>
            <w:tcW w:w="360" w:type="dxa"/>
            <w:vAlign w:val="bottom"/>
            <w:gridSpan w:val="17"/>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Amended) and Agreement</w:t>
              </w:r>
            </w:hyperlink>
          </w:p>
        </w:tc>
        <w:tc>
          <w:tcPr>
            <w:tcW w:w="1400" w:type="dxa"/>
            <w:vAlign w:val="bottom"/>
            <w:tcBorders>
              <w:top w:val="single" w:sz="8" w:color="0000FF"/>
            </w:tcBorders>
            <w:gridSpan w:val="7"/>
          </w:tcPr>
          <w:p>
            <w:pPr>
              <w:spacing w:after="0"/>
              <w:rPr>
                <w:sz w:val="14"/>
                <w:szCs w:val="14"/>
                <w:color w:val="auto"/>
              </w:rPr>
            </w:pPr>
          </w:p>
        </w:tc>
        <w:tc>
          <w:tcPr>
            <w:tcW w:w="260" w:type="dxa"/>
            <w:vAlign w:val="bottom"/>
            <w:gridSpan w:val="9"/>
          </w:tcPr>
          <w:p>
            <w:pPr>
              <w:spacing w:after="0"/>
              <w:rPr>
                <w:sz w:val="14"/>
                <w:szCs w:val="14"/>
                <w:color w:val="auto"/>
              </w:rPr>
            </w:pPr>
          </w:p>
        </w:tc>
        <w:tc>
          <w:tcPr>
            <w:tcW w:w="360" w:type="dxa"/>
            <w:vAlign w:val="bottom"/>
            <w:gridSpan w:val="17"/>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Insider Trading Policy of Sotera Health Company</w:t>
            </w: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60" w:type="dxa"/>
            <w:vAlign w:val="bottom"/>
            <w:gridSpan w:val="17"/>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27"/>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w:t>
            </w: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680" w:type="dxa"/>
            <w:vAlign w:val="bottom"/>
            <w:tcBorders>
              <w:top w:val="single" w:sz="8" w:color="0000FF"/>
            </w:tcBorders>
            <w:gridSpan w:val="3"/>
          </w:tcPr>
          <w:p>
            <w:pPr>
              <w:spacing w:after="0"/>
              <w:rPr>
                <w:sz w:val="13"/>
                <w:szCs w:val="13"/>
                <w:color w:val="auto"/>
              </w:rPr>
            </w:pPr>
          </w:p>
        </w:tc>
        <w:tc>
          <w:tcPr>
            <w:tcW w:w="700" w:type="dxa"/>
            <w:vAlign w:val="bottom"/>
            <w:gridSpan w:val="27"/>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Filed/Furnished</w:t>
      </w: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8058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90170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763"/>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2023-06-22</w:t>
            </w:r>
          </w:p>
        </w:tc>
      </w:tr>
      <w:tr>
        <w:trPr>
          <w:trHeight w:val="1323"/>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2024-03-04</w:t>
            </w:r>
          </w:p>
        </w:tc>
      </w:tr>
      <w:tr>
        <w:trPr>
          <w:trHeight w:val="1161"/>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2024-08-05</w:t>
            </w:r>
          </w:p>
        </w:tc>
      </w:tr>
      <w:tr>
        <w:trPr>
          <w:trHeight w:val="70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33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60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2023-05-08</w:t>
            </w:r>
          </w:p>
        </w:tc>
      </w:tr>
      <w:tr>
        <w:trPr>
          <w:trHeight w:val="864"/>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2023-05-08</w:t>
            </w:r>
          </w:p>
        </w:tc>
      </w:tr>
      <w:tr>
        <w:trPr>
          <w:trHeight w:val="770"/>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r>
        <w:trPr>
          <w:trHeight w:val="70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2023-02-28</w:t>
            </w:r>
          </w:p>
        </w:tc>
      </w:tr>
    </w:tbl>
    <w:p>
      <w:pPr>
        <w:sectPr>
          <w:pgSz w:w="11900" w:h="16838" w:orient="portrait"/>
          <w:cols w:equalWidth="0" w:num="3">
            <w:col w:w="5360" w:space="120"/>
            <w:col w:w="1300" w:space="200"/>
            <w:col w:w="4260"/>
          </w:cols>
          <w:pgMar w:left="320" w:top="130"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33947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3"/>
        </w:trPr>
        <w:tc>
          <w:tcPr>
            <w:tcW w:w="1300" w:type="dxa"/>
            <w:vAlign w:val="bottom"/>
            <w:tcBorders>
              <w:top w:val="single" w:sz="8" w:color="auto"/>
            </w:tcBorders>
          </w:tcPr>
          <w:p>
            <w:pPr>
              <w:jc w:val="right"/>
              <w:ind w:right="87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w:t>
            </w: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8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180" w:type="dxa"/>
            <w:vAlign w:val="bottom"/>
            <w:gridSpan w:val="2"/>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Filed/Furnished</w:t>
            </w:r>
          </w:p>
        </w:tc>
        <w:tc>
          <w:tcPr>
            <w:tcW w:w="180" w:type="dxa"/>
            <w:vAlign w:val="bottom"/>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80" w:type="dxa"/>
            <w:vAlign w:val="bottom"/>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ectPr>
          <w:pgSz w:w="11900" w:h="16838" w:orient="portrait"/>
          <w:cols w:equalWidth="0" w:num="2">
            <w:col w:w="5360" w:space="160"/>
            <w:col w:w="5720"/>
          </w:cols>
          <w:pgMar w:left="320" w:top="130"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95"/>
              </w:rPr>
              <w:t>31.2</w:t>
            </w: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37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1460" w:type="dxa"/>
            <w:vAlign w:val="bottom"/>
          </w:tcPr>
          <w:p>
            <w:pPr>
              <w:spacing w:after="0"/>
              <w:rPr>
                <w:sz w:val="10"/>
                <w:szCs w:val="10"/>
                <w:color w:val="auto"/>
              </w:rPr>
            </w:pPr>
          </w:p>
        </w:tc>
        <w:tc>
          <w:tcPr>
            <w:tcW w:w="3700" w:type="dxa"/>
            <w:vAlign w:val="bottom"/>
            <w:tcBorders>
              <w:top w:val="single" w:sz="8" w:color="0000FF"/>
            </w:tcBorders>
            <w:gridSpan w:val="4"/>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480" w:type="dxa"/>
            <w:vAlign w:val="bottom"/>
            <w:gridSpan w:val="2"/>
            <w:vMerge w:val="restart"/>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3700" w:type="dxa"/>
            <w:vAlign w:val="bottom"/>
            <w:gridSpan w:val="4"/>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54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4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95"/>
              </w:rPr>
              <w:t>32.1</w:t>
            </w: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Principal Financial Officer pursuant to 18 U.S.C.</w:t>
            </w:r>
          </w:p>
        </w:tc>
        <w:tc>
          <w:tcPr>
            <w:tcW w:w="40" w:type="dxa"/>
            <w:vAlign w:val="bottom"/>
            <w:tcBorders>
              <w:bottom w:val="single" w:sz="8" w:color="0000FF"/>
            </w:tcBorders>
          </w:tcPr>
          <w:p>
            <w:pPr>
              <w:spacing w:after="0"/>
              <w:rPr>
                <w:sz w:val="13"/>
                <w:szCs w:val="13"/>
                <w:color w:val="auto"/>
              </w:rPr>
            </w:pPr>
          </w:p>
        </w:tc>
        <w:tc>
          <w:tcPr>
            <w:tcW w:w="640" w:type="dxa"/>
            <w:vAlign w:val="bottom"/>
            <w:gridSpan w:val="3"/>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1460" w:type="dxa"/>
            <w:vAlign w:val="bottom"/>
          </w:tcPr>
          <w:p>
            <w:pPr>
              <w:spacing w:after="0"/>
              <w:rPr>
                <w:sz w:val="10"/>
                <w:szCs w:val="10"/>
                <w:color w:val="auto"/>
              </w:rPr>
            </w:pPr>
          </w:p>
        </w:tc>
        <w:tc>
          <w:tcPr>
            <w:tcW w:w="418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8"/>
                <w:szCs w:val="18"/>
                <w:u w:val="single" w:color="auto"/>
                <w:color w:val="0000FF"/>
              </w:rPr>
              <w:t>Section 1350, as adopted pursuant to Section 906 of</w:t>
            </w: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460" w:type="dxa"/>
            <w:vAlign w:val="bottom"/>
          </w:tcPr>
          <w:p>
            <w:pPr>
              <w:spacing w:after="0"/>
              <w:rPr>
                <w:sz w:val="4"/>
                <w:szCs w:val="4"/>
                <w:color w:val="auto"/>
              </w:rPr>
            </w:pPr>
          </w:p>
        </w:tc>
        <w:tc>
          <w:tcPr>
            <w:tcW w:w="418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8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ectPr>
          <w:pgSz w:w="11900" w:h="16838" w:orient="portrait"/>
          <w:cols w:equalWidth="0" w:num="1">
            <w:col w:w="11240"/>
          </w:cols>
          <w:pgMar w:left="320" w:top="130" w:right="33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40"/>
        <w:spacing w:after="0" w:line="237"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Sotera Health Company Policy for the Recovery of</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Erroneously Awarded Compensation</w:t>
        </w:r>
      </w:hyperlink>
    </w:p>
    <w:p>
      <w:pPr>
        <w:spacing w:after="0" w:line="1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 tags are embedded within the Inline XBRL document</w:t>
      </w:r>
    </w:p>
    <w:p>
      <w:pPr>
        <w:spacing w:after="0" w:line="1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p>
      <w:pPr>
        <w:spacing w:after="0" w:line="14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9525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ind w:right="240"/>
        <w:spacing w:after="0"/>
        <w:tabs>
          <w:tab w:leader="none" w:pos="2920" w:val="left"/>
          <w:tab w:leader="none" w:pos="1620" w:val="left"/>
          <w:tab w:leader="none" w:pos="8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001-39729</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2024-02-27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3">
            <w:col w:w="760" w:space="720"/>
            <w:col w:w="3920" w:space="720"/>
            <w:col w:w="5120"/>
          </w:cols>
          <w:pgMar w:left="320" w:top="130" w:right="339" w:bottom="1440" w:gutter="0" w:footer="0" w:header="0"/>
          <w:type w:val="continuous"/>
        </w:sectPr>
      </w:pPr>
    </w:p>
    <w:p>
      <w:pPr>
        <w:ind w:left="180"/>
        <w:spacing w:after="0"/>
        <w:tabs>
          <w:tab w:leader="none" w:pos="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9" w:lineRule="exact"/>
        <w:rPr>
          <w:sz w:val="20"/>
          <w:szCs w:val="20"/>
          <w:color w:val="auto"/>
        </w:rPr>
      </w:pPr>
    </w:p>
    <w:p>
      <w:pPr>
        <w:ind w:left="460" w:hanging="290"/>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9" w:lineRule="exact"/>
        <w:rPr>
          <w:sz w:val="20"/>
          <w:szCs w:val="20"/>
          <w:color w:val="auto"/>
        </w:rPr>
      </w:pPr>
    </w:p>
    <w:p>
      <w:pPr>
        <w:jc w:val="both"/>
        <w:ind w:left="500" w:right="40" w:hanging="330"/>
        <w:spacing w:after="0" w:line="250" w:lineRule="auto"/>
        <w:tabs>
          <w:tab w:leader="none" w:pos="4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 w:lineRule="exact"/>
        <w:rPr>
          <w:sz w:val="20"/>
          <w:szCs w:val="20"/>
          <w:color w:val="auto"/>
        </w:rPr>
      </w:pPr>
    </w:p>
    <w:p>
      <w:pPr>
        <w:jc w:val="both"/>
        <w:ind w:left="500" w:right="60" w:hanging="330"/>
        <w:spacing w:after="0" w:line="255" w:lineRule="auto"/>
        <w:tabs>
          <w:tab w:leader="none" w:pos="4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pursuant to Item 601(b)(10)(iv) of Regulation S-K. The omitted information is (i) not material, and (ii) the type of information that the registrant treats as private and confidential. We agree to furnish supplementally an unredacted copy of the exhibit to the Securities and Exchange Commission on its request.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93"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B. Petras, Jr.</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 Petras, Jr.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 Petras, Jr.</w:t>
            </w:r>
          </w:p>
        </w:tc>
        <w:tc>
          <w:tcPr>
            <w:tcW w:w="240" w:type="dxa"/>
            <w:vAlign w:val="bottom"/>
          </w:tcPr>
          <w:p>
            <w:pPr>
              <w:spacing w:after="0"/>
              <w:rPr>
                <w:sz w:val="21"/>
                <w:szCs w:val="21"/>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 Petras, Jr.</w:t>
            </w:r>
          </w:p>
        </w:tc>
        <w:tc>
          <w:tcPr>
            <w:tcW w:w="240" w:type="dxa"/>
            <w:vAlign w:val="bottom"/>
          </w:tcPr>
          <w:p>
            <w:pPr>
              <w:spacing w:after="0"/>
              <w:rPr>
                <w:sz w:val="19"/>
                <w:szCs w:val="19"/>
                <w:color w:val="auto"/>
              </w:rPr>
            </w:pPr>
          </w:p>
        </w:tc>
        <w:tc>
          <w:tcPr>
            <w:tcW w:w="4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M. Lyons</w:t>
            </w:r>
          </w:p>
        </w:tc>
        <w:tc>
          <w:tcPr>
            <w:tcW w:w="240" w:type="dxa"/>
            <w:vAlign w:val="bottom"/>
          </w:tcPr>
          <w:p>
            <w:pPr>
              <w:spacing w:after="0"/>
              <w:rPr>
                <w:sz w:val="21"/>
                <w:szCs w:val="21"/>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M. Lyons</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Ruoxi Chen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Ruoxi Chen</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L. Cunningham</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L. Cunningham</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 Flynn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Karen A. Flynn</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R. Klee</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 R. Klee</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Knauss</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B. Knauss</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Constantine S. Mihas</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Constantine S. Mihas</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Neary</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 Neary</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Vincent K. Petrella</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Vincent K. Petrella</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A. Simon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A. Simon</w:t>
            </w: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E. Wheadon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E. Wheadon</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3"/>
        </w:trPr>
        <w:tc>
          <w:tcPr>
            <w:tcW w:w="4600" w:type="dxa"/>
            <w:vAlign w:val="bottom"/>
          </w:tcPr>
          <w:p>
            <w:pPr>
              <w:spacing w:after="0"/>
              <w:rPr>
                <w:sz w:val="24"/>
                <w:szCs w:val="24"/>
                <w:color w:val="auto"/>
              </w:rPr>
            </w:pPr>
          </w:p>
        </w:tc>
        <w:tc>
          <w:tcPr>
            <w:tcW w:w="48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SOTERA HEALTH COMPANY</w:t>
      </w:r>
    </w:p>
    <w:p>
      <w:pPr>
        <w:spacing w:after="0" w:line="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9"/>
          <w:szCs w:val="29"/>
          <w:b w:val="1"/>
          <w:bCs w:val="1"/>
          <w:color w:val="auto"/>
        </w:rPr>
        <w:t>INSIDER TRADING POLICY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December 11, 2024</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Federal, state and non-U.S. securities laws prohibit trading in the equity or debt securities of a company while in possession of material non-public information about the company. In order to take an active role in promoting compliance with such laws, and preventing insider trading violations by its officers, directors, employees and certain others, Sotera Health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policies and procedures described in this memorandum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 of Policy</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Policy applies to all transactions in the Company’s securities, including common stock, options for common stock, debt securities and any other securities the Company may issue from time to time, such as preferred stock, warrants and convertible debentures, as well as to derivative securities relating to the Company’s securities, including restricted stock units issued by the Company and securities exchangeable into the Company’s securities, whether or not issued by the Company, such as exchange-traded options (collectively,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when applied to Company Securities includes but is not limited to purchases, sales, entry into contracts the value of which is determined by reference to Company Securities, any pledge, hypothecation or grant of a security interest in Company Securities, gifts of Company Securities, or any donation or contribution of Company Securities to a charity or trust. Its prohibitions apply to actions taken by all officers, directors, employees and temporary employees of the Company and its subsidiaries and all independent consultants and contractors of the Company and its subsidiaries with whom the Company customarily signs confidentiality agreements (together,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Company Person</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For the avoidance of doubt, this Policy does not apply to Warburg Pincus Private Equity XI, L.P., Warburg Pincus XI Partners, L.P., WP XI Partners, L.P., Warburg Pincus Private Equity XI-B, L.P. and Warburg Pincus Private Equity XI-C, L.P., GTCR Fund XI/A VCOC, GTCR Fund XI/C VCOC and GTCR Co-Invest XI LP (each, a “</w:t>
      </w:r>
      <w:r>
        <w:rPr>
          <w:rFonts w:ascii="Times New Roman" w:cs="Times New Roman" w:eastAsia="Times New Roman" w:hAnsi="Times New Roman"/>
          <w:sz w:val="22"/>
          <w:szCs w:val="22"/>
          <w:u w:val="single" w:color="auto"/>
          <w:color w:val="auto"/>
        </w:rPr>
        <w:t>Sponsor</w:t>
      </w:r>
      <w:r>
        <w:rPr>
          <w:rFonts w:ascii="Times New Roman" w:cs="Times New Roman" w:eastAsia="Times New Roman" w:hAnsi="Times New Roman"/>
          <w:sz w:val="22"/>
          <w:szCs w:val="22"/>
          <w:color w:val="auto"/>
        </w:rPr>
        <w:t>”), or their respective affiliated entities. For the further avoidance of doubt, this Policy also does not preclude any director designated by a Sponsor pursuant to the Stockholders Agreement between the Sponsors and the Company (the “</w:t>
      </w:r>
      <w:r>
        <w:rPr>
          <w:rFonts w:ascii="Times New Roman" w:cs="Times New Roman" w:eastAsia="Times New Roman" w:hAnsi="Times New Roman"/>
          <w:sz w:val="22"/>
          <w:szCs w:val="22"/>
          <w:u w:val="single" w:color="auto"/>
          <w:color w:val="auto"/>
        </w:rPr>
        <w:t>Stockholders Agreement</w:t>
      </w:r>
      <w:r>
        <w:rPr>
          <w:rFonts w:ascii="Times New Roman" w:cs="Times New Roman" w:eastAsia="Times New Roman" w:hAnsi="Times New Roman"/>
          <w:sz w:val="22"/>
          <w:szCs w:val="22"/>
          <w:color w:val="auto"/>
        </w:rPr>
        <w:t>”), from taking any action, making any decision, or otherwise disclosing any information, subject to applicable law, in the context of such person’s ordinary course duties or responsibilities to such Sponsor, if any. The Company understands the Sponsors’ will apply their own policies and procedures, as they may be in effect from time to time, pertaining to confidential information to any information disclosed to the Sponsors as described in the immediately preceding sentence.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Portions of this Policy impose additional obligations on certain Company Persons that have, or are likely to have, regular or special access to material non-public information about the Company in the normal course of their duties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xml:space="preserve">”). The Company has determined that the persons identified on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are Insiders for the purposes of this Policy. The General Counsel, in</w:t>
      </w:r>
    </w:p>
    <w:p>
      <w:pPr>
        <w:sectPr>
          <w:pgSz w:w="11900" w:h="16838" w:orient="portrait"/>
          <w:cols w:equalWidth="0" w:num="1">
            <w:col w:w="11240"/>
          </w:cols>
          <w:pgMar w:left="320" w:top="117" w:right="339" w:bottom="1440" w:gutter="0" w:footer="0" w:header="0"/>
        </w:sectPr>
      </w:pPr>
    </w:p>
    <w:bookmarkStart w:id="129" w:name="page130"/>
    <w:bookmarkEnd w:id="129"/>
    <w:p>
      <w:pPr>
        <w:jc w:val="both"/>
        <w:spacing w:after="0" w:line="271" w:lineRule="auto"/>
        <w:rPr>
          <w:sz w:val="20"/>
          <w:szCs w:val="20"/>
          <w:color w:val="auto"/>
        </w:rPr>
      </w:pPr>
      <w:r>
        <w:rPr>
          <w:rFonts w:ascii="Times New Roman" w:cs="Times New Roman" w:eastAsia="Times New Roman" w:hAnsi="Times New Roman"/>
          <w:sz w:val="22"/>
          <w:szCs w:val="22"/>
          <w:color w:val="auto"/>
        </w:rPr>
        <w:t>consultation with the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and the Chief Financial Officer (“</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as necessary, shall maintain the list of Insiders, including by removing or adding persons to the list as necessary.</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restrictions and prohibitions in this Policy on actions by Company Persons also apply to actions by the spouses, minor children and adult members of the households of Company Persons, and any entities that Company Persons directly or indirectly influence or control (collectively, “related persons”). All Company Persons are responsible for ensuring that such related persons do not engage in the activities restricted or prohibited under this Policy. For the avoidance of doubt, the Sponsors are not considered related persons of any director designated by a Sponsor pursuant to the Stockholders Agreement.</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This Policy shall be delivered to all new Company Persons upon the commencement of their relationships with the Company or its subsidiaries and is to be circulated to all Listed Company Persons at least annually. “</w:t>
      </w:r>
      <w:r>
        <w:rPr>
          <w:rFonts w:ascii="Times New Roman" w:cs="Times New Roman" w:eastAsia="Times New Roman" w:hAnsi="Times New Roman"/>
          <w:sz w:val="21"/>
          <w:szCs w:val="21"/>
          <w:u w:val="single" w:color="auto"/>
          <w:color w:val="auto"/>
        </w:rPr>
        <w:t>Listed Company Persons</w:t>
      </w:r>
      <w:r>
        <w:rPr>
          <w:rFonts w:ascii="Times New Roman" w:cs="Times New Roman" w:eastAsia="Times New Roman" w:hAnsi="Times New Roman"/>
          <w:sz w:val="21"/>
          <w:szCs w:val="21"/>
          <w:color w:val="auto"/>
        </w:rPr>
        <w:t xml:space="preserve">” means (1) all individuals listed or described in </w:t>
      </w: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(2) all employees and temporary employees of the Company physically situated in the Company’s global headquarters at 9100 South Hills Blvd, Suite 300, Broadview Heights, Ohio, and (3) all independent consultants and contractors of the Company and its subsidiaries that are reasonably expected to have access to material non-public information; the head of purchasing shall make reasonable efforts to maintain a list of such consultants and contractors.</w:t>
      </w:r>
    </w:p>
    <w:p>
      <w:pPr>
        <w:spacing w:after="0" w:line="165" w:lineRule="exact"/>
        <w:rPr>
          <w:sz w:val="20"/>
          <w:szCs w:val="20"/>
          <w:color w:val="auto"/>
        </w:rPr>
      </w:pPr>
    </w:p>
    <w:p>
      <w:pPr>
        <w:ind w:left="440" w:hanging="432"/>
        <w:spacing w:after="0"/>
        <w:tabs>
          <w:tab w:leader="none" w:pos="44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 Prohibition Against Insider Trading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 Trading or Tipping on Material Non-Public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Company Person may, while in possession of material non-public information about the Company:</w:t>
      </w:r>
    </w:p>
    <w:p>
      <w:pPr>
        <w:spacing w:after="0" w:line="112" w:lineRule="exact"/>
        <w:rPr>
          <w:sz w:val="20"/>
          <w:szCs w:val="20"/>
          <w:color w:val="auto"/>
        </w:rPr>
      </w:pPr>
    </w:p>
    <w:p>
      <w:pPr>
        <w:ind w:left="980" w:hanging="324"/>
        <w:spacing w:after="0" w:line="267" w:lineRule="auto"/>
        <w:tabs>
          <w:tab w:leader="none" w:pos="975" w:val="left"/>
        </w:tabs>
        <w:numPr>
          <w:ilvl w:val="0"/>
          <w:numId w:val="5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buy, sell or otherwise engage in any Transactions, directly or indirectly, in any Company Securities, except as described below under “Certain Exceptions”;</w:t>
      </w:r>
    </w:p>
    <w:p>
      <w:pPr>
        <w:spacing w:after="0" w:line="4"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make recommendations or express opinions about trading in Company Securities on the basis of such information;</w:t>
      </w:r>
    </w:p>
    <w:p>
      <w:pPr>
        <w:spacing w:after="0" w:line="57" w:lineRule="exact"/>
        <w:rPr>
          <w:rFonts w:ascii="Times New Roman" w:cs="Times New Roman" w:eastAsia="Times New Roman" w:hAnsi="Times New Roman"/>
          <w:sz w:val="22"/>
          <w:szCs w:val="22"/>
          <w:i w:val="1"/>
          <w:iCs w:val="1"/>
          <w:color w:val="auto"/>
        </w:rPr>
      </w:pPr>
    </w:p>
    <w:p>
      <w:pPr>
        <w:jc w:val="both"/>
        <w:ind w:left="980" w:hanging="324"/>
        <w:spacing w:after="0" w:line="256" w:lineRule="auto"/>
        <w:tabs>
          <w:tab w:leader="none" w:pos="975" w:val="left"/>
        </w:tabs>
        <w:numPr>
          <w:ilvl w:val="0"/>
          <w:numId w:val="5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disclose such information to any third party (except (1) in the case of Sponsor-nominated directors, to a Sponsor, (2) to those subject to a confidentiality obligation to the Company or its subsidiaries or (3) to other third parties as otherwise approved by the General Counsel or such person or persons in the Legal Department designated by the General Counsel to administer this Policy (collectively, “</w:t>
      </w:r>
      <w:r>
        <w:rPr>
          <w:rFonts w:ascii="Times New Roman" w:cs="Times New Roman" w:eastAsia="Times New Roman" w:hAnsi="Times New Roman"/>
          <w:sz w:val="22"/>
          <w:szCs w:val="22"/>
          <w:u w:val="single" w:color="auto"/>
          <w:color w:val="auto"/>
        </w:rPr>
        <w:t>Legal</w:t>
      </w:r>
      <w:r>
        <w:rPr>
          <w:rFonts w:ascii="Times New Roman" w:cs="Times New Roman" w:eastAsia="Times New Roman" w:hAnsi="Times New Roman"/>
          <w:sz w:val="22"/>
          <w:szCs w:val="22"/>
          <w:color w:val="auto"/>
        </w:rPr>
        <w:t>”)), including family or household members; or</w:t>
      </w:r>
    </w:p>
    <w:p>
      <w:pPr>
        <w:spacing w:after="0" w:line="14"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assist anyone in the above activities.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above restrictions also apply to transacting in the securities of another company that the Company does business with while in possession of material non-public information relating to such other company, when that information is obtained in the course of employment with, or other services performed on behalf of, the Company or any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33" w:right="339" w:bottom="1440" w:gutter="0" w:footer="0" w:header="0"/>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not excepted from these restrictions. The securities laws do not recognize mitigating circumstances and, in any event, even the appearance of an improper Transaction must be avoided to preserve the Company’s reputation for adhering to the highest standards of conduct.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“Material Non-Public Information”</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i w:val="1"/>
          <w:iCs w:val="1"/>
          <w:color w:val="auto"/>
        </w:rPr>
        <w:t>Material Information</w:t>
      </w:r>
      <w:r>
        <w:rPr>
          <w:rFonts w:ascii="Times New Roman" w:cs="Times New Roman" w:eastAsia="Times New Roman" w:hAnsi="Times New Roman"/>
          <w:sz w:val="21"/>
          <w:szCs w:val="21"/>
          <w:color w:val="auto"/>
        </w:rPr>
        <w:t>. It is not possible to define all categories of material information as the ultimate determination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materiality by enforcement authorities will be based on an assessment of all of the facts and circumstances, often with the benefit of hindsight. Information that is material at one point in time may cease to be material at another point in time, and vice versa.</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general, information is considered “material” if there is a reasonable likelihood that it would be considered important to an investor in making a decision to buy, hold or sell securities. Any information that could be expected to affect a company’s stock price, whether positive or negative, and whether the change is large or small, may be considered material.</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include:</w:t>
      </w:r>
    </w:p>
    <w:p>
      <w:pPr>
        <w:spacing w:after="0" w:line="6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Financial results;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Projections of future revenues, earnings or losses;</w:t>
      </w:r>
    </w:p>
    <w:p>
      <w:pPr>
        <w:spacing w:after="0" w:line="71"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Announcement of a significant new product, service or business line, or timing thereof;</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News of a pending or proposed merger;</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News of the disposition or acquisition of significant assets or a subsidiary;</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Material impairments, write-offs or restructurings;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Creation of a material direct or contingent financial obligation;</w:t>
      </w:r>
    </w:p>
    <w:p>
      <w:pPr>
        <w:spacing w:after="0" w:line="71"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Impending bankruptcy or financial liquidity problems;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Significant cybersecurity incidents;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gain or loss of a substantial customer or supplier;</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Changes in dividend policy;</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Significant product or service defects or modifications;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Significant pricing changes;</w:t>
      </w:r>
    </w:p>
    <w:p>
      <w:pPr>
        <w:spacing w:after="0" w:line="71"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Stock splits;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New equity or debt offerings;</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line="267" w:lineRule="auto"/>
        <w:tabs>
          <w:tab w:leader="none" w:pos="975"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Significant litigation or regulatory exposure due to actual or threatened litigation, investigation or enforcement activity, or significant developments related thereto;</w:t>
      </w:r>
    </w:p>
    <w:p>
      <w:pPr>
        <w:spacing w:after="0" w:line="4"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Major changes in senior management;</w:t>
      </w:r>
    </w:p>
    <w:p>
      <w:pPr>
        <w:spacing w:after="0" w:line="71"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Entry into material agreements not in the ordinary course of business (or amendment or termination thereof);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33" w:right="339" w:bottom="1440" w:gutter="0" w:footer="0" w:header="0"/>
        </w:sectPr>
      </w:pPr>
    </w:p>
    <w:bookmarkStart w:id="131" w:name="page132"/>
    <w:bookmarkEnd w:id="131"/>
    <w:p>
      <w:pPr>
        <w:ind w:left="980" w:hanging="324"/>
        <w:spacing w:after="0"/>
        <w:tabs>
          <w:tab w:leader="none" w:pos="980" w:val="left"/>
        </w:tabs>
        <w:numPr>
          <w:ilvl w:val="0"/>
          <w:numId w:val="5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Termination or reduction of business relationship with a customer that provides material revenue to the Company.</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General Counsel, in consultation as appropriate with the CEO, the CFO or other members of senior management of the Company, has the authority to determine whether any information constitutes material non-public information.</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Non-Public Information. </w:t>
      </w:r>
      <w:r>
        <w:rPr>
          <w:rFonts w:ascii="Times New Roman" w:cs="Times New Roman" w:eastAsia="Times New Roman" w:hAnsi="Times New Roman"/>
          <w:sz w:val="21"/>
          <w:szCs w:val="21"/>
          <w:color w:val="auto"/>
        </w:rPr>
        <w:t>Information is not considered public until it has been disclosed broadly to the marketplace (for example,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included in a press release or a filing with the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and the investing public has had time to absorb the information fully. Information will be considered fully absorbed (1) if the information is released prior to 9:30 a.m. U.S. Eastern Time on a “trading day,” by 9:30 a.m. U.S. Eastern Time on the first trading day after the information is released and (2) if the information is released on or after 9:30 a.m. U.S. Eastern Time on a trading day or on a day that is not a trading day, by 9:30 a.m. U.S. Eastern Time on the second trading day after the information is released. If, for example, the Company were to make an announcement on Monday at 8:00 a.m., the information in the announcement would be considered public (and trades could be made) starting at 9:30 a.m. U.S. Eastern Time on Tuesday (assuming all relevant days are “trading days”; a “trading day” is a day on which the Nasdaq Stock Market is open for business). However, if the Company were to make an announcement on Monday at 5:00 p.m., the information in the announcement would be considered public (and trades could be made) starting at 9:30 a.m. U.S. Eastern Time on Wednesday (assuming all relevant days are trading days).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Restrictions and Prohibitions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following Transactions present heightened legal risk and/or the appearance of improper or inappropriate conduct on the part of Listed Company Persons, and are restricted or prohibited as follows. These restrictions and prohibitions apply </w:t>
      </w:r>
      <w:r>
        <w:rPr>
          <w:rFonts w:ascii="Times New Roman" w:cs="Times New Roman" w:eastAsia="Times New Roman" w:hAnsi="Times New Roman"/>
          <w:sz w:val="22"/>
          <w:szCs w:val="22"/>
          <w:i w:val="1"/>
          <w:iCs w:val="1"/>
          <w:color w:val="auto"/>
        </w:rPr>
        <w:t>even if</w:t>
      </w:r>
      <w:r>
        <w:rPr>
          <w:rFonts w:ascii="Times New Roman" w:cs="Times New Roman" w:eastAsia="Times New Roman" w:hAnsi="Times New Roman"/>
          <w:sz w:val="22"/>
          <w:szCs w:val="22"/>
          <w:color w:val="auto"/>
        </w:rPr>
        <w:t xml:space="preserve"> the relevant Listed Company Person is not in possession of material non-public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Short Sales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Short sales of a security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sale of a security that the seller does not own) by their nature reflect an expectation that the value of the security will decline. Short sales can create perverse incentives for the seller, and signal to the market a lack of confidence in the Company’s prospects. Accordingly, no Listed Company Person may engage in a short sale of Company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Publicly Traded Options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put is a right to sell a security at a specific price before a set date, and a call is a right to buy a security at a specific price before a set date. Generally, put options are purchased when a person believes the value of a security will fall, and call options are purchased when a person believes the value of a security will rise. A Transaction in options is, in effect, a bet on the short-term movement of the Company’s securities, and therefore creates the appearance of trading on the basis of material non-public information. Transactions in options may also focus a Listed Company Person’s attention on short-term performance at the expense of the Company’s long-term objectives. Accordingly, no Listed Company Person may engage in a put, call or other derivative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33"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security Transaction relating to Company Securities in an organized market. Nothing in this paragraph shall prohibit the receipt of equity awards from the Company or the exercise of such awards under Company agreements and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Hedging Transactions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Certain forms of hedging or monetization Transactions, including zero-cost collars, equity swaps, exchange funds and forward sale contracts, allow a stockholder to lock in much of the value of his or her stock holdings, often in exchange for all or part of the potential for upside appreciation in the stock. These Transactions allow the stockholder to continue to own the covered securities, but without the full risks and rewards of ownership. Because participating in these Transactions may cause Listed Company Persons to no longer have the same objectives as the Company’s other stockholders, no Listed Company Persons may engage in such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Margin Accounts and Pledges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Securities held in margin accounts for collateral as a margined loan may be sold by the broker without the customer’s consent if the customer fails to meet a margin call. Similarly, securities pledged (or hypothecated) as collateral for a loan may be sold in foreclosure if the borrower defaults on the loan. A margin sale or foreclosure sale that occurs at a time when the pledgor is aware of material non-public information or otherwise is not permitted to trade in Company Securities would fall under the restrictions in this Policy on trading during such times. Therefore, Listed Company Persons are generally prohibited from margining Company Securities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Listed Company Person who wishes to pledge Company Securities as collateral for a loan must pre-clear the proposed Transaction with Legal by submitting a request at least two weeks prior to the proposed execution of documents evidencing the proposed pledge, and must provide evidence demonstrating the financial capacity to repay the loan without resort to the pledged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Blackout Periods</w:t>
      </w:r>
    </w:p>
    <w:p>
      <w:pPr>
        <w:spacing w:after="0" w:line="22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The Company has established quarterly blackout periods, and may impose additional, special blackout periods, each as described below.</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Quarterly blackout periods start at 4:00 p.m. U.S. Eastern Time on the sixth business day of the last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 of a fiscal quarter and end at (1) 9:30 a.m. U.S. Eastern Time on the first trading day following the release to the public of the Company's earnings for the fiscal quarter or fiscal year if such release occurs prior to 9:30 a.m. U.S. Eastern Time on a trading day or (2) 9:30 a.m. U.S. Eastern Time on the second trading day following such release if such release occurs on or after 9:30 a.m. U.S. Eastern Time on a trading day or on a day that is not a trading day; provided that a “business day” is any day except any Saturday, any Sunday or any day that is a federal legal holiday or any day on which banking institutions are authorized or required by law or other governmental action to close in Ohio. Listed Company Persons may not conduct any Transactions in Company Securities during quarterly blackout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33" w:right="339" w:bottom="1440" w:gutter="0" w:footer="0" w:header="0"/>
        </w:sectPr>
      </w:pPr>
    </w:p>
    <w:bookmarkStart w:id="133" w:name="page134"/>
    <w:bookmarkEnd w:id="133"/>
    <w:p>
      <w:pPr>
        <w:jc w:val="both"/>
        <w:spacing w:after="0" w:line="275" w:lineRule="auto"/>
        <w:rPr>
          <w:sz w:val="20"/>
          <w:szCs w:val="20"/>
          <w:color w:val="auto"/>
        </w:rPr>
      </w:pPr>
      <w:r>
        <w:rPr>
          <w:rFonts w:ascii="Times New Roman" w:cs="Times New Roman" w:eastAsia="Times New Roman" w:hAnsi="Times New Roman"/>
          <w:sz w:val="21"/>
          <w:szCs w:val="21"/>
          <w:color w:val="auto"/>
        </w:rPr>
        <w:t>The Company recognizes that a Listed Company Person may experience exceptional circumstances that may necessitate a Transaction during a blackout period. In that case, the Listed Company Person must request permission to do so from the General Counsel and the CFO. Permission to transact within a blackout period is in the discretion of the General Counsel and the CFO.</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Special Blackout Periods</w:t>
      </w:r>
      <w:r>
        <w:rPr>
          <w:rFonts w:ascii="Times New Roman" w:cs="Times New Roman" w:eastAsia="Times New Roman" w:hAnsi="Times New Roman"/>
          <w:sz w:val="22"/>
          <w:szCs w:val="22"/>
          <w:color w:val="auto"/>
        </w:rPr>
        <w:t>. From time to time the General Counsel or CFO may impose special blackout periods, during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Insiders and other affected persons will be prohibited from engaging in Transactions in Company Securities. In the event of a special blackout period, Legal will notify Insiders and other affected persons, who will be prohibited from engaging in any Transaction involving the Company’s securities until further written notice. The imposition of a special blackout period is itself confidential information, and the fact that it has been imposed may not be disclosed to others.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Modification of a Blackout Period</w:t>
      </w:r>
      <w:r>
        <w:rPr>
          <w:rFonts w:ascii="Times New Roman" w:cs="Times New Roman" w:eastAsia="Times New Roman" w:hAnsi="Times New Roman"/>
          <w:sz w:val="22"/>
          <w:szCs w:val="22"/>
          <w:color w:val="auto"/>
        </w:rPr>
        <w:t>. The General Counsel and the CFO jointly may shorten, suspend, terminate or extend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blackout period at such time and for such duration as they deem appropriate given the relevant circumstances. Any persons affected by such a modification will be appropriately notified.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Stockholders Agreement</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All persons subject to the Stockholders Agreement must comply with certain transfer restrictions as they relate to securities subject to such restrictions. These restrictions provide that for a certain period of time, certain securities may not be transferred subject to certain exceptions, including the prior written consent of a majority of the members of the Compensation Committee of the Board or in connection with a Public Sale (as such term is defined in the Stockholders Agreement) in an amount proportional to the number of shares sold by the Sponsors.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Certain Exceptions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routine Transactions, within the limits described, are generally not subject to the restrictions on trading in this Policy. The Company reserves, though, the right to prohibit any such Transaction as it, in its sole discretion, deems necessary.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Stock Option Exercises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Policy does not apply to the exercise of any employee stock options, where a Company Person pays the exercise price and tax withholding in cash out-of-pocket and holds the stock or to a “net exercise” pursuant to which a Company Person elects to have the Company withhold shares subject to an option to satisfy tax-withholding requirements. This Policy does apply, however, to any sale of shares as part of a broker-assisted cashless exercise of an option or any other market sale for the purpose of generating the cash needed to pay the exercise price of, or to satisfy tax withholding obligations on, an 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Restricted Stock and Restricted Stock Unit Awards</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Policy does not apply to the vesting and settlement of restricted stock and restricted stock units, or the withholding or sale of stock back to the Company to satisfy tax withholding obligations upon the vesting of any restricted stock or restricted stock units. The Policy does apply, however,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32" w:right="339" w:bottom="1440" w:gutter="0" w:footer="0" w:header="0"/>
        </w:sectPr>
      </w:pPr>
    </w:p>
    <w:bookmarkStart w:id="134" w:name="page135"/>
    <w:bookmarkEnd w:id="134"/>
    <w:p>
      <w:pPr>
        <w:spacing w:after="0" w:line="271" w:lineRule="auto"/>
        <w:rPr>
          <w:sz w:val="20"/>
          <w:szCs w:val="20"/>
          <w:color w:val="auto"/>
        </w:rPr>
      </w:pPr>
      <w:r>
        <w:rPr>
          <w:rFonts w:ascii="Times New Roman" w:cs="Times New Roman" w:eastAsia="Times New Roman" w:hAnsi="Times New Roman"/>
          <w:sz w:val="22"/>
          <w:szCs w:val="22"/>
          <w:color w:val="auto"/>
        </w:rPr>
        <w:t>any market sale of stock after vesting or settlement; provided that automatic sales of stock to satisfy tax withholding obligations will be permitted to the extent clearly set forth in the applicable grant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Indirect Investing</w:t>
      </w:r>
    </w:p>
    <w:p>
      <w:pPr>
        <w:spacing w:after="0" w:line="11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1"/>
          <w:szCs w:val="21"/>
          <w:color w:val="auto"/>
        </w:rPr>
        <w:t>This Policy does not apply to the trading, on a national securities exchange, of shares of an open-end mutual fund that is a registered investment company under the Investment Company Act of 1940 and that holds Company Securities. Other forms of indirect investment, including through partnerships or private funds, that invest in Company Securities are subject to this Policy.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Additional Procedures and Guidelines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Transactions under Rule 10b5-1 Plans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Implementation of a trading plan under Rule 10b5-1 under the Exchange Act allows a person to enter into a plan with a broker to purchase or sell Company Securities, so long as the plan specifies the dates, prices and amounts of the planned trades or establishes a formula for those purposes. Trades executed pursuant to a Rule 10b5-1 plan that meet the requirements of Rule 10b5-1 and those listed below may generally be executed even though the person who established the plan may be in possession of material non-public information at the time of the trade.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trading plan may only be established when a person is not in possession of material non-public information and when a blackout period is not in effect. Anyone subject to this Policy who wishes to enter into a Rule 10b5-1 plan must submit the trading plan to Legal for prior written approval. If required by Legal, all Rule 10b5-1 plans must be placed through such broker as Legal directs. Subsequent modifications or terminations to any Rule 10b5-1 plan must also be pre-approved by Legal.</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Whether or not pre-approval will be granted will depend on all the facts and circumstances at the time, but the following guidelines should be kept in mind:</w:t>
      </w:r>
    </w:p>
    <w:p>
      <w:pPr>
        <w:spacing w:after="0" w:line="158"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must meet all of the applicable requirements of Rule 10b5-1;</w:t>
      </w:r>
    </w:p>
    <w:p>
      <w:pPr>
        <w:spacing w:after="0" w:line="57" w:lineRule="exact"/>
        <w:rPr>
          <w:rFonts w:ascii="Times New Roman" w:cs="Times New Roman" w:eastAsia="Times New Roman" w:hAnsi="Times New Roman"/>
          <w:sz w:val="22"/>
          <w:szCs w:val="22"/>
          <w:i w:val="1"/>
          <w:iCs w:val="1"/>
          <w:color w:val="auto"/>
        </w:rPr>
      </w:pPr>
    </w:p>
    <w:p>
      <w:pPr>
        <w:ind w:left="980" w:hanging="324"/>
        <w:spacing w:after="0" w:line="273" w:lineRule="auto"/>
        <w:tabs>
          <w:tab w:leader="none" w:pos="975"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must be in writing and entered into only when a blackout period is not in effect and when the individual is not in possession of material non-public information;</w:t>
      </w:r>
    </w:p>
    <w:p>
      <w:pPr>
        <w:spacing w:after="0" w:line="4" w:lineRule="exact"/>
        <w:rPr>
          <w:rFonts w:ascii="Times New Roman" w:cs="Times New Roman" w:eastAsia="Times New Roman" w:hAnsi="Times New Roman"/>
          <w:sz w:val="22"/>
          <w:szCs w:val="22"/>
          <w:i w:val="1"/>
          <w:iCs w:val="1"/>
          <w:color w:val="auto"/>
        </w:rPr>
      </w:pPr>
    </w:p>
    <w:p>
      <w:pPr>
        <w:ind w:left="980" w:hanging="324"/>
        <w:spacing w:after="0" w:line="267" w:lineRule="auto"/>
        <w:tabs>
          <w:tab w:leader="none" w:pos="975"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must be adopted in good faith and not as part of a plan or scheme to evade the anti-fraud rules under the federal securities laws;</w:t>
      </w:r>
    </w:p>
    <w:p>
      <w:pPr>
        <w:spacing w:after="0" w:line="4" w:lineRule="exact"/>
        <w:rPr>
          <w:rFonts w:ascii="Times New Roman" w:cs="Times New Roman" w:eastAsia="Times New Roman" w:hAnsi="Times New Roman"/>
          <w:sz w:val="22"/>
          <w:szCs w:val="22"/>
          <w:i w:val="1"/>
          <w:iCs w:val="1"/>
          <w:color w:val="auto"/>
        </w:rPr>
      </w:pPr>
    </w:p>
    <w:p>
      <w:pPr>
        <w:ind w:left="980" w:right="20" w:hanging="324"/>
        <w:spacing w:after="0" w:line="267" w:lineRule="auto"/>
        <w:tabs>
          <w:tab w:leader="none" w:pos="975"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individual may not have more than one trading plan in effect at any given time, and no Transactions may be effected outside the plan;</w:t>
      </w:r>
    </w:p>
    <w:p>
      <w:pPr>
        <w:spacing w:after="0" w:line="4" w:lineRule="exact"/>
        <w:rPr>
          <w:rFonts w:ascii="Times New Roman" w:cs="Times New Roman" w:eastAsia="Times New Roman" w:hAnsi="Times New Roman"/>
          <w:sz w:val="22"/>
          <w:szCs w:val="22"/>
          <w:i w:val="1"/>
          <w:iCs w:val="1"/>
          <w:color w:val="auto"/>
        </w:rPr>
      </w:pPr>
    </w:p>
    <w:p>
      <w:pPr>
        <w:ind w:left="980" w:right="20" w:hanging="324"/>
        <w:spacing w:after="0" w:line="273" w:lineRule="auto"/>
        <w:tabs>
          <w:tab w:leader="none" w:pos="975"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must permit its termination by the Company at any time when the Company believes that trading pursuant to its terms may not lawfully occur;</w:t>
      </w:r>
    </w:p>
    <w:p>
      <w:pPr>
        <w:spacing w:after="0" w:line="4" w:lineRule="exact"/>
        <w:rPr>
          <w:rFonts w:ascii="Times New Roman" w:cs="Times New Roman" w:eastAsia="Times New Roman" w:hAnsi="Times New Roman"/>
          <w:sz w:val="22"/>
          <w:szCs w:val="22"/>
          <w:i w:val="1"/>
          <w:iCs w:val="1"/>
          <w:color w:val="auto"/>
        </w:rPr>
      </w:pPr>
    </w:p>
    <w:p>
      <w:pPr>
        <w:ind w:left="980" w:hanging="324"/>
        <w:spacing w:after="0" w:line="267" w:lineRule="auto"/>
        <w:tabs>
          <w:tab w:leader="none" w:pos="975"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Transactions under the trading plan may not commence until the applicable cooling-off period requested by Rule 10b5-1 (or such longer period as Legal directs) has elapsed from the date the plan is executed;</w:t>
      </w:r>
    </w:p>
    <w:p>
      <w:pPr>
        <w:spacing w:after="0" w:line="4" w:lineRule="exact"/>
        <w:rPr>
          <w:rFonts w:ascii="Times New Roman" w:cs="Times New Roman" w:eastAsia="Times New Roman" w:hAnsi="Times New Roman"/>
          <w:sz w:val="22"/>
          <w:szCs w:val="22"/>
          <w:i w:val="1"/>
          <w:i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should, in the absence of special circumstances, be for a period of not less than one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32" w:right="339" w:bottom="1440" w:gutter="0" w:footer="0" w:header="0"/>
        </w:sectPr>
      </w:pPr>
    </w:p>
    <w:bookmarkStart w:id="135" w:name="page136"/>
    <w:bookmarkEnd w:id="135"/>
    <w:p>
      <w:pPr>
        <w:jc w:val="both"/>
        <w:ind w:left="980" w:hanging="324"/>
        <w:spacing w:after="0" w:line="250" w:lineRule="auto"/>
        <w:tabs>
          <w:tab w:leader="none" w:pos="975" w:val="left"/>
        </w:tabs>
        <w:numPr>
          <w:ilvl w:val="0"/>
          <w:numId w:val="5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trading plan may generally not be terminated or amended once it is executed to avoid calling into question the original “bona fides” of the plan; any amendment or termination must be made only during a non-blackout period when the person is not in possession of material non-public information and Transactions under the amended plan may not commence until the applicable cooling-off period requested by Rule 10b5-1 (or such longer period as Legal directs) has elapsed from the execution of the amendment;</w:t>
      </w:r>
    </w:p>
    <w:p>
      <w:pPr>
        <w:spacing w:after="0" w:line="32" w:lineRule="exact"/>
        <w:rPr>
          <w:rFonts w:ascii="Times New Roman" w:cs="Times New Roman" w:eastAsia="Times New Roman" w:hAnsi="Times New Roman"/>
          <w:sz w:val="22"/>
          <w:szCs w:val="22"/>
          <w:i w:val="1"/>
          <w:iCs w:val="1"/>
          <w:color w:val="auto"/>
        </w:rPr>
      </w:pPr>
    </w:p>
    <w:p>
      <w:pPr>
        <w:jc w:val="both"/>
        <w:ind w:left="980" w:hanging="324"/>
        <w:spacing w:after="0" w:line="257" w:lineRule="auto"/>
        <w:tabs>
          <w:tab w:leader="none" w:pos="975" w:val="left"/>
        </w:tabs>
        <w:numPr>
          <w:ilvl w:val="0"/>
          <w:numId w:val="5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Trading plans do not obviate the need to file Form 144 or Forms 4 or 5 (as discussed below) and the fact that a reported Transaction was made or is to be made pursuant to a trading plan should be noted on the applicable Form; and</w:t>
      </w:r>
    </w:p>
    <w:p>
      <w:pPr>
        <w:spacing w:after="0" w:line="10" w:lineRule="exact"/>
        <w:rPr>
          <w:rFonts w:ascii="Times New Roman" w:cs="Times New Roman" w:eastAsia="Times New Roman" w:hAnsi="Times New Roman"/>
          <w:sz w:val="22"/>
          <w:szCs w:val="22"/>
          <w:i w:val="1"/>
          <w:iCs w:val="1"/>
          <w:color w:val="auto"/>
        </w:rPr>
      </w:pPr>
    </w:p>
    <w:p>
      <w:pPr>
        <w:jc w:val="both"/>
        <w:ind w:left="980" w:hanging="324"/>
        <w:spacing w:after="0" w:line="257" w:lineRule="auto"/>
        <w:tabs>
          <w:tab w:leader="none" w:pos="975" w:val="left"/>
        </w:tabs>
        <w:numPr>
          <w:ilvl w:val="0"/>
          <w:numId w:val="5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 copy of the executed version of any pre-cleared trading plan must be provided to Legal for retention in accordance with the Company’s Record Management policy in the Company’s Global Code of Conduct, and depending on the facts and circumstances, the General Counsel may require other conditions to pre-clearance.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Insider Pre-Clearance</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Insiders (as defined above) must obtain written pre-clearance from Legal before transacting in Company Securities, including for Transactions occurring outside a blackout period, any exercise of director or employee stock options and any gifts of Company securities. A form for such purposes is provided as </w:t>
      </w:r>
      <w:r>
        <w:rPr>
          <w:rFonts w:ascii="Times New Roman" w:cs="Times New Roman" w:eastAsia="Times New Roman" w:hAnsi="Times New Roman"/>
          <w:sz w:val="22"/>
          <w:szCs w:val="22"/>
          <w:u w:val="single" w:color="auto"/>
          <w:color w:val="auto"/>
        </w:rPr>
        <w:t>Attachment B</w:t>
      </w:r>
      <w:r>
        <w:rPr>
          <w:rFonts w:ascii="Times New Roman" w:cs="Times New Roman" w:eastAsia="Times New Roman" w:hAnsi="Times New Roman"/>
          <w:sz w:val="22"/>
          <w:szCs w:val="22"/>
          <w:color w:val="auto"/>
        </w:rPr>
        <w:t>. A request for pre-clearance should be submitted at least two days in advance of the proposed Transaction. Legal is under no obligation to approve any Transaction. Preclearance of any Transaction is valid only for a 48-hour period. Except in cases of previously approved “limit” orders, if the transaction order is not placed within that period, pre-clearance must be requested and approved in writing again. Requesting persons must treat denials of pre-clearance requests as confidential.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Exchange Act Section 16</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Section 16(a) of the Exchange Act requires directors and executive officers (“Section 16 Persons”) to file with the SEC reports on designated forms (i.e., Forms 3, 4 and 5) as to their beneficial ownership of common stock and other equity securities (including derivatives) of the Company and to report purchases, sales and other changes in their ownership of such common stock and securities. Section 16(b) requires Section 16 Persons to turn over to the Company any deemed profit on nonexempt purchases and sales or sales and purchases of such common stock and equity securities (including derivatives) that occur within six months of each other. A deemed profit can exist even if there was an actual loss or a tax loss. This deemed profit is commonly called “short-swing profit.” For purposes of Section 16, Section 16 persons are treated as the beneficial owners of securities held by family members sharing their household.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purposes of Section 16(b), grants, properly authorized by the Board or committee of the Board, of stock options, restricted stock, restricted stock units, deferred stock units or other awards under the Company’s equity incentive plans are generally treated as exempt purchases that cannot be matched against any nonexempt sales but must still be reported. The exercise of a stock option or the vesting and settlement a restricted or deferred stock unit is exempt from Section 16(b) but also must be reported. If a Section 16 Person uses already owned stock to pay the exercise price of a stock option or has shares withheld to satisfy his or her tax withholding liabilities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32" w:right="339" w:bottom="1440" w:gutter="0" w:footer="0" w:header="0"/>
        </w:sectPr>
      </w:pPr>
    </w:p>
    <w:bookmarkStart w:id="136" w:name="page137"/>
    <w:bookmarkEnd w:id="136"/>
    <w:p>
      <w:pPr>
        <w:jc w:val="both"/>
        <w:spacing w:after="0" w:line="252" w:lineRule="auto"/>
        <w:rPr>
          <w:sz w:val="20"/>
          <w:szCs w:val="20"/>
          <w:color w:val="auto"/>
        </w:rPr>
      </w:pPr>
      <w:r>
        <w:rPr>
          <w:rFonts w:ascii="Times New Roman" w:cs="Times New Roman" w:eastAsia="Times New Roman" w:hAnsi="Times New Roman"/>
          <w:sz w:val="22"/>
          <w:szCs w:val="22"/>
          <w:color w:val="auto"/>
        </w:rPr>
        <w:t>with a stock option exercise or vesting and settlement of a restricted or deferred stock unit, the disposition of the shares must be reported but is exempt from Section 16b-6 and cannot be matched against any nonexempt purchases. However, any sale of stock received upon exercise of a stock option or vesting and settlement of a restricted or deferred stock unit on the market will be a nonexempt sale and matchable with any nonexempt purchase occurring within six months before or after such sale.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a Section 16 Person exercises an option granted under the Company’s equity incentive plans and holds onto the stock received from the exercise (a “buy-hold” Transaction), the executive officer has not made a “purchase” for purposes of Section 16(b). When he or she eventually sells the stock received upon exercising the option, the sale of the stock is a “sale” for purposes of Section 16(b).</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the executive officer exercises an option granted under the Company’s equity incentive plans and immediately sells the stock received from the exercise (a “buy-sell” Transaction), he or she will have a “sale” for the purposes of Section 16(b) but not a purchase.</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Section 16 Persons should be aware that trading in Company stock under an approved Rule 10b5-1 plan does not exempt such Transactions from the provisions of Section 16, including the reporting requirements under Section 16(a).</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To ensure compliance with all reporting requirements, a Section 16 Person </w:t>
      </w:r>
      <w:r>
        <w:rPr>
          <w:rFonts w:ascii="Times New Roman" w:cs="Times New Roman" w:eastAsia="Times New Roman" w:hAnsi="Times New Roman"/>
          <w:sz w:val="22"/>
          <w:szCs w:val="22"/>
          <w:u w:val="single" w:color="auto"/>
          <w:color w:val="auto"/>
        </w:rPr>
        <w:t>must</w:t>
      </w:r>
      <w:r>
        <w:rPr>
          <w:rFonts w:ascii="Times New Roman" w:cs="Times New Roman" w:eastAsia="Times New Roman" w:hAnsi="Times New Roman"/>
          <w:sz w:val="22"/>
          <w:szCs w:val="22"/>
          <w:color w:val="auto"/>
        </w:rPr>
        <w:t>, on the date of any Transaction, provide Legal with all information relating to the trade that is necessary to properly prepare a Form 4. A Section 16 Person must also execute a Form 4 (either individually or through a duly-authorized power of attorney) within a sufficient amount of time to allow Legal to electronically file the Form 4 with the SEC via EDGAR before the end of the second business day following the trade (10:00 p.m. U.S. Eastern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Restrictions on Resales of Securities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 director, executive officer or employee who owns Company Securities that are restricted (i.e., that were granted by or purchased from the Company without having first been registered with the SEC) may only sell those Company Securities pursuant to Rule 144 or an effective registration statement.</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director or executive officer who owns Company Securities (even those purchased on the open market) may only sell them pursuant to Rule 144 or an effective registration statement.</w:t>
      </w:r>
    </w:p>
    <w:p>
      <w:pPr>
        <w:spacing w:after="0" w:line="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Rule 144 imposes certain restrictions on sales and a Form 144 must be filed as a notice of a proposed sale of securities in reliance on Rule 144 when the amount to be sold under Rule 144 during any three-month period exceeds 5,000 shares or units or has an aggregate sales price in excess of $50,000.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Confidentiality of All Non-Public Information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Company Persons must maintain the confidentiality of the Company’s non-public information. In the event a Company Person receives any inquiry or request for information (particularly financial results and/or projections, and including to affirm or deny information about the Company), from any person or entity outside the Company, such as a stock analyst, and it is not part of such Company Person’s regular corporate duties to respond to such inquiry or request, the inquiry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32"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be referred to Investor Relations, which will determine whether such inquiry should also be forwarded to Legal.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anything herein or in any other policy or agreement to the contrary, nothing in this Policy shall:</w:t>
      </w:r>
    </w:p>
    <w:p>
      <w:pPr>
        <w:spacing w:after="0" w:line="112" w:lineRule="exact"/>
        <w:rPr>
          <w:sz w:val="20"/>
          <w:szCs w:val="20"/>
          <w:color w:val="auto"/>
        </w:rPr>
      </w:pPr>
    </w:p>
    <w:p>
      <w:pPr>
        <w:jc w:val="both"/>
        <w:ind w:left="660" w:hanging="328"/>
        <w:spacing w:after="0" w:line="275" w:lineRule="auto"/>
        <w:tabs>
          <w:tab w:leader="none" w:pos="65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prohibit employees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w:t>
      </w:r>
    </w:p>
    <w:p>
      <w:pPr>
        <w:spacing w:after="0" w:line="60" w:lineRule="exact"/>
        <w:rPr>
          <w:rFonts w:ascii="Times New Roman" w:cs="Times New Roman" w:eastAsia="Times New Roman" w:hAnsi="Times New Roman"/>
          <w:sz w:val="21"/>
          <w:szCs w:val="21"/>
          <w:color w:val="auto"/>
        </w:rPr>
      </w:pPr>
    </w:p>
    <w:p>
      <w:pPr>
        <w:jc w:val="both"/>
        <w:ind w:left="660" w:hanging="328"/>
        <w:spacing w:after="0" w:line="257"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notification or prior approval by the Company of any such report; provided that, employee is not authorized to disclose communications with counsel that were made for the purpose of receiving legal advice or that contain legal advice or that are protected by the attorney work product or similar privilege.</w:t>
      </w:r>
    </w:p>
    <w:p>
      <w:pPr>
        <w:spacing w:after="0" w:line="6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Furthermore, employees shall not be held criminally or civilly liable under any federal or state trade secret law for the disclosure of a trade secret that is made:</w:t>
      </w:r>
    </w:p>
    <w:p>
      <w:pPr>
        <w:spacing w:after="0" w:line="50" w:lineRule="exact"/>
        <w:rPr>
          <w:sz w:val="20"/>
          <w:szCs w:val="20"/>
          <w:color w:val="auto"/>
        </w:rPr>
      </w:pPr>
    </w:p>
    <w:p>
      <w:pPr>
        <w:ind w:left="660" w:right="280" w:hanging="328"/>
        <w:spacing w:after="0" w:line="284" w:lineRule="auto"/>
        <w:tabs>
          <w:tab w:leader="none" w:pos="65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in each case, solely for the purpose of reporting or investigating a suspected violation of law; or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complaint or other document filed in a lawsuit or proceeding, if such filings are made under seal.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Individual Responsibility</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Company Persons have the individual responsibility to comply with this Policy. A Company Person may, from time to time, have to forgo a proposed Transaction in Company Securities even if he or she planned to make the Transaction before learning of the material non-public information. While Legal can and should be consulted regarding the application of this Policy, including the appropriateness of engaging in a particular Transaction at a particular time, the responsibility for adhering to this Policy and avoiding unlawful Transactions, and ensuring that related persons (as described above) do the same, rests with each Company Person.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Post-Termination Transactions</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a Company Person is in possession of material non-public information when his or her employment or service terminates, that person may not trade in Company Securities (or another company’s securities, as described in this Policy) until such information has become public or is no longer material.</w:t>
      </w:r>
    </w:p>
    <w:p>
      <w:pPr>
        <w:spacing w:after="0" w:line="277" w:lineRule="exact"/>
        <w:rPr>
          <w:sz w:val="20"/>
          <w:szCs w:val="20"/>
          <w:color w:val="auto"/>
        </w:rPr>
      </w:pPr>
    </w:p>
    <w:p>
      <w:pPr>
        <w:ind w:left="540" w:hanging="532"/>
        <w:spacing w:after="0"/>
        <w:tabs>
          <w:tab w:leader="none" w:pos="5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Potential Criminal and Civil Liability and/or Disciplinary Action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Criminal and Civil Liability</w:t>
      </w:r>
    </w:p>
    <w:p>
      <w:pPr>
        <w:spacing w:after="0" w:line="22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Pursuant to federal, state and non-U.S. securities laws, persons engaging in transactions in a company’s securities at a time when they have material non-public information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32" w:right="3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22"/>
          <w:szCs w:val="22"/>
          <w:color w:val="auto"/>
        </w:rPr>
        <w:t>company, or that disclose material non-public information or make recommendations or express opinions on the basis of material non-public information to a person who engages in transactions in that company’s securities (“tipping”), may be subject to significant monetary fines and imprisonment. The Company and its supervisory personnel also face potential civil and criminal liability if they fail to take appropriate steps to prevent illegal insider trading.</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SEC has imposed large penalties even when the disclosing person did not profit from the trading; there is no minimum amount of profit required for prosecution.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Possible Disciplinary Action</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Company Persons who violate this Policy will be subject to disciplinary action by the Company, which may include ineligibility for future participation in the Company’s equity incentive plans or termination of employment.</w:t>
      </w:r>
    </w:p>
    <w:p>
      <w:pPr>
        <w:spacing w:after="0" w:line="2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Monitoring Compliance</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Legal will monitor compliance with this Policy and the General Counsel will periodically review this Policy with the Audit Committee of the Board of Directors. In addition to the other duties of Legal under this Policy, Legal will be responsible for the following:</w:t>
      </w:r>
    </w:p>
    <w:p>
      <w:pPr>
        <w:spacing w:after="0" w:line="59" w:lineRule="exact"/>
        <w:rPr>
          <w:sz w:val="20"/>
          <w:szCs w:val="20"/>
          <w:color w:val="auto"/>
        </w:rPr>
      </w:pPr>
    </w:p>
    <w:p>
      <w:pPr>
        <w:jc w:val="both"/>
        <w:ind w:left="980" w:hanging="324"/>
        <w:spacing w:after="0" w:line="257" w:lineRule="auto"/>
        <w:tabs>
          <w:tab w:leader="none" w:pos="97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Pre-clearing all Transactions involving Company Securities by Insiders in order to determine compliance with this Policy, insider trading laws, Section 16 of the Exchange Act and Rule 144 promulgated under the Securities Act of 1933, as amended;</w:t>
      </w:r>
    </w:p>
    <w:p>
      <w:pPr>
        <w:spacing w:after="0" w:line="78" w:lineRule="exact"/>
        <w:rPr>
          <w:rFonts w:ascii="Times New Roman" w:cs="Times New Roman" w:eastAsia="Times New Roman" w:hAnsi="Times New Roman"/>
          <w:sz w:val="22"/>
          <w:szCs w:val="22"/>
          <w:b w:val="1"/>
          <w:bCs w:val="1"/>
          <w:color w:val="auto"/>
        </w:rPr>
      </w:pPr>
    </w:p>
    <w:p>
      <w:pPr>
        <w:ind w:left="980" w:hanging="324"/>
        <w:spacing w:after="0" w:line="271" w:lineRule="auto"/>
        <w:tabs>
          <w:tab w:leader="none" w:pos="97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Serving as the designated recipient at the Company of copies of reports filed with the SEC by Section 16 Persons under Section 16 of the Exchange Act;</w:t>
      </w:r>
    </w:p>
    <w:p>
      <w:pPr>
        <w:spacing w:after="0" w:line="4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Assisting in the preparation of Section 16 reports (Forms 3, 4 and 5) for Section 16 Persons;</w:t>
      </w:r>
    </w:p>
    <w:p>
      <w:pPr>
        <w:spacing w:after="0" w:line="111"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Sending quarterly and other reminders to Insiders regarding the start and completion of the blackout periods;</w:t>
      </w:r>
    </w:p>
    <w:p>
      <w:pPr>
        <w:spacing w:after="0" w:line="111"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Sending notifications to Insiders and other affected persons regarding special blackout periods;</w:t>
      </w:r>
    </w:p>
    <w:p>
      <w:pPr>
        <w:spacing w:after="0" w:line="12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Sending reminders to all Section 16 Persons about their obligations to report under Section 16;</w:t>
      </w:r>
    </w:p>
    <w:p>
      <w:pPr>
        <w:spacing w:after="0" w:line="111" w:lineRule="exact"/>
        <w:rPr>
          <w:rFonts w:ascii="Times New Roman" w:cs="Times New Roman" w:eastAsia="Times New Roman" w:hAnsi="Times New Roman"/>
          <w:sz w:val="22"/>
          <w:szCs w:val="22"/>
          <w:b w:val="1"/>
          <w:bCs w:val="1"/>
          <w:color w:val="auto"/>
        </w:rPr>
      </w:pPr>
    </w:p>
    <w:p>
      <w:pPr>
        <w:jc w:val="both"/>
        <w:ind w:left="980" w:hanging="324"/>
        <w:spacing w:after="0" w:line="257" w:lineRule="auto"/>
        <w:tabs>
          <w:tab w:leader="none" w:pos="97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Performance of periodic cross-checks of available materials, which may include Forms 3, 4 and 5, Form 144, officers’ and directors’ questionnaires, and reports received from the Company’s stock administrator and transfer agent, to determine trading activity by Insiders;</w:t>
      </w:r>
    </w:p>
    <w:p>
      <w:pPr>
        <w:spacing w:after="0" w:line="64" w:lineRule="exact"/>
        <w:rPr>
          <w:rFonts w:ascii="Times New Roman" w:cs="Times New Roman" w:eastAsia="Times New Roman" w:hAnsi="Times New Roman"/>
          <w:sz w:val="22"/>
          <w:szCs w:val="22"/>
          <w:b w:val="1"/>
          <w:bCs w:val="1"/>
          <w:color w:val="auto"/>
        </w:rPr>
      </w:pPr>
    </w:p>
    <w:p>
      <w:pPr>
        <w:ind w:left="980" w:hanging="324"/>
        <w:spacing w:after="0" w:line="271" w:lineRule="auto"/>
        <w:tabs>
          <w:tab w:leader="none" w:pos="975"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Periodically circulating this Policy (and/or a summary thereof) and coordinating training about this Policy to Company Persons;</w:t>
      </w:r>
    </w:p>
    <w:p>
      <w:pPr>
        <w:spacing w:after="0" w:line="63"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circulating this Policy and coordinating training to all persons who become Company Persons;</w:t>
      </w:r>
    </w:p>
    <w:p>
      <w:pPr>
        <w:spacing w:after="0" w:line="111"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Maintaining a current version of this Policy on the Company’s intranet website;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32" w:right="339" w:bottom="1440" w:gutter="0" w:footer="0" w:header="0"/>
        </w:sectPr>
      </w:pPr>
    </w:p>
    <w:bookmarkStart w:id="139" w:name="page140"/>
    <w:bookmarkEnd w:id="139"/>
    <w:p>
      <w:pPr>
        <w:ind w:left="980" w:hanging="324"/>
        <w:spacing w:after="0" w:line="271" w:lineRule="auto"/>
        <w:tabs>
          <w:tab w:leader="none" w:pos="975"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Assisting the Company in implementing this Policy, including monitoring relevant changes in law, regulation or best practices and making appropriate changes to this Policy and related practices and procedures.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General Counsel may delegate the responsibilities under this Policy to persons under his or her supervision, but the General Counsel has ultimate responsibility for all matters pertaining to the interpretation and enforcement of this Policy. Purchasing, Human Resources and other company departments will assist in communications and administration of this Policy as requested by Legal.</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Inquiries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Legal. If there is any uncertainty as to the appropriateness of any such communications, please consult with Legal before speaking with anyone, especially brokers or any other persons or entities contemplating or executing securities trades. Ultimately, however, the responsibility for adhering to this Policy and avoiding unlawful Transactions rests with the individual employee or other applicable individual.</w:t>
      </w:r>
    </w:p>
    <w:p>
      <w:pPr>
        <w:spacing w:after="0" w:line="28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Acknowledgement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All Insiders (as defined above) must confirm their understanding of, and intent to comply with, this Policy by completing the certification attached hereto as Annex 1, and returning the certification to Legal. Any other Company Person requested by Legal to confirm their understanding of, and intent to comply with, this Policy must complete the certification attached hereto as Annex 1, and returning the certification to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4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At a minimum, the “Insider” group should include directors and the officers who are subject to the reporting and liability provisions of Section 16 of the Securities Exchange Act of 1934 (the “Exchange Act”). The individuals serving in the following capacities (or similar capacity regardless of the title), as applicable, are considered to be “Insiders”: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286385</wp:posOffset>
            </wp:positionV>
            <wp:extent cx="3969385" cy="32232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extLst>
                        <a:ext uri="{28A0092B-C50C-407E-A947-70E740481C1C}"/>
                      </a:extLst>
                    </a:blip>
                    <a:srcRect/>
                    <a:stretch>
                      <a:fillRect/>
                    </a:stretch>
                  </pic:blipFill>
                  <pic:spPr bwMode="auto">
                    <a:xfrm>
                      <a:off x="0" y="0"/>
                      <a:ext cx="3969385" cy="32232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u w:val="single" w:color="auto"/>
          <w:color w:val="auto"/>
        </w:rPr>
        <w:t>Title</w:t>
      </w: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Chairman</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Senior Vice President, Chief Financial Officer</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Senior Vice President, General Counsel</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Secretary</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President, Nelson Labs</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President, Nordion</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President, Sterigenics</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Chief Marketing Officer</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Senior Vice President, Strategy and Corporate Development</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Senior Vice President, Environmental, Health and Safety</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Chief Information Officer</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3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Additionally, all members of the legal department, all employees (regardless of location and regardless of employing entity) who are members of the internal audit, finance, accounting, tax, investor relations, financial planning or business development/strategy functions and all other employees reporting directly to the CEO, CFO or General Counsel, shall be considered “Insiders.”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09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Trading Clearance Application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783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7830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Proposed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-13970</wp:posOffset>
            </wp:positionV>
            <wp:extent cx="13716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-13970</wp:posOffset>
            </wp:positionV>
            <wp:extent cx="12344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Transaction (Pledge/ Purchase / Sale / Entry into 10b5-1 Plan (if Plan, please attach) /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83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Involved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-13970</wp:posOffset>
            </wp:positionV>
            <wp:extent cx="10972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51" w:lineRule="exact"/>
        <w:rPr>
          <w:sz w:val="20"/>
          <w:szCs w:val="20"/>
          <w:color w:val="auto"/>
        </w:rPr>
      </w:pPr>
    </w:p>
    <w:p>
      <w:pPr>
        <w:jc w:val="both"/>
        <w:ind w:firstLine="321"/>
        <w:spacing w:after="0" w:line="268" w:lineRule="auto"/>
        <w:rPr>
          <w:sz w:val="20"/>
          <w:szCs w:val="20"/>
          <w:color w:val="auto"/>
        </w:rPr>
      </w:pPr>
      <w:r>
        <w:rPr>
          <w:rFonts w:ascii="Times New Roman" w:cs="Times New Roman" w:eastAsia="Times New Roman" w:hAnsi="Times New Roman"/>
          <w:sz w:val="21"/>
          <w:szCs w:val="21"/>
          <w:color w:val="auto"/>
        </w:rPr>
        <w:t>I hereby certify that I am not in possession of any material non-public information about the Company.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trade while in possession of material non-public information, I may be subject to severe civil or criminal penalties, and may be subject to discipline by the Company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6858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Review and Decision</w:t>
      </w: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undersigned has reviewed the foregoing application and approves / prohibits (circle one)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858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6858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093"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00" w:lineRule="exact"/>
        <w:rPr>
          <w:sz w:val="20"/>
          <w:szCs w:val="20"/>
          <w:color w:val="auto"/>
        </w:rPr>
      </w:pPr>
    </w:p>
    <w:p>
      <w:pPr>
        <w:spacing w:after="0" w:line="26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undersigned hereby acknowledges that he/she has read and understands, and agrees to comply with, the Company’s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408940</wp:posOffset>
            </wp:positionV>
            <wp:extent cx="8229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-13970</wp:posOffset>
            </wp:positionV>
            <wp:extent cx="6858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-13970</wp:posOffset>
            </wp:positionV>
            <wp:extent cx="6858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w:t>
      </w:r>
    </w:p>
    <w:p>
      <w:pPr>
        <w:sectPr>
          <w:pgSz w:w="11900" w:h="16838" w:orient="portrait"/>
          <w:cols w:equalWidth="0" w:num="1">
            <w:col w:w="11240"/>
          </w:cols>
          <w:pgMar w:left="320" w:top="109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list of subsidiaries of Sotera Health Company, omitting subsidiaries which are dormant entities without any operations and holding no or </w:t>
      </w:r>
      <w:r>
        <w:rPr>
          <w:rFonts w:ascii="Times New Roman" w:cs="Times New Roman" w:eastAsia="Times New Roman" w:hAnsi="Times New Roman"/>
          <w:sz w:val="18"/>
          <w:szCs w:val="18"/>
          <w:i w:val="1"/>
          <w:iCs w:val="1"/>
          <w:color w:val="auto"/>
        </w:rPr>
        <w:t>de minimis assets</w:t>
      </w:r>
      <w:r>
        <w:rPr>
          <w:rFonts w:ascii="Times New Roman" w:cs="Times New Roman" w:eastAsia="Times New Roman" w:hAnsi="Times New Roman"/>
          <w:sz w:val="18"/>
          <w:szCs w:val="18"/>
          <w:color w:val="auto"/>
        </w:rPr>
        <w:t>, and which, considered in the aggregate as a single subsidiary, would not constitute a significant subsidiary as of February 27, 2025.</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Companhia Brasileira de Esterilização</w:t>
            </w:r>
          </w:p>
        </w:tc>
        <w:tc>
          <w:tcPr>
            <w:tcW w:w="7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DEROSS Holding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Bozeman,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 NV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Compliance Associates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REVISS Services (UK) Limited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RSI Leasing,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Services,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Fleurus S.A.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Petit Rechain S.A.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Brasil Participaçãos EIRELI</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Costa Rica, S.R.L.</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Denmark 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EO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France S.A.S.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Germany GmbH</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Italy S.p.A.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NV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IN,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 de R.L. de C.V.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E-beam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ETO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Thailand,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UK Limited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1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2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C.V.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Unidade de Esterilização Cotia LTDA</w:t>
            </w:r>
          </w:p>
        </w:tc>
        <w:tc>
          <w:tcPr>
            <w:tcW w:w="7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bl>
    <w:p>
      <w:pPr>
        <w:sectPr>
          <w:pgSz w:w="11900" w:h="16838" w:orient="portrait"/>
          <w:cols w:equalWidth="0" w:num="1">
            <w:col w:w="11240"/>
          </w:cols>
          <w:pgMar w:left="320" w:top="92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320" w:firstLine="3318"/>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333-277418) of Sotera Health Company;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333-250894) pertaining to the Sotera Health Company 2020 Omnibus Incentive Plan;</w:t>
      </w:r>
    </w:p>
    <w:p>
      <w:pPr>
        <w:spacing w:after="0" w:line="1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2025, with respect to the consolidated financial statements and schedule of Sotera Health Company and the effectiveness of internal control over financial reporting of Sotera Health Company, included in this Annual Report (Form 10-K) of Sotera Health Company for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Sotera Health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2025</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173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Sotera Health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2025</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1513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Officer</w:t>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Sotera Health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to each such officer’s knowledge, that the Annual Report on Form 10-K for the year ended December 31, 2024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Dated: February 27, 2025</w:t>
      </w:r>
      <w:r>
        <w:rPr>
          <w:sz w:val="20"/>
          <w:szCs w:val="20"/>
          <w:color w:val="auto"/>
        </w:rPr>
        <w:tab/>
      </w:r>
      <w:r>
        <w:rPr>
          <w:rFonts w:ascii="Times New Roman" w:cs="Times New Roman" w:eastAsia="Times New Roman" w:hAnsi="Times New Roman"/>
          <w:sz w:val="17"/>
          <w:szCs w:val="17"/>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43180</wp:posOffset>
            </wp:positionV>
            <wp:extent cx="3497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Dated: February 27, 2025</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43180</wp:posOffset>
            </wp:positionV>
            <wp:extent cx="3497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Jonathan M. Lyons</w:t>
      </w:r>
    </w:p>
    <w:p>
      <w:pPr>
        <w:ind w:left="5520"/>
        <w:spacing w:after="0" w:line="219" w:lineRule="auto"/>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8"/>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2"/>
    </w:lvl>
  </w:abstractNum>
  <w:abstractNum w:abstractNumId="29">
    <w:nsid w:val="542289EC"/>
    <w:multiLevelType w:val="hybridMultilevel"/>
    <w:lvl w:ilvl="0">
      <w:lvlJc w:val="left"/>
      <w:lvlText w:val="%1."/>
      <w:numFmt w:val="decimal"/>
      <w:start w:val="3"/>
    </w:lvl>
  </w:abstractNum>
  <w:abstractNum w:abstractNumId="30">
    <w:nsid w:val="6DE91B18"/>
    <w:multiLevelType w:val="hybridMultilevel"/>
    <w:lvl w:ilvl="0">
      <w:lvlJc w:val="left"/>
      <w:lvlText w:val="%1."/>
      <w:numFmt w:val="decimal"/>
      <w:start w:val="7"/>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decimal"/>
      <w:start w:val="14"/>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1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lowerLetter"/>
      <w:start w:val="1"/>
    </w:lvl>
    <w:lvl w:ilvl="1">
      <w:lvlJc w:val="left"/>
      <w:lvlText w:val="(%2)"/>
      <w:numFmt w:val="decimal"/>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upperLetter"/>
      <w:start w:val="9"/>
    </w:lvl>
  </w:abstractNum>
  <w:abstractNum w:abstractNumId="49">
    <w:nsid w:val="39386575"/>
    <w:multiLevelType w:val="hybridMultilevel"/>
    <w:lvl w:ilvl="0">
      <w:lvlJc w:val="left"/>
      <w:lvlText w:val="%1."/>
      <w:numFmt w:val="upperLetter"/>
      <w:start w:val="35"/>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upperLetter"/>
      <w:start w:val="6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3" Type="http://schemas.openxmlformats.org/officeDocument/2006/relationships/image" Target="media/image174.png"/><Relationship Id="rId244" Type="http://schemas.openxmlformats.org/officeDocument/2006/relationships/image" Target="media/image175.png"/><Relationship Id="rId245"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48" Type="http://schemas.openxmlformats.org/officeDocument/2006/relationships/image" Target="media/image179.png"/><Relationship Id="rId249" Type="http://schemas.openxmlformats.org/officeDocument/2006/relationships/image" Target="media/image180.png"/><Relationship Id="rId250" Type="http://schemas.openxmlformats.org/officeDocument/2006/relationships/image" Target="media/image181.png"/><Relationship Id="rId251" Type="http://schemas.openxmlformats.org/officeDocument/2006/relationships/image" Target="media/image182.png"/><Relationship Id="rId252" Type="http://schemas.openxmlformats.org/officeDocument/2006/relationships/image" Target="media/image183.pn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259"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163" Type="http://schemas.openxmlformats.org/officeDocument/2006/relationships/hyperlink" Target="https://www.sec.gov/Archives/edgar/data/1822479/000182247921000018/shc_20201231xexhibitx3x1.htm" TargetMode="External"/><Relationship Id="rId164" Type="http://schemas.openxmlformats.org/officeDocument/2006/relationships/hyperlink" Target="https://www.sec.gov/Archives/edgar/data/1822479/000182247924000027/shc_20240523xexhibitx3x1.htm" TargetMode="External"/><Relationship Id="rId165" Type="http://schemas.openxmlformats.org/officeDocument/2006/relationships/hyperlink" Target="https://www.sec.gov/Archives/edgar/data/1822479/000182247924000049/shc20240930_exhibitx3x1.htm" TargetMode="External"/><Relationship Id="rId166" Type="http://schemas.openxmlformats.org/officeDocument/2006/relationships/hyperlink" Target="https://www.sec.gov/Archives/edgar/data/1822479/000182247921000018/shc_20201231xexhibitx4x1.htm" TargetMode="External"/><Relationship Id="rId167" Type="http://schemas.openxmlformats.org/officeDocument/2006/relationships/hyperlink" Target="https://www.sec.gov/Archives/edgar/data/1822479/000182247921000018/shc_20201231xexhibitx4x2.htm" TargetMode="External"/><Relationship Id="rId168" Type="http://schemas.openxmlformats.org/officeDocument/2006/relationships/hyperlink" Target="https://www.sec.gov/Archives/edgar/data/1822479/000182247924000041/shc20240630_exhibitx4x1.htm" TargetMode="External"/><Relationship Id="rId169" Type="http://schemas.openxmlformats.org/officeDocument/2006/relationships/hyperlink" Target="https://www.sec.gov/Archives/edgar/data/1822479/000182247924000041/shc20240630_exhibitx4x3.htm" TargetMode="External"/><Relationship Id="rId170" Type="http://schemas.openxmlformats.org/officeDocument/2006/relationships/hyperlink" Target="https://www.sec.gov/Archives/edgar/data/1822479/000119312520290973/d93452dex101.htm" TargetMode="External"/><Relationship Id="rId171" Type="http://schemas.openxmlformats.org/officeDocument/2006/relationships/hyperlink" Target="https://www.sec.gov/Archives/edgar/data/1822479/000182247923000015/shc20221231_exhibitx10x05.htm" TargetMode="External"/><Relationship Id="rId174" Type="http://schemas.openxmlformats.org/officeDocument/2006/relationships/hyperlink" Target="https://www.sec.gov/Archives/edgar/data/1822479/000182247923000015/shc20221231_exhibitx10x06.htm" TargetMode="External"/><Relationship Id="rId175" Type="http://schemas.openxmlformats.org/officeDocument/2006/relationships/hyperlink" Target="https://www.sec.gov/Archives/edgar/data/1822479/000182247923000015/shc20221231_exhibitx10x07.htm" TargetMode="External"/><Relationship Id="rId176" Type="http://schemas.openxmlformats.org/officeDocument/2006/relationships/hyperlink" Target="https://www.sec.gov/Archives/edgar/data/1822479/000182247923000015/shc20221231_exhibitx10x08.htm" TargetMode="External"/><Relationship Id="rId177" Type="http://schemas.openxmlformats.org/officeDocument/2006/relationships/hyperlink" Target="https://www.sec.gov/Archives/edgar/data/1822479/000182247923000015/shc20221231_exhibitx10x09.htm" TargetMode="External"/><Relationship Id="rId178" Type="http://schemas.openxmlformats.org/officeDocument/2006/relationships/hyperlink" Target="https://www.sec.gov/Archives/edgar/data/1822479/000182247924000011/shc20231231_exhibitx10x7.htm" TargetMode="External"/><Relationship Id="rId179" Type="http://schemas.openxmlformats.org/officeDocument/2006/relationships/hyperlink" Target="https://www.sec.gov/Archives/edgar/data/1822479/000182247923000051/shc20230630_exhibitx10x3.htm" TargetMode="External"/><Relationship Id="rId180" Type="http://schemas.openxmlformats.org/officeDocument/2006/relationships/hyperlink" Target="https://www.sec.gov/Archives/edgar/data/1822479/000119312520290973/d93452dex104.htm" TargetMode="External"/><Relationship Id="rId181" Type="http://schemas.openxmlformats.org/officeDocument/2006/relationships/hyperlink" Target="https://www.sec.gov/Archives/edgar/data/1822479/000119312520290973/d93452dex105.htm" TargetMode="External"/><Relationship Id="rId182" Type="http://schemas.openxmlformats.org/officeDocument/2006/relationships/hyperlink" Target="https://www.sec.gov/Archives/edgar/data/1822479/000119312520290973/d93452dex106.htm" TargetMode="External"/><Relationship Id="rId183" Type="http://schemas.openxmlformats.org/officeDocument/2006/relationships/hyperlink" Target="https://www.sec.gov/Archives/edgar/data/1822479/000119312520290973/d93452dex107.htm" TargetMode="External"/><Relationship Id="rId184" Type="http://schemas.openxmlformats.org/officeDocument/2006/relationships/hyperlink" Target="https://www.sec.gov/Archives/edgar/data/1822479/000119312520284069/d93452dex108.htm" TargetMode="External"/><Relationship Id="rId185" Type="http://schemas.openxmlformats.org/officeDocument/2006/relationships/hyperlink" Target="https://www.sec.gov/Archives/edgar/data/1822479/000182247921000018/shc_20201231xexhibitx10x9.htm" TargetMode="External"/><Relationship Id="rId186" Type="http://schemas.openxmlformats.org/officeDocument/2006/relationships/hyperlink" Target="https://www.sec.gov/Archives/edgar/data/1822479/000119312520275568/d93452dex1010.htm" TargetMode="External"/><Relationship Id="rId187" Type="http://schemas.openxmlformats.org/officeDocument/2006/relationships/hyperlink" Target="https://www.sec.gov/Archives/edgar/data/1822479/000119312520275568/d93452dex1011.htm" TargetMode="External"/><Relationship Id="rId191" Type="http://schemas.openxmlformats.org/officeDocument/2006/relationships/hyperlink" Target="https://www.sec.gov/Archives/edgar/data/1822479/000119312520275568/d93452dex1012.htm" TargetMode="External"/><Relationship Id="rId192" Type="http://schemas.openxmlformats.org/officeDocument/2006/relationships/hyperlink" Target="https://www.sec.gov/Archives/edgar/data/1822479/000119312520275568/d93452dex1013.htm" TargetMode="External"/><Relationship Id="rId193" Type="http://schemas.openxmlformats.org/officeDocument/2006/relationships/hyperlink" Target="https://www.sec.gov/Archives/edgar/data/1822479/000119312520275568/d93452dex1014.htm" TargetMode="External"/><Relationship Id="rId194" Type="http://schemas.openxmlformats.org/officeDocument/2006/relationships/hyperlink" Target="https://www.sec.gov/Archives/edgar/data/1822479/000119312520275568/d93452dex1015.htm" TargetMode="External"/><Relationship Id="rId195" Type="http://schemas.openxmlformats.org/officeDocument/2006/relationships/hyperlink" Target="https://www.sec.gov/Archives/edgar/data/1822479/000119312520275568/d93452dex1016.htm" TargetMode="External"/><Relationship Id="rId196" Type="http://schemas.openxmlformats.org/officeDocument/2006/relationships/hyperlink" Target="https://www.sec.gov/Archives/edgar/data/1822479/000119312520275568/d93452dex1017.htm" TargetMode="External"/><Relationship Id="rId197" Type="http://schemas.openxmlformats.org/officeDocument/2006/relationships/hyperlink" Target="https://www.sec.gov/Archives/edgar/data/1822479/000119312520275568/d93452dex1025.htm" TargetMode="External"/><Relationship Id="rId198" Type="http://schemas.openxmlformats.org/officeDocument/2006/relationships/hyperlink" Target="https://www.sec.gov/Archives/edgar/data/1822479/000119312520275568/d93452dex1026.htm" TargetMode="External"/><Relationship Id="rId199" Type="http://schemas.openxmlformats.org/officeDocument/2006/relationships/hyperlink" Target="https://www.sec.gov/Archives/edgar/data/1822479/000119312520275568/d93452dex1027.htm" TargetMode="External"/><Relationship Id="rId200" Type="http://schemas.openxmlformats.org/officeDocument/2006/relationships/hyperlink" Target="https://www.sec.gov/Archives/edgar/data/1822479/000119312520275568/d93452dex1028.htm" TargetMode="External"/><Relationship Id="rId204" Type="http://schemas.openxmlformats.org/officeDocument/2006/relationships/hyperlink" Target="https://www.sec.gov/Archives/edgar/data/1822479/000119312520275568/d93452dex1029.htm" TargetMode="External"/><Relationship Id="rId205" Type="http://schemas.openxmlformats.org/officeDocument/2006/relationships/hyperlink" Target="https://www.sec.gov/Archives/edgar/data/1822479/000119312520297076/d93452dex1030.htm" TargetMode="External"/><Relationship Id="rId206" Type="http://schemas.openxmlformats.org/officeDocument/2006/relationships/hyperlink" Target="https://www.sec.gov/Archives/edgar/data/1822479/000119312520290973/d93452dex1031.htm" TargetMode="External"/><Relationship Id="rId207" Type="http://schemas.openxmlformats.org/officeDocument/2006/relationships/hyperlink" Target="https://www.sec.gov/Archives/edgar/data/1822479/000119312520290973/d93452dex1032.htm" TargetMode="External"/><Relationship Id="rId208" Type="http://schemas.openxmlformats.org/officeDocument/2006/relationships/hyperlink" Target="https://www.sec.gov/Archives/edgar/data/1822479/000182247921000018/shc_20201231xexhibitx10x26.htm" TargetMode="External"/><Relationship Id="rId209" Type="http://schemas.openxmlformats.org/officeDocument/2006/relationships/hyperlink" Target="https://www.sec.gov/Archives/edgar/data/1822479/000182247921000018/shc_20201231xexhibitx10x27.htm" TargetMode="External"/><Relationship Id="rId210" Type="http://schemas.openxmlformats.org/officeDocument/2006/relationships/hyperlink" Target="https://www.sec.gov/Archives/edgar/data/1822479/000182247921000018/shc_20201231xexhibitx10x28.htm" TargetMode="External"/><Relationship Id="rId211" Type="http://schemas.openxmlformats.org/officeDocument/2006/relationships/hyperlink" Target="https://www.sec.gov/Archives/edgar/data/1822479/000182247921000028/shc-20210331_exhibitx10x2.htm" TargetMode="External"/><Relationship Id="rId212" Type="http://schemas.openxmlformats.org/officeDocument/2006/relationships/hyperlink" Target="https://www.sec.gov/Archives/edgar/data/1822479/000182247922000014/shc_20211231xexhibitx10x31.htm" TargetMode="External"/><Relationship Id="rId216" Type="http://schemas.openxmlformats.org/officeDocument/2006/relationships/hyperlink" Target="https://www.sec.gov/Archives/edgar/data/1822479/000182247923000015/shc20221231_exhibitx10x37.htm" TargetMode="External"/><Relationship Id="rId217" Type="http://schemas.openxmlformats.org/officeDocument/2006/relationships/hyperlink" Target="https://www.sec.gov/Archives/edgar/data/1822479/000182247923000015/shc20221231_exhibitx10x38.htm" TargetMode="External"/><Relationship Id="rId218" Type="http://schemas.openxmlformats.org/officeDocument/2006/relationships/hyperlink" Target="https://www.sec.gov/Archives/edgar/data/1822479/000182247923000015/shc20221231_exhibitx10x39.htm" TargetMode="External"/><Relationship Id="rId219" Type="http://schemas.openxmlformats.org/officeDocument/2006/relationships/hyperlink" Target="https://www.sec.gov/Archives/edgar/data/1822479/000182247923000015/shc20221231_exhibitx10x40.htm" TargetMode="External"/><Relationship Id="rId220" Type="http://schemas.openxmlformats.org/officeDocument/2006/relationships/hyperlink" Target="https://www.sec.gov/Archives/edgar/data/1822479/000182247923000015/shc20221231_exhibitx10x41.htm" TargetMode="External"/><Relationship Id="rId221" Type="http://schemas.openxmlformats.org/officeDocument/2006/relationships/hyperlink" Target="https://www.sec.gov/Archives/edgar/data/1822479/000182247923000015/shc20221231_exhibitx10x42.htm" TargetMode="External"/><Relationship Id="rId222" Type="http://schemas.openxmlformats.org/officeDocument/2006/relationships/hyperlink" Target="https://www.sec.gov/Archives/edgar/data/1822479/000182247923000015/shc20221231_exhibitx10x43.htm" TargetMode="External"/><Relationship Id="rId223" Type="http://schemas.openxmlformats.org/officeDocument/2006/relationships/hyperlink" Target="https://www.sec.gov/Archives/edgar/data/1822479/000182247923000015/shc20221231_exhibitx10x44.htm" TargetMode="External"/><Relationship Id="rId224" Type="http://schemas.openxmlformats.org/officeDocument/2006/relationships/hyperlink" Target="https://www.sec.gov/Archives/edgar/data/1822479/000182247923000015/shc20221231_exhibitx10x45.htm" TargetMode="External"/><Relationship Id="rId225" Type="http://schemas.openxmlformats.org/officeDocument/2006/relationships/hyperlink" Target="https://www.sec.gov/Archives/edgar/data/1822479/000119312523075979/d455593dex101.htm" TargetMode="External"/><Relationship Id="rId230" Type="http://schemas.openxmlformats.org/officeDocument/2006/relationships/hyperlink" Target="https://www.sec.gov/Archives/edgar/data/1822479/000182247923000039/shc20230622_exhibitx10x1.htm" TargetMode="External"/><Relationship Id="rId231" Type="http://schemas.openxmlformats.org/officeDocument/2006/relationships/hyperlink" Target="https://www.sec.gov/Archives/edgar/data/1822479/000119312524058025/d786395dex101.htm" TargetMode="External"/><Relationship Id="rId232" Type="http://schemas.openxmlformats.org/officeDocument/2006/relationships/hyperlink" Target="https://www.sec.gov/Archives/edgar/data/1822479/000182247924000041/shc20240630_exhibitx10x1.htm" TargetMode="External"/><Relationship Id="rId233" Type="http://schemas.openxmlformats.org/officeDocument/2006/relationships/hyperlink" Target="https://www.sec.gov/Archives/edgar/data/1822479/000182247923000015/shc20221231_exhibitx10x46.htm" TargetMode="External"/><Relationship Id="rId234" Type="http://schemas.openxmlformats.org/officeDocument/2006/relationships/hyperlink" Target="https://www.sec.gov/Archives/edgar/data/1822479/000182247923000015/shc20221231_exhibitx10x47.htm" TargetMode="External"/><Relationship Id="rId235" Type="http://schemas.openxmlformats.org/officeDocument/2006/relationships/hyperlink" Target="https://www.sec.gov/Archives/edgar/data/1822479/000182247923000033/shc_20230331xexhibitx10x2.htm" TargetMode="External"/><Relationship Id="rId236" Type="http://schemas.openxmlformats.org/officeDocument/2006/relationships/hyperlink" Target="https://www.sec.gov/Archives/edgar/data/1822479/000182247923000033/shc20230331_exhibitx10x3.htm" TargetMode="External"/><Relationship Id="rId237" Type="http://schemas.openxmlformats.org/officeDocument/2006/relationships/hyperlink" Target="https://www.sec.gov/Archives/edgar/data/1822479/000182247923000015/shc20221231_exhibitx10x48.htm" TargetMode="External"/><Relationship Id="rId238" Type="http://schemas.openxmlformats.org/officeDocument/2006/relationships/hyperlink" Target="https://www.sec.gov/Archives/edgar/data/1822479/000182247923000015/shc20221231_exhibitx10x49.htm" TargetMode="External"/><Relationship Id="rId242" Type="http://schemas.openxmlformats.org/officeDocument/2006/relationships/hyperlink" Target="https://www.sec.gov/Archives/edgar/data/1822479/000182247924000011/shc20231231_exhibitx97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2025-02-27T15:19:02Z</dcterms:created>
  <dcterms:modified xsi:type="dcterms:W3CDTF">2025-02-27T15:19:02Z</dcterms:modified>
</cp:coreProperties>
</file>