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200" w:after="283"/>
        <w:jc w:val="center"/>
        <w:rPr>
          <w:rFonts w:ascii="Times New Roman;sans-serif" w:hAnsi="Times New Roman;sans-serif"/>
          <w:b/>
          <w:color w:val="000000"/>
          <w:sz w:val="22"/>
        </w:rPr>
      </w:pPr>
      <w:r>
        <w:rPr>
          <w:rFonts w:ascii="Times New Roman;sans-serif" w:hAnsi="Times New Roman;sans-serif"/>
          <w:b/>
          <w:color w:val="000000"/>
          <w:sz w:val="22"/>
        </w:rPr>
        <w:t>FORM 10-Q</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2025</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001-39729</w:t>
      </w:r>
    </w:p>
    <w:p>
      <w:pPr>
        <w:pStyle w:val="TextBody"/>
        <w:bidi w:val="0"/>
        <w:spacing w:before="120" w:after="283"/>
        <w:jc w:val="center"/>
        <w:rPr/>
      </w:pPr>
      <w:r>
        <w:rPr/>
        <w:drawing>
          <wp:inline distT="0" distB="0" distL="0" distR="0">
            <wp:extent cx="145732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7325" cy="476250"/>
                    </a:xfrm>
                    <a:prstGeom prst="rect">
                      <a:avLst/>
                    </a:prstGeom>
                  </pic:spPr>
                </pic:pic>
              </a:graphicData>
            </a:graphic>
          </wp:inline>
        </w:drawing>
      </w:r>
    </w:p>
    <w:p>
      <w:pPr>
        <w:pStyle w:val="TextBody"/>
        <w:bidi w:val="0"/>
        <w:spacing w:lineRule="auto" w:line="288" w:before="120" w:after="283"/>
        <w:jc w:val="center"/>
        <w:rPr>
          <w:rFonts w:ascii="Times New Roman;sans-serif" w:hAnsi="Times New Roman;sans-serif"/>
          <w:b/>
          <w:color w:val="000000"/>
          <w:sz w:val="34"/>
        </w:rPr>
      </w:pPr>
      <w:r>
        <w:rPr>
          <w:rFonts w:ascii="Times New Roman;sans-serif" w:hAnsi="Times New Roman;sans-serif"/>
          <w:b/>
          <w:color w:val="000000"/>
          <w:sz w:val="34"/>
        </w:rPr>
        <w:t>SOTERA HEALTH COMPANY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359"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286"/>
        <w:gridCol w:w="286"/>
        <w:gridCol w:w="286"/>
        <w:gridCol w:w="286"/>
        <w:gridCol w:w="286"/>
        <w:gridCol w:w="286"/>
        <w:gridCol w:w="286"/>
        <w:gridCol w:w="286"/>
        <w:gridCol w:w="424"/>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47-3531161</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9100 South Hills Blvd, Suite 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Broadview Heights, 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44147</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(440)</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262-1410</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382" w:type="dxa"/>
        <w:jc w:val="left"/>
        <w:tblInd w:w="0" w:type="dxa"/>
        <w:tblLayout w:type="fixed"/>
        <w:tblCellMar>
          <w:top w:w="28" w:type="dxa"/>
          <w:left w:w="28" w:type="dxa"/>
          <w:bottom w:w="28" w:type="dxa"/>
          <w:right w:w="28" w:type="dxa"/>
        </w:tblCellMar>
      </w:tblPr>
      <w:tblGrid>
        <w:gridCol w:w="1209"/>
        <w:gridCol w:w="1064"/>
        <w:gridCol w:w="1071"/>
        <w:gridCol w:w="519"/>
        <w:gridCol w:w="519"/>
        <w:gridCol w:w="521"/>
        <w:gridCol w:w="1019"/>
        <w:gridCol w:w="1019"/>
        <w:gridCol w:w="1441"/>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$0.01 par value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SHC</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bl>
    <w:p>
      <w:pPr>
        <w:pStyle w:val="TextBody"/>
        <w:bidi w:val="0"/>
        <w:spacing w:lineRule="auto" w:line="288" w:before="200" w:after="283"/>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lineRule="auto" w:line="288" w:before="20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200" w:after="283"/>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pPr>
      <w:r>
        <w:rPr>
          <w:rFonts w:ascii="Times New Roman;sans-serif" w:hAnsi="Times New Roman;sans-serif"/>
          <w:b w:val="false"/>
          <w:color w:val="000000"/>
          <w:sz w:val="18"/>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8"/>
        </w:rPr>
        <w:t xml:space="preserve">Yes   </w:t>
      </w:r>
      <w:r>
        <w:rPr>
          <w:color w:val="000000"/>
        </w:rPr>
        <w:t>☒ </w:t>
      </w:r>
      <w:r>
        <w:rPr>
          <w:rFonts w:ascii="Times New Roman;sans-serif" w:hAnsi="Times New Roman;sans-serif"/>
          <w:b w:val="false"/>
          <w:color w:val="000000"/>
          <w:sz w:val="18"/>
        </w:rPr>
        <w:t>No</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of April 25, 2025, there were 283,855,074 shares of the registrant’s common stock, $0.01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SOTERA HEALTH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TABLE OF CONTENTS -</w:t>
      </w:r>
    </w:p>
    <w:tbl>
      <w:tblPr>
        <w:tblW w:w="8351" w:type="dxa"/>
        <w:jc w:val="left"/>
        <w:tblInd w:w="0" w:type="dxa"/>
        <w:tblLayout w:type="fixed"/>
        <w:tblCellMar>
          <w:top w:w="28" w:type="dxa"/>
          <w:left w:w="28" w:type="dxa"/>
          <w:bottom w:w="28" w:type="dxa"/>
          <w:right w:w="28" w:type="dxa"/>
        </w:tblCellMar>
      </w:tblPr>
      <w:tblGrid>
        <w:gridCol w:w="2891"/>
        <w:gridCol w:w="2539"/>
        <w:gridCol w:w="2549"/>
        <w:gridCol w:w="109"/>
        <w:gridCol w:w="109"/>
        <w:gridCol w:w="154"/>
      </w:tblGrid>
      <w:tr>
        <w:trPr/>
        <w:tc>
          <w:tcPr>
            <w:tcW w:w="2891"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fec8e612166421e9da88c9f326b5e11_13">
              <w:r>
                <w:rPr>
                  <w:rStyle w:val="InternetLink"/>
                  <w:rFonts w:ascii="Times New Roman;sans-serif" w:hAnsi="Times New Roman;sans-serif"/>
                  <w:b/>
                  <w:color w:val="0000FF"/>
                  <w:sz w:val="20"/>
                  <w:u w:val="single"/>
                </w:rPr>
                <w:t>Part I—FINANCIAL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fec8e612166421e9da88c9f326b5e11_13">
              <w:r>
                <w:rPr>
                  <w:rStyle w:val="InternetLink"/>
                  <w:rFonts w:ascii="Times New Roman;sans-serif" w:hAnsi="Times New Roman;sans-serif"/>
                  <w:b w:val="false"/>
                  <w:color w:val="0000FF"/>
                  <w:sz w:val="20"/>
                  <w:u w:val="single"/>
                </w:rPr>
                <w:t>5</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fec8e612166421e9da88c9f326b5e11_16">
              <w:r>
                <w:rPr>
                  <w:rStyle w:val="InternetLink"/>
                  <w:rFonts w:ascii="Times New Roman;sans-serif" w:hAnsi="Times New Roman;sans-serif"/>
                  <w:b w:val="false"/>
                  <w:color w:val="0000FF"/>
                  <w:sz w:val="20"/>
                  <w:u w:val="single"/>
                </w:rPr>
                <w:t>Item 1.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fec8e612166421e9da88c9f326b5e11_16">
              <w:r>
                <w:rPr>
                  <w:rStyle w:val="InternetLink"/>
                  <w:rFonts w:ascii="Times New Roman;sans-serif" w:hAnsi="Times New Roman;sans-serif"/>
                  <w:b w:val="false"/>
                  <w:color w:val="0000FF"/>
                  <w:sz w:val="20"/>
                  <w:u w:val="single"/>
                </w:rPr>
                <w:t>5</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fec8e612166421e9da88c9f326b5e11_85">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fec8e612166421e9da88c9f326b5e11_85">
              <w:r>
                <w:rPr>
                  <w:rStyle w:val="InternetLink"/>
                  <w:rFonts w:ascii="Times New Roman;sans-serif" w:hAnsi="Times New Roman;sans-serif"/>
                  <w:b w:val="false"/>
                  <w:color w:val="0000FF"/>
                  <w:sz w:val="20"/>
                  <w:u w:val="single"/>
                </w:rPr>
                <w:t>30</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fec8e612166421e9da88c9f326b5e11_112">
              <w:r>
                <w:rPr>
                  <w:rStyle w:val="InternetLink"/>
                  <w:rFonts w:ascii="Times New Roman;sans-serif" w:hAnsi="Times New Roman;sans-serif"/>
                  <w:b w:val="false"/>
                  <w:color w:val="0000FF"/>
                  <w:sz w:val="20"/>
                  <w:u w:val="single"/>
                </w:rPr>
                <w:t>Item 3. 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fec8e612166421e9da88c9f326b5e11_112">
              <w:r>
                <w:rPr>
                  <w:rStyle w:val="InternetLink"/>
                  <w:rFonts w:ascii="Times New Roman;sans-serif" w:hAnsi="Times New Roman;sans-serif"/>
                  <w:b w:val="false"/>
                  <w:color w:val="0000FF"/>
                  <w:sz w:val="20"/>
                  <w:u w:val="single"/>
                </w:rPr>
                <w:t>38</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fec8e612166421e9da88c9f326b5e11_115">
              <w:r>
                <w:rPr>
                  <w:rStyle w:val="InternetLink"/>
                  <w:rFonts w:ascii="Times New Roman;sans-serif" w:hAnsi="Times New Roman;sans-serif"/>
                  <w:b w:val="false"/>
                  <w:color w:val="0000FF"/>
                  <w:sz w:val="20"/>
                  <w:u w:val="single"/>
                </w:rPr>
                <w:t>Item 4. 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fec8e612166421e9da88c9f326b5e11_115">
              <w:r>
                <w:rPr>
                  <w:rStyle w:val="InternetLink"/>
                  <w:rFonts w:ascii="Times New Roman;sans-serif" w:hAnsi="Times New Roman;sans-serif"/>
                  <w:b w:val="false"/>
                  <w:color w:val="0000FF"/>
                  <w:sz w:val="20"/>
                  <w:u w:val="single"/>
                </w:rPr>
                <w:t>38</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fec8e612166421e9da88c9f326b5e11_118">
              <w:r>
                <w:rPr>
                  <w:rStyle w:val="InternetLink"/>
                  <w:rFonts w:ascii="Times New Roman;sans-serif" w:hAnsi="Times New Roman;sans-serif"/>
                  <w:b/>
                  <w:color w:val="0000FF"/>
                  <w:sz w:val="20"/>
                  <w:u w:val="single"/>
                </w:rPr>
                <w:t>Part II—OTHER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fec8e612166421e9da88c9f326b5e11_118">
              <w:r>
                <w:rPr>
                  <w:rStyle w:val="InternetLink"/>
                  <w:rFonts w:ascii="Times New Roman;sans-serif" w:hAnsi="Times New Roman;sans-serif"/>
                  <w:b w:val="false"/>
                  <w:color w:val="0000FF"/>
                  <w:sz w:val="20"/>
                  <w:u w:val="single"/>
                </w:rPr>
                <w:t>39</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fec8e612166421e9da88c9f326b5e11_121">
              <w:r>
                <w:rPr>
                  <w:rStyle w:val="InternetLink"/>
                  <w:rFonts w:ascii="Times New Roman;sans-serif" w:hAnsi="Times New Roman;sans-serif"/>
                  <w:b w:val="false"/>
                  <w:color w:val="0000FF"/>
                  <w:sz w:val="20"/>
                  <w:u w:val="single"/>
                </w:rPr>
                <w:t>Item 1. 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fec8e612166421e9da88c9f326b5e11_121">
              <w:r>
                <w:rPr>
                  <w:rStyle w:val="InternetLink"/>
                  <w:rFonts w:ascii="Times New Roman;sans-serif" w:hAnsi="Times New Roman;sans-serif"/>
                  <w:b w:val="false"/>
                  <w:color w:val="0000FF"/>
                  <w:sz w:val="20"/>
                  <w:u w:val="single"/>
                </w:rPr>
                <w:t>39</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fec8e612166421e9da88c9f326b5e11_124">
              <w:r>
                <w:rPr>
                  <w:rStyle w:val="InternetLink"/>
                  <w:rFonts w:ascii="Times New Roman;sans-serif" w:hAnsi="Times New Roman;sans-serif"/>
                  <w:b w:val="false"/>
                  <w:color w:val="000080"/>
                  <w:sz w:val="20"/>
                  <w:u w:val="single"/>
                </w:rPr>
                <w:t>Item 1A. Risk Factors</w:t>
              </w:r>
            </w:hyperlink>
            <w:hyperlink w:anchor="i4fec8e612166421e9da88c9f326b5e11_124">
              <w:r>
                <w:rPr>
                  <w:rStyle w:val="InternetLink"/>
                  <w:rFonts w:ascii="Times New Roman;sans-serif" w:hAnsi="Times New Roman;sans-serif"/>
                  <w:b w:val="false"/>
                  <w:color w:val="000080"/>
                  <w:sz w:val="20"/>
                  <w:u w:val="single"/>
                </w:rPr>
                <w: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fec8e612166421e9da88c9f326b5e11_124">
              <w:r>
                <w:rPr>
                  <w:rStyle w:val="InternetLink"/>
                  <w:rFonts w:ascii="Times New Roman;sans-serif" w:hAnsi="Times New Roman;sans-serif"/>
                  <w:b w:val="false"/>
                  <w:color w:val="0000FF"/>
                  <w:sz w:val="20"/>
                  <w:u w:val="single"/>
                </w:rPr>
                <w:t>39</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fec8e612166421e9da88c9f326b5e11_127">
              <w:r>
                <w:rPr>
                  <w:rStyle w:val="InternetLink"/>
                  <w:rFonts w:ascii="Times New Roman;sans-serif" w:hAnsi="Times New Roman;sans-serif"/>
                  <w:b w:val="false"/>
                  <w:color w:val="0000FF"/>
                  <w:sz w:val="20"/>
                  <w:u w:val="single"/>
                </w:rPr>
                <w:t>Item 5. 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fec8e612166421e9da88c9f326b5e11_124">
              <w:r>
                <w:rPr>
                  <w:rStyle w:val="InternetLink"/>
                  <w:rFonts w:ascii="Times New Roman;sans-serif" w:hAnsi="Times New Roman;sans-serif"/>
                  <w:b w:val="false"/>
                  <w:color w:val="0000FF"/>
                  <w:sz w:val="20"/>
                  <w:u w:val="single"/>
                </w:rPr>
                <w:t>39</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fec8e612166421e9da88c9f326b5e11_130">
              <w:r>
                <w:rPr>
                  <w:rStyle w:val="InternetLink"/>
                  <w:rFonts w:ascii="Times New Roman;sans-serif" w:hAnsi="Times New Roman;sans-serif"/>
                  <w:b w:val="false"/>
                  <w:color w:val="000080"/>
                  <w:sz w:val="20"/>
                  <w:u w:val="single"/>
                </w:rPr>
                <w:t>Item 6. Exhibits</w:t>
              </w:r>
            </w:hyperlink>
            <w:hyperlink w:anchor="i4fec8e612166421e9da88c9f326b5e11_130">
              <w:r>
                <w:rPr>
                  <w:rStyle w:val="InternetLink"/>
                  <w:rFonts w:ascii="Times New Roman;sans-serif" w:hAnsi="Times New Roman;sans-serif"/>
                  <w:b w:val="false"/>
                  <w:color w:val="000080"/>
                  <w:sz w:val="20"/>
                  <w:u w:val="single"/>
                </w:rPr>
                <w: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fec8e612166421e9da88c9f326b5e11_130">
              <w:r>
                <w:rPr>
                  <w:rStyle w:val="InternetLink"/>
                  <w:rFonts w:ascii="Times New Roman;sans-serif" w:hAnsi="Times New Roman;sans-serif"/>
                  <w:b w:val="false"/>
                  <w:color w:val="0000FF"/>
                  <w:sz w:val="20"/>
                  <w:u w:val="single"/>
                </w:rPr>
                <w:t>41</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fec8e612166421e9da88c9f326b5e11_133">
              <w:r>
                <w:rPr>
                  <w:rStyle w:val="InternetLink"/>
                  <w:rFonts w:ascii="Times New Roman;sans-serif" w:hAnsi="Times New Roman;sans-serif"/>
                  <w:b/>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fec8e612166421e9da88c9f326b5e11_133">
              <w:r>
                <w:rPr>
                  <w:rStyle w:val="InternetLink"/>
                  <w:rFonts w:ascii="Times New Roman;sans-serif" w:hAnsi="Times New Roman;sans-serif"/>
                  <w:b w:val="false"/>
                  <w:color w:val="0000FF"/>
                  <w:sz w:val="20"/>
                  <w:u w:val="singl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achievements, or industry results, to differ materially from historical results or any future results, performance or achievements expressed, suggested or implied by such forward-looking statements. Such risks and uncertainties include, but are not limited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and/or the European Union;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evolving changes in environmental, health and safety regulations or preferences, and general economic, social and business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health and safety risks associated with the use, storage, transportation and disposal of potentially hazardous materials such as EO and Co-60;</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and outcome of current and future legal proceedings and liability claims, including litigation related to the use, emissions and releases of EO from our facilities in California, Georgia, Illinois and New Mexico and the possibility that additional claims will be made in the future relating to these or other facilities;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satisfy the conditions for settlement of the EO claims related to our former facility in Willowbrook, Illinois;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allegations of our failure to properly perform services and potential product liability claims, recalls, penalties and reputational harm;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compliance with the extensive regulatory requirements to which we are subject, the related costs, and any failures to receive or maintain, or delays in receiving, required clearances or approvals;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 changes in industry trends;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competition we face;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 conditions and changes, including inflationary trends and the impact of tariffs, that impact our long-term supply contracts with variable price clauses and increase our cost of revenues;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business continuity hazards, including supply chain disruptions and other risks associated with our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risks of doing business internationally, including global and regional economic and political instability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various applicable laws and potentially inconsistent laws and regulations in multiple jurisdictions;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increase capacity at existing facilities, build new facilities in a timely and cost-effective manner and renew leases for our leased facilities;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attract and retain qualified employees;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severe health events or environmental events;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cybersecurity incidents, unauthorized data disclosures, and our dependence on information technology systems;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inability to pursue strategic transactions, find suitable acquisition targets, or integrate strategic acquisitions into our business successfully;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maintain effective internal control over financial reporting;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reliance on intellectual property to maintain our competitive position and the risk of claims from third parties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that we have infringed or misappropriated, or are infringing or misappropriating, their intellectual property rights;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comply with rapidly evolving data privacy and security laws and regulations in various jurisdictions and any ineffective compliance efforts with such laws and regulations;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generate profitability in future periods;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impairment charges on our goodwill and other intangible assets with indefinite lives, as well as other long-lived assets and intangible assets with definite lives;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effects of unionization efforts and labor regulations in countries in which we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 changes to our tax positions in U.S. or non-U.S. jurisdictions or the interpretation and application of U.S. tax legislation or other changes in U.S. or non-U.S. taxation of our operations;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significant leverage and how this significant leverage could adversely affect our ability to raise additional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 limit our ability to react to challenges confronting our Company or broader changes in our industry or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economy, limit our flexibility in operating our business through restrictions contained in our debt agreements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 prevent us from meeting our obligations under our existing and future agreements governing our indebtedness.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2024 (the “2024 10-K”).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expressly indicated or the context requires otherwise, the terms “Sotera Health,” “Company,” “we,” “us,” and “our” in this Quarterly Report on Form 10-Q refer to Sotera Health Company, a Delaware corporation, and, where appropriate, its subsidiaries on a consolidated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86"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656"/>
        <w:gridCol w:w="2257"/>
        <w:gridCol w:w="2266"/>
        <w:gridCol w:w="204"/>
        <w:gridCol w:w="923"/>
        <w:gridCol w:w="113"/>
        <w:gridCol w:w="109"/>
        <w:gridCol w:w="109"/>
        <w:gridCol w:w="109"/>
        <w:gridCol w:w="233"/>
        <w:gridCol w:w="1039"/>
        <w:gridCol w:w="187"/>
      </w:tblGrid>
      <w:tr>
        <w:trPr/>
        <w:tc>
          <w:tcPr>
            <w:tcW w:w="2656"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i/>
                <w:color w:val="000000"/>
                <w:sz w:val="16"/>
              </w:rPr>
            </w:pPr>
            <w:r>
              <w:rPr>
                <w:rFonts w:ascii="Times New Roman;sans-serif" w:hAnsi="Times New Roman;sans-serif"/>
                <w:b/>
                <w:i/>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304,390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277,242 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short-term</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1,691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uncollectible accounts of $2,387 and $2,532, respectively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128,066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140,327 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61,045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49,158 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54,663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51,031 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5,135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554,990</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526,037 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1,046,449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1,036,892 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27,072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27,551 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2,979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Post-retirement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44,262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42,524 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37,094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37,053 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300,300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317,653 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1,084,382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1,081,073 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3,097,528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3,071,648 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equity</w:t>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70,106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55,098 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113,803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90,463 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13,754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14,811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finance lease obligations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3,039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obligations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5,084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5,394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225,991</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191,002 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2,205,355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2,208,100 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obligations, less current portion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94,216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95,286 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obligations, less current portion</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23,979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24,465 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 retirement obligations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50,152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lease income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16,676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Post-retirement obligations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7,905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liabilities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5,474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53,689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2,683,437</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2,666,737 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See Commitments and contingencies note</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with $0.01 par value, 1,200,000 shares authorized; 286,037 shares issued at March 31, 2025 and December 31, 2024</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Preferred stock, with $0.01 par value, 120,000 shares authorized; no shares issued at March 31, 2025 and </w:t>
            </w:r>
          </w:p>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December 31, 2024</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(2,182 and 2,571 shares at March 31, 2025 and December 31, 2024, respectively)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(20,855)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1,244,841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1,243,778 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deficit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(623,302)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(610,042)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(189,453)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(208,251)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414,091</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404,911 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equity</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3,097,528</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3,071,648 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86"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and Comprehensive Income (Loss)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per share amounts)</w:t>
      </w:r>
    </w:p>
    <w:tbl>
      <w:tblPr>
        <w:tblW w:w="8258" w:type="dxa"/>
        <w:jc w:val="left"/>
        <w:tblInd w:w="0" w:type="dxa"/>
        <w:tblLayout w:type="fixed"/>
        <w:tblCellMar>
          <w:top w:w="28" w:type="dxa"/>
          <w:left w:w="28" w:type="dxa"/>
          <w:bottom w:w="28" w:type="dxa"/>
          <w:right w:w="28" w:type="dxa"/>
        </w:tblCellMar>
      </w:tblPr>
      <w:tblGrid>
        <w:gridCol w:w="2041"/>
        <w:gridCol w:w="1791"/>
        <w:gridCol w:w="1807"/>
        <w:gridCol w:w="208"/>
        <w:gridCol w:w="798"/>
        <w:gridCol w:w="115"/>
        <w:gridCol w:w="115"/>
        <w:gridCol w:w="115"/>
        <w:gridCol w:w="115"/>
        <w:gridCol w:w="208"/>
        <w:gridCol w:w="782"/>
        <w:gridCol w:w="163"/>
      </w:tblGrid>
      <w:tr>
        <w:trPr/>
        <w:tc>
          <w:tcPr>
            <w:tcW w:w="2041"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i/>
                <w:color w:val="000000"/>
                <w:sz w:val="18"/>
              </w:rPr>
            </w:pPr>
            <w:r>
              <w:rPr>
                <w:rFonts w:ascii="Times New Roman;sans-serif" w:hAnsi="Times New Roman;sans-serif"/>
                <w:b/>
                <w:i/>
                <w:color w:val="000000"/>
                <w:sz w:val="18"/>
              </w:rPr>
              <w:t>(Unaudited)</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223,940</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30,583</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21,695 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254,523</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248,176 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 of revenues: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107,629</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11,462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cost of revenues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119,091</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121,061 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135,432</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127,115 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63,061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58,209 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15,327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Illinois EO litigation settlement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30,943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40,876</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loss (gain)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289</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(241)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(Loss) Income before income taxes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(14,823)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(1,563)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(13,260)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income (loss) net of tax:</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post-retirement benefits (net of taxes of $3 and $37, respectively)</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derivatives (net of taxes of $(266) and $146, respectively)</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(772)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19,560</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(loss)</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5,538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(20,851)</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(Loss) Earnings per share:</w:t>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(0.05)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(0.05)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number of shares outstanding:</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283,558</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283,558</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i/>
          <w:color w:val="000000"/>
          <w:sz w:val="18"/>
        </w:rPr>
        <w:t>See notes to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86"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8603" w:type="dxa"/>
        <w:jc w:val="left"/>
        <w:tblInd w:w="0" w:type="dxa"/>
        <w:tblLayout w:type="fixed"/>
        <w:tblCellMar>
          <w:top w:w="28" w:type="dxa"/>
          <w:left w:w="28" w:type="dxa"/>
          <w:bottom w:w="28" w:type="dxa"/>
          <w:right w:w="28" w:type="dxa"/>
        </w:tblCellMar>
      </w:tblPr>
      <w:tblGrid>
        <w:gridCol w:w="2219"/>
        <w:gridCol w:w="1950"/>
        <w:gridCol w:w="1965"/>
        <w:gridCol w:w="196"/>
        <w:gridCol w:w="751"/>
        <w:gridCol w:w="109"/>
        <w:gridCol w:w="109"/>
        <w:gridCol w:w="109"/>
        <w:gridCol w:w="109"/>
        <w:gridCol w:w="196"/>
        <w:gridCol w:w="736"/>
        <w:gridCol w:w="154"/>
      </w:tblGrid>
      <w:tr>
        <w:trPr/>
        <w:tc>
          <w:tcPr>
            <w:tcW w:w="221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i/>
                <w:color w:val="000000"/>
                <w:sz w:val="16"/>
              </w:rPr>
            </w:pPr>
            <w:r>
              <w:rPr>
                <w:rFonts w:ascii="Times New Roman;sans-serif" w:hAnsi="Times New Roman;sans-serif"/>
                <w:b/>
                <w:i/>
                <w:color w:val="000000"/>
                <w:sz w:val="16"/>
              </w:rPr>
              <w:t>(Unaudited)</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(13,260)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income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22,130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18,674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(16,075)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7,242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asset retirement obligations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foreign exchange loss (gain)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5,359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derivatives not designated as hedging instruments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1,604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13,630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(11,839)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11,671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(10,169)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Illinois EO litigation settlement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30,943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Georgia EO litigation settlement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 / receivable,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55,521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(19,918)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(19,881)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on long-term borrowings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Buyout of leased facilities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 on equity awards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(8,087)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 including restricted cash</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27,216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including restricted cash, at beginning of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278,865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including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306,081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47,416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 income taxes, net of tax refunds received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 included in accounts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13,042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86"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Equity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10358" w:type="dxa"/>
        <w:jc w:val="left"/>
        <w:tblInd w:w="0" w:type="dxa"/>
        <w:tblLayout w:type="fixed"/>
        <w:tblCellMar>
          <w:top w:w="28" w:type="dxa"/>
          <w:left w:w="28" w:type="dxa"/>
          <w:bottom w:w="28" w:type="dxa"/>
          <w:right w:w="28" w:type="dxa"/>
        </w:tblCellMar>
      </w:tblPr>
      <w:tblGrid>
        <w:gridCol w:w="664"/>
        <w:gridCol w:w="268"/>
        <w:gridCol w:w="269"/>
        <w:gridCol w:w="375"/>
        <w:gridCol w:w="376"/>
        <w:gridCol w:w="198"/>
        <w:gridCol w:w="109"/>
        <w:gridCol w:w="109"/>
        <w:gridCol w:w="109"/>
        <w:gridCol w:w="196"/>
        <w:gridCol w:w="571"/>
        <w:gridCol w:w="109"/>
        <w:gridCol w:w="109"/>
        <w:gridCol w:w="109"/>
        <w:gridCol w:w="109"/>
        <w:gridCol w:w="196"/>
        <w:gridCol w:w="661"/>
        <w:gridCol w:w="109"/>
        <w:gridCol w:w="109"/>
        <w:gridCol w:w="109"/>
        <w:gridCol w:w="109"/>
        <w:gridCol w:w="196"/>
        <w:gridCol w:w="886"/>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Additional</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Paid-In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Retained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Earnings /</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Other</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Comprehensive</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 xml:space="preserve">Total </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Common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Common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Treasury</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282,830</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(27,182)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1,215,178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(654,440)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(92,682)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443,734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6,509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(27,706)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derivatives,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419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6,323</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283,071</w:t>
            </w:r>
            <w:r>
              <w:rPr>
                <w:color w:val="000000"/>
              </w:rPr>
              <w:t>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(26,042)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1,220,547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(648,117)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(119,856)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429,392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58" w:type="dxa"/>
        <w:jc w:val="left"/>
        <w:tblInd w:w="0" w:type="dxa"/>
        <w:tblLayout w:type="fixed"/>
        <w:tblCellMar>
          <w:top w:w="28" w:type="dxa"/>
          <w:left w:w="28" w:type="dxa"/>
          <w:bottom w:w="28" w:type="dxa"/>
          <w:right w:w="28" w:type="dxa"/>
        </w:tblCellMar>
      </w:tblPr>
      <w:tblGrid>
        <w:gridCol w:w="664"/>
        <w:gridCol w:w="268"/>
        <w:gridCol w:w="269"/>
        <w:gridCol w:w="375"/>
        <w:gridCol w:w="376"/>
        <w:gridCol w:w="198"/>
        <w:gridCol w:w="109"/>
        <w:gridCol w:w="109"/>
        <w:gridCol w:w="109"/>
        <w:gridCol w:w="196"/>
        <w:gridCol w:w="571"/>
        <w:gridCol w:w="109"/>
        <w:gridCol w:w="109"/>
        <w:gridCol w:w="109"/>
        <w:gridCol w:w="109"/>
        <w:gridCol w:w="196"/>
        <w:gridCol w:w="661"/>
        <w:gridCol w:w="109"/>
        <w:gridCol w:w="109"/>
        <w:gridCol w:w="109"/>
        <w:gridCol w:w="109"/>
        <w:gridCol w:w="196"/>
        <w:gridCol w:w="886"/>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Additional</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Paid-In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Retained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Earnings /</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Other</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Comprehensive</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 xml:space="preserve">Total </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Common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Common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Treasury</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2024</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283,466</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(23,434)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1,243,778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(610,042)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(208,251)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404,911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3,642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19,560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derivatives,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(13,260)</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2025</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283,855</w:t>
            </w:r>
            <w:r>
              <w:rPr>
                <w:color w:val="000000"/>
              </w:rPr>
              <w:t>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(20,855)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1,244,841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(623,302)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(189,453)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414,091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1.Basis of Presentation</w:t>
      </w:r>
    </w:p>
    <w:p>
      <w:pPr>
        <w:pStyle w:val="TextBody"/>
        <w:bidi w:val="0"/>
        <w:spacing w:lineRule="auto" w:line="288" w:before="120" w:after="283"/>
        <w:jc w:val="left"/>
        <w:rPr/>
      </w:pPr>
      <w:r>
        <w:rPr>
          <w:rFonts w:ascii="Times New Roman;sans-serif" w:hAnsi="Times New Roman;sans-serif"/>
          <w:b w:val="false"/>
          <w:i/>
          <w:color w:val="000000"/>
          <w:sz w:val="20"/>
        </w:rPr>
        <w:t>Principles of Consolidation</w:t>
      </w:r>
      <w:r>
        <w:rPr>
          <w:color w:val="000000"/>
        </w:rPr>
        <w:t xml:space="preserve"> – </w:t>
      </w:r>
      <w:r>
        <w:rPr>
          <w:rFonts w:ascii="Times New Roman;sans-serif" w:hAnsi="Times New Roman;sans-serif"/>
          <w:b w:val="false"/>
          <w:color w:val="000000"/>
          <w:sz w:val="20"/>
        </w:rPr>
        <w:t xml:space="preserve">Sotera Health Company (also referred to herein as the “Company,” “we,” “our,” “us” or “its”), is a leading global provider of mission-critical end-to-end sterilization solutions, lab testing and advisory services for the healthcare industry with operations primarily in the Americas, Europe and Asia.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and report in three segments: Sterigenics, Nordion and Nelson Labs. We describe our reportable segments in Note 16, “Segment Information”. All intercompany balances and transactions have been eliminated in consolidation.</w:t>
      </w:r>
    </w:p>
    <w:p>
      <w:pPr>
        <w:pStyle w:val="TextBody"/>
        <w:bidi w:val="0"/>
        <w:spacing w:lineRule="auto" w:line="288" w:before="240" w:after="283"/>
        <w:jc w:val="left"/>
        <w:rPr/>
      </w:pPr>
      <w:r>
        <w:rPr>
          <w:rFonts w:ascii="Times New Roman;sans-serif" w:hAnsi="Times New Roman;sans-serif"/>
          <w:b w:val="false"/>
          <w:i/>
          <w:color w:val="000000"/>
          <w:sz w:val="20"/>
        </w:rPr>
        <w:t>Use of Estimates</w:t>
      </w:r>
      <w:r>
        <w:rPr>
          <w:color w:val="000000"/>
        </w:rPr>
        <w:t xml:space="preserve"> – </w:t>
      </w:r>
      <w:r>
        <w:rPr>
          <w:rFonts w:ascii="Times New Roman;sans-serif" w:hAnsi="Times New Roman;sans-serif"/>
          <w:b w:val="false"/>
          <w:color w:val="000000"/>
          <w:sz w:val="20"/>
        </w:rPr>
        <w:t xml:space="preserve">In preparing our consolidated financial statements in conformity with U.S. Generally Accepted Accounting Principles (“GAAP”), we make estimates and assumptions that affect the amounts reported and the accompanying notes. We regularly evaluate the estimates and assumptions used and revise them as new information becomes available. Actual results may vary from those estimates. </w:t>
      </w:r>
    </w:p>
    <w:p>
      <w:pPr>
        <w:pStyle w:val="TextBody"/>
        <w:bidi w:val="0"/>
        <w:spacing w:lineRule="auto" w:line="288" w:before="240" w:after="283"/>
        <w:jc w:val="left"/>
        <w:rPr/>
      </w:pPr>
      <w:r>
        <w:rPr>
          <w:rFonts w:ascii="Times New Roman;sans-serif" w:hAnsi="Times New Roman;sans-serif"/>
          <w:b w:val="false"/>
          <w:i/>
          <w:color w:val="000000"/>
          <w:sz w:val="20"/>
        </w:rPr>
        <w:t xml:space="preserve">Interim Financial Statements </w:t>
      </w:r>
      <w:r>
        <w:rPr>
          <w:color w:val="000000"/>
        </w:rPr>
        <w:t xml:space="preserve">– </w:t>
      </w:r>
      <w:r>
        <w:rPr>
          <w:rFonts w:ascii="Times New Roman;sans-serif" w:hAnsi="Times New Roman;sans-serif"/>
          <w:b w:val="false"/>
          <w:color w:val="000000"/>
          <w:sz w:val="20"/>
        </w:rPr>
        <w:t>The accompanying consolidated financial statements include the assets, liabilities, operating results, and cash flows of the Company and its wholly owned subsidiaries. These financial statements are prepared in accordance with U.S. GAAP for interim financial information and the instructions to the Quarterly Report on Form 10-Q and Rule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have been included. These unaudited interim financial statements should be read in conjunction with the Company's annual consolidated financial statements and accompanying notes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2.Recent Accounting Standards</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Adoption of Accounting Standard Updates</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In the year ended December 31, 2024, we adopted Accounting Standards Update (“ASU”) 2023-07, Segment Reporting (Topic 280): Improvements to Reportable Segment Disclosures. </w:t>
      </w:r>
      <w:r>
        <w:rPr>
          <w:rFonts w:ascii="Times New Roman;sans-serif" w:hAnsi="Times New Roman;sans-serif"/>
          <w:b w:val="false"/>
          <w:color w:val="000000"/>
          <w:sz w:val="20"/>
        </w:rPr>
        <w:t xml:space="preserve">The amendments in ASU 2023-07 require an entity to provide enhanced disclosures about significant segment expenses. These interim financial statements reflect these amendments. </w:t>
      </w:r>
      <w:r>
        <w:rPr>
          <w:rFonts w:ascii="Times New Roman;sans-serif" w:hAnsi="Times New Roman;sans-serif"/>
          <w:b w:val="false"/>
          <w:color w:val="000000"/>
          <w:sz w:val="20"/>
          <w:shd w:fill="FFFFFF" w:val="clear"/>
        </w:rPr>
        <w:t>The adoption of this standard did not have a material impact on our consolidated financial statements and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Accounting Standards Updates (“ASU”) Issued But Not Yet Adopted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December 2023, the FASB issued ASU 2023-09, Income Taxes (Topic 740): Improvements to Income Tax Disclosures. The amendments in this ASU require entities to disclose, on an annual basis, specific categories in the reconciliation of the provision (benefit) for income taxes to the statutory rate and provide additional information for reconciling items that meet a quantitative threshold. Additionally, the update requires entities to disclose a disaggregation of taxes paid by category (federal, state and foreign taxes) as well as individual jurisdictions. For public business entities, the amendments in this ASU are effective for annual periods beginning after December 15, 2024 and will be reflected in our Annual Report on Form 10-K for the year ending December 31, 2025. The Company is in the process of evaluating the impact of this standard on</w:t>
      </w:r>
      <w:r>
        <w:rPr>
          <w:color w:val="000000"/>
          <w:shd w:fill="FFFFFF" w:val="clear"/>
        </w:rPr>
        <w:t xml:space="preserve"> </w:t>
      </w:r>
      <w:r>
        <w:rPr>
          <w:rFonts w:ascii="Times New Roman;sans-serif" w:hAnsi="Times New Roman;sans-serif"/>
          <w:b w:val="false"/>
          <w:color w:val="000000"/>
          <w:sz w:val="20"/>
          <w:shd w:fill="FFFFFF" w:val="clear"/>
        </w:rPr>
        <w:t>our consolidated financial statements and disclosures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November 2024, the FASB issued ASU 2024-03, Income Statement-Reporting Comprehensive Income-Expense Disaggregation Disclosures (Subtopic 220-40): Disaggregation of Income Statement Expenses. The amendments in this ASU require entities to disaggregate certain expense captions into specified categories in disclosures within the footnotes to the financial statements. In January 2025, the FASB issued ASU 2025-01, which revises the effective date of ASU 2024-03 and clarifies that entities are required to adopt the guidance in annual reporting periods beginning after December 15, 2026, and interim periods within annual reporting periods beginning after December 15, 2027. The Company is in the process of evaluating the impact of this standard on</w:t>
      </w:r>
      <w:r>
        <w:rPr>
          <w:color w:val="000000"/>
          <w:shd w:fill="FFFFFF" w:val="clear"/>
        </w:rPr>
        <w:t xml:space="preserve"> </w:t>
      </w:r>
      <w:r>
        <w:rPr>
          <w:rFonts w:ascii="Times New Roman;sans-serif" w:hAnsi="Times New Roman;sans-serif"/>
          <w:b w:val="false"/>
          <w:color w:val="000000"/>
          <w:sz w:val="20"/>
          <w:shd w:fill="FFFFFF" w:val="clear"/>
        </w:rPr>
        <w:t>our consolidated financial statements and disclosures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disaggregated net revenues from contracts with external customers by timing of revenue and by segment for the three months ended March 31, 2025 and 2024:</w:t>
      </w:r>
    </w:p>
    <w:tbl>
      <w:tblPr>
        <w:tblW w:w="7455"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54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169,684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32,557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52,282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254,523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55"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54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166,497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24,007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57,672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248,176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we receive consideration from a customer prior to transferring goods or services under the terms of a sales contract, we record deferred revenue, which represents a contract liability. Deferred revenue totaled $13.8 million and $15.1 million at March 31, 2025 and December 31, 2024, respectively. We recognize deferred revenue after we have transferred control of the goods or services to the customer and all revenue recognition criteria are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4.Inventories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w:t>
      </w:r>
    </w:p>
    <w:tbl>
      <w:tblPr>
        <w:tblW w:w="6655" w:type="dxa"/>
        <w:jc w:val="left"/>
        <w:tblInd w:w="0" w:type="dxa"/>
        <w:tblLayout w:type="fixed"/>
        <w:tblCellMar>
          <w:top w:w="28" w:type="dxa"/>
          <w:left w:w="28" w:type="dxa"/>
          <w:bottom w:w="28" w:type="dxa"/>
          <w:right w:w="28" w:type="dxa"/>
        </w:tblCellMar>
      </w:tblPr>
      <w:tblGrid>
        <w:gridCol w:w="1277"/>
        <w:gridCol w:w="1122"/>
        <w:gridCol w:w="1125"/>
        <w:gridCol w:w="251"/>
        <w:gridCol w:w="878"/>
        <w:gridCol w:w="130"/>
        <w:gridCol w:w="109"/>
        <w:gridCol w:w="109"/>
        <w:gridCol w:w="109"/>
        <w:gridCol w:w="300"/>
        <w:gridCol w:w="1026"/>
        <w:gridCol w:w="219"/>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supplies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53,988</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2,184</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5,091</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61,263</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excess and obsolete inventory</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(218)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Inventories, net</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61,045</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5.Prepaid Expenses and Other Current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tbl>
      <w:tblPr>
        <w:tblW w:w="6760" w:type="dxa"/>
        <w:jc w:val="left"/>
        <w:tblInd w:w="0" w:type="dxa"/>
        <w:tblLayout w:type="fixed"/>
        <w:tblCellMar>
          <w:top w:w="28" w:type="dxa"/>
          <w:left w:w="28" w:type="dxa"/>
          <w:bottom w:w="28" w:type="dxa"/>
          <w:right w:w="28" w:type="dxa"/>
        </w:tblCellMar>
      </w:tblPr>
      <w:tblGrid>
        <w:gridCol w:w="1316"/>
        <w:gridCol w:w="1154"/>
        <w:gridCol w:w="1159"/>
        <w:gridCol w:w="251"/>
        <w:gridCol w:w="878"/>
        <w:gridCol w:w="130"/>
        <w:gridCol w:w="109"/>
        <w:gridCol w:w="109"/>
        <w:gridCol w:w="109"/>
        <w:gridCol w:w="300"/>
        <w:gridCol w:w="1026"/>
        <w:gridCol w:w="219"/>
      </w:tblGrid>
      <w:tr>
        <w:trPr/>
        <w:tc>
          <w:tcPr>
            <w:tcW w:w="13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31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taxes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4,781</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business insurance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5,634</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rent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1,313</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 assets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17,571</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deposits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221</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maintenance contracts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785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tax receivable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2,374</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software licensing</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2,750</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supplies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5,154</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assets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2,132</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11,948</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 current assets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54,663</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6.Goodwill and Other 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to goodwill during the three months ended March 31, 2025 were as follows:</w:t>
      </w:r>
    </w:p>
    <w:tbl>
      <w:tblPr>
        <w:tblW w:w="10042" w:type="dxa"/>
        <w:jc w:val="left"/>
        <w:tblInd w:w="0" w:type="dxa"/>
        <w:tblLayout w:type="fixed"/>
        <w:tblCellMar>
          <w:top w:w="28" w:type="dxa"/>
          <w:left w:w="28" w:type="dxa"/>
          <w:bottom w:w="28" w:type="dxa"/>
          <w:right w:w="28" w:type="dxa"/>
        </w:tblCellMar>
      </w:tblPr>
      <w:tblGrid>
        <w:gridCol w:w="1451"/>
        <w:gridCol w:w="1274"/>
        <w:gridCol w:w="127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109"/>
        <w:gridCol w:w="109"/>
        <w:gridCol w:w="211"/>
        <w:gridCol w:w="99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December 31, 2024</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1,081,073 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due to foreign currency exchange rates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Goodwill at March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654,872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255,805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173,705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1,084,382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intangible assets consisted of the following: </w:t>
      </w:r>
    </w:p>
    <w:tbl>
      <w:tblPr>
        <w:tblW w:w="6173" w:type="dxa"/>
        <w:jc w:val="left"/>
        <w:tblInd w:w="0" w:type="dxa"/>
        <w:tblLayout w:type="fixed"/>
        <w:tblCellMar>
          <w:top w:w="28" w:type="dxa"/>
          <w:left w:w="28" w:type="dxa"/>
          <w:bottom w:w="28" w:type="dxa"/>
          <w:right w:w="28" w:type="dxa"/>
        </w:tblCellMar>
      </w:tblPr>
      <w:tblGrid>
        <w:gridCol w:w="1207"/>
        <w:gridCol w:w="1060"/>
        <w:gridCol w:w="1062"/>
        <w:gridCol w:w="211"/>
        <w:gridCol w:w="991"/>
        <w:gridCol w:w="109"/>
        <w:gridCol w:w="109"/>
        <w:gridCol w:w="109"/>
        <w:gridCol w:w="109"/>
        <w:gridCol w:w="211"/>
        <w:gridCol w:w="841"/>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Gross Carrying</w:t>
            </w:r>
          </w:p>
          <w:p>
            <w:pPr>
              <w:pStyle w:val="TableContents"/>
              <w:bidi w:val="0"/>
              <w:spacing w:lineRule="auto" w:line="288" w:before="0" w:after="3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88" w:before="0" w:after="30"/>
              <w:jc w:val="center"/>
              <w:rPr>
                <w:rFonts w:ascii="Times New Roman;sans-serif" w:hAnsi="Times New Roman;sans-serif"/>
                <w:b/>
                <w:color w:val="000000"/>
                <w:sz w:val="16"/>
              </w:rPr>
            </w:pPr>
            <w:r>
              <w:rPr>
                <w:rFonts w:ascii="Times New Roman;sans-serif" w:hAnsi="Times New Roman;sans-serif"/>
                <w:b/>
                <w:color w:val="000000"/>
                <w:sz w:val="16"/>
              </w:rPr>
              <w:t>Amortization</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March 31, 2025</w:t>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Finite-lived intangible 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651,040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556,060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74,094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54,780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1,781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Land-use rights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8,541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2,072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Sealed source and supply agreements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192,873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112,860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4,347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3,873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finite-lived intangible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933,436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731,426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Indefinite-lived intangible assets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Regulatory licenses and other</w:t>
            </w:r>
            <w:r>
              <w:rPr>
                <w:rFonts w:ascii="Times New Roman;sans-serif" w:hAnsi="Times New Roman;sans-serif"/>
                <w:b w:val="false"/>
                <w:color w:val="000000"/>
                <w:sz w:val="13"/>
              </w:rPr>
              <w:t>(a)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72,641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 trademarks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25,649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indefinite-lived intangible assets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98,290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1,031,726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731,426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6143" w:type="dxa"/>
        <w:jc w:val="left"/>
        <w:tblInd w:w="0" w:type="dxa"/>
        <w:tblLayout w:type="fixed"/>
        <w:tblCellMar>
          <w:top w:w="28" w:type="dxa"/>
          <w:left w:w="28" w:type="dxa"/>
          <w:bottom w:w="28" w:type="dxa"/>
          <w:right w:w="28" w:type="dxa"/>
        </w:tblCellMar>
      </w:tblPr>
      <w:tblGrid>
        <w:gridCol w:w="1204"/>
        <w:gridCol w:w="1060"/>
        <w:gridCol w:w="1065"/>
        <w:gridCol w:w="211"/>
        <w:gridCol w:w="976"/>
        <w:gridCol w:w="109"/>
        <w:gridCol w:w="109"/>
        <w:gridCol w:w="109"/>
        <w:gridCol w:w="109"/>
        <w:gridCol w:w="211"/>
        <w:gridCol w:w="82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2024</w:t>
            </w:r>
          </w:p>
        </w:tc>
        <w:tc>
          <w:tcPr>
            <w:tcW w:w="1296"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Gross Carrying</w:t>
            </w:r>
          </w:p>
          <w:p>
            <w:pPr>
              <w:pStyle w:val="TableContents"/>
              <w:bidi w:val="0"/>
              <w:spacing w:lineRule="auto" w:line="288" w:before="0" w:after="3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Amortization</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Finite-lived intangible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Land-use rights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Sealed source and supply agreements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finite-lived intangible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708,829 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Indefinite-lived intangible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Regulatory licenses and other</w:t>
            </w:r>
            <w:r>
              <w:rPr>
                <w:rFonts w:ascii="Times New Roman;sans-serif" w:hAnsi="Times New Roman;sans-serif"/>
                <w:b w:val="false"/>
                <w:color w:val="000000"/>
                <w:sz w:val="13"/>
              </w:rPr>
              <w:t>(a)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 trademarks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indefinite-lived intangible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708,829 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3"/>
        </w:rPr>
        <w:t>(a)</w:t>
      </w:r>
      <w:r>
        <w:rPr>
          <w:rFonts w:ascii="Times New Roman;sans-serif" w:hAnsi="Times New Roman;sans-serif"/>
          <w:b w:val="false"/>
          <w:color w:val="000000"/>
          <w:sz w:val="20"/>
        </w:rPr>
        <w:t>Includes certain transportation certifications, a class 1B nuclear license and other intangible assets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a license can take a significant amount of time and cost; whereas an existing licensee with a historical record of compliance and current operating conditions more than likely ensures renewal for another 10 year license period as Nordion has demonstrated over its 75 years of history.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include the impact of foreign currency translation. Fully amortized amounts are written off.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finite-lived intangible assets was $18.7 million and $20.1 million for the three months ended March 31, 2025 and 2024, respectively. $15.3 million and $15.7 million was included in “Amortization of intangible assets” in the Consolidated Statements of Operations and Comprehensive Income (Loss) for the three months ended March 31, 2025 and 2024, respectively, whereas the remainder was included in “Cost of revenues.”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aggregate amortization expense for finite-lived intangible assets for each of the next five years and thereafter is as follows:</w:t>
      </w:r>
    </w:p>
    <w:tbl>
      <w:tblPr>
        <w:tblW w:w="3425" w:type="dxa"/>
        <w:jc w:val="left"/>
        <w:tblInd w:w="0" w:type="dxa"/>
        <w:tblLayout w:type="fixed"/>
        <w:tblCellMar>
          <w:top w:w="28" w:type="dxa"/>
          <w:left w:w="28" w:type="dxa"/>
          <w:bottom w:w="28" w:type="dxa"/>
          <w:right w:w="28" w:type="dxa"/>
        </w:tblCellMar>
      </w:tblPr>
      <w:tblGrid>
        <w:gridCol w:w="804"/>
        <w:gridCol w:w="706"/>
        <w:gridCol w:w="709"/>
        <w:gridCol w:w="211"/>
        <w:gridCol w:w="841"/>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22,804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21,466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20,390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19,842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19,733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97,775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202,010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amortization periods of the finite-lived intangible assets by major intangible asset class as of March 31, 2025 were as follows:</w:t>
      </w:r>
    </w:p>
    <w:p>
      <w:pPr>
        <w:pStyle w:val="TextBody"/>
        <w:bidi w:val="0"/>
        <w:spacing w:before="0" w:after="0"/>
        <w:jc w:val="left"/>
        <w:rPr/>
      </w:pPr>
      <w:r>
        <w:rPr/>
      </w:r>
    </w:p>
    <w:tbl>
      <w:tblPr>
        <w:tblW w:w="7514" w:type="dxa"/>
        <w:jc w:val="left"/>
        <w:tblInd w:w="0" w:type="dxa"/>
        <w:tblLayout w:type="fixed"/>
        <w:tblCellMar>
          <w:top w:w="28" w:type="dxa"/>
          <w:left w:w="28" w:type="dxa"/>
          <w:bottom w:w="28" w:type="dxa"/>
          <w:right w:w="28" w:type="dxa"/>
        </w:tblCellMar>
      </w:tblPr>
      <w:tblGrid>
        <w:gridCol w:w="1133"/>
        <w:gridCol w:w="996"/>
        <w:gridCol w:w="1006"/>
        <w:gridCol w:w="1281"/>
        <w:gridCol w:w="1281"/>
        <w:gridCol w:w="1817"/>
      </w:tblGrid>
      <w:tr>
        <w:trPr/>
        <w:tc>
          <w:tcPr>
            <w:tcW w:w="113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years)</w:t>
            </w:r>
          </w:p>
        </w:tc>
        <w:tc>
          <w:tcPr>
            <w:tcW w:w="43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Weighted average remaining amortization period</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4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9.2</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w:t>
            </w:r>
          </w:p>
        </w:tc>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10.3</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Land-use rights</w:t>
            </w:r>
          </w:p>
        </w:tc>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31.4</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Sealed source and supply agreements</w:t>
            </w:r>
          </w:p>
        </w:tc>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9.7</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7.Accrued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w:t>
      </w:r>
    </w:p>
    <w:tbl>
      <w:tblPr>
        <w:tblW w:w="6447" w:type="dxa"/>
        <w:jc w:val="left"/>
        <w:tblInd w:w="0" w:type="dxa"/>
        <w:tblLayout w:type="fixed"/>
        <w:tblCellMar>
          <w:top w:w="28" w:type="dxa"/>
          <w:left w:w="28" w:type="dxa"/>
          <w:bottom w:w="28" w:type="dxa"/>
          <w:right w:w="28" w:type="dxa"/>
        </w:tblCellMar>
      </w:tblPr>
      <w:tblGrid>
        <w:gridCol w:w="1202"/>
        <w:gridCol w:w="1055"/>
        <w:gridCol w:w="1058"/>
        <w:gridCol w:w="229"/>
        <w:gridCol w:w="913"/>
        <w:gridCol w:w="118"/>
        <w:gridCol w:w="109"/>
        <w:gridCol w:w="109"/>
        <w:gridCol w:w="109"/>
        <w:gridCol w:w="300"/>
        <w:gridCol w:w="1026"/>
        <w:gridCol w:w="219"/>
      </w:tblGrid>
      <w:tr>
        <w:trPr/>
        <w:tc>
          <w:tcPr>
            <w:tcW w:w="120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313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25,927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 EO litigation settlement reserve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30,943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expense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19,104</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5,149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20,744</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utilities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2,026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accrual</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2,102</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2,334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5,474</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Accrued liabilities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113,803</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90,463 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8.Long-Term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w:t>
      </w:r>
    </w:p>
    <w:tbl>
      <w:tblPr>
        <w:tblW w:w="10205" w:type="dxa"/>
        <w:jc w:val="left"/>
        <w:tblInd w:w="0" w:type="dxa"/>
        <w:tblLayout w:type="fixed"/>
        <w:tblCellMar>
          <w:top w:w="28" w:type="dxa"/>
          <w:left w:w="28" w:type="dxa"/>
          <w:bottom w:w="28" w:type="dxa"/>
          <w:right w:w="28" w:type="dxa"/>
        </w:tblCellMar>
      </w:tblPr>
      <w:tblGrid>
        <w:gridCol w:w="734"/>
        <w:gridCol w:w="640"/>
        <w:gridCol w:w="642"/>
        <w:gridCol w:w="211"/>
        <w:gridCol w:w="991"/>
        <w:gridCol w:w="109"/>
        <w:gridCol w:w="109"/>
        <w:gridCol w:w="109"/>
        <w:gridCol w:w="109"/>
        <w:gridCol w:w="545"/>
        <w:gridCol w:w="1634"/>
        <w:gridCol w:w="283"/>
        <w:gridCol w:w="109"/>
        <w:gridCol w:w="109"/>
        <w:gridCol w:w="109"/>
        <w:gridCol w:w="392"/>
        <w:gridCol w:w="1480"/>
        <w:gridCol w:w="202"/>
        <w:gridCol w:w="109"/>
        <w:gridCol w:w="109"/>
        <w:gridCol w:w="109"/>
        <w:gridCol w:w="211"/>
        <w:gridCol w:w="991"/>
        <w:gridCol w:w="159"/>
      </w:tblGrid>
      <w:tr>
        <w:trPr/>
        <w:tc>
          <w:tcPr>
            <w:tcW w:w="7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2025</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Secured notes due 2031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750,000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(3,563)</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746,437</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2031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1,501,803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(6,264)</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(21,810)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1,473,729</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2,251,803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(9,827)</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(21,810)</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2,220,166</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15,094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(220)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14,811</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2,236,709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(9,764)</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(21,590)</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2,205,355</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737"/>
        <w:gridCol w:w="643"/>
        <w:gridCol w:w="645"/>
        <w:gridCol w:w="211"/>
        <w:gridCol w:w="976"/>
        <w:gridCol w:w="109"/>
        <w:gridCol w:w="109"/>
        <w:gridCol w:w="109"/>
        <w:gridCol w:w="109"/>
        <w:gridCol w:w="468"/>
        <w:gridCol w:w="1767"/>
        <w:gridCol w:w="242"/>
        <w:gridCol w:w="109"/>
        <w:gridCol w:w="109"/>
        <w:gridCol w:w="109"/>
        <w:gridCol w:w="394"/>
        <w:gridCol w:w="1486"/>
        <w:gridCol w:w="203"/>
        <w:gridCol w:w="109"/>
        <w:gridCol w:w="109"/>
        <w:gridCol w:w="109"/>
        <w:gridCol w:w="211"/>
        <w:gridCol w:w="976"/>
        <w:gridCol w:w="156"/>
      </w:tblGrid>
      <w:tr>
        <w:trPr/>
        <w:tc>
          <w:tcPr>
            <w:tcW w:w="73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2024</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Secured notes due 2031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2031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(10,215)</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(22,459)</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2,222,903 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(10,150)</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(22,233)</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2,208,100 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Debt Facilities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Secured Credit Facilities</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On December 13, 2019,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(as amended through Amendment No. 5 (as defined below), the “Credit Agreement”). Amendment No. 5 increased the total borrowing capacity under the Revolving Credit Facility to </w:t>
      </w:r>
      <w:r>
        <w:rPr>
          <w:rFonts w:ascii="Times New Roman;sans-serif" w:hAnsi="Times New Roman;sans-serif"/>
          <w:b w:val="false"/>
          <w:color w:val="000000"/>
          <w:sz w:val="20"/>
        </w:rPr>
        <w:t>$600.0 million</w:t>
      </w:r>
      <w:r>
        <w:rPr>
          <w:rFonts w:ascii="Times New Roman;sans-serif" w:hAnsi="Times New Roman;sans-serif"/>
          <w:b w:val="false"/>
          <w:color w:val="000000"/>
          <w:sz w:val="20"/>
          <w:shd w:fill="FFFFFF" w:val="clear"/>
        </w:rPr>
        <w:t>. The Senior Secured Credit Facilities also provide SHH the right at any time and under certain conditions to request incremental term loans or incremental revolving credit commitments based on a formula defined in the Senior Secured Credit Facilities.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2025, the Company and SHH entered into Amendment No. 5 (“Amendment No. 5”) to the Revolving Credit Facility. Among other changes, Amendment No. 5 provides (i) for an increase in the commitments under the existing Revolving Credit Facility in an aggregate principal amount of $176.2 million, (ii) that certain lenders providing revolving credit commitments shall also provide additional commitments for the issuance of letters of credit under the Revolving Credit Facility in an aggregate principal amount of $186.3 million and (iii) for the extension of the maturity date of the Revolving Credit Facility to April 30, 2030. Amendment No. 5 does not give effect to any other material changes to the terms and conditions of the Credit Agreement, including with respect to the representations and warranties, events of default and the affirmative or negative covenants.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30, 2024, the Company and SHH entered into Amendment No. 4 (“Amendment No. 4”) to the Senior Secured Credit Facilities. Among other changes, Amendment No. 4 provides for term loans (the “Refinancing Term Loans”) to SHH in an aggregate principal amount of $1,509.4 million. Pursuant to Amendment No. 4, the Refinancing Term Loans shall have an applicable interest rate margin per annum equal to (i) ABR plus 2.25% for ABR Loans (as defined in the Credit Agreement), (ii) daily simple Secured Overnight Financing Rate (“SOFR”) plus 3.25% for RFR Loans (as defined in the Credit Agreement) and (iii) Term SOFR plus 3.25% for Term Benchmark Loans (as defined in the Credit Agreement), in each case with a 0.00% applicable floor and the applicable interest rate margin shall be subject to a pricing step-down of 0.25% when the Senior Secured Leverage Ratio (as defined in the Credit Agreement) is less than or equal to 3.30:1.00. The Refinancing Term Loans amortize at a rate of 1.00% per annum and mature on May 30, 2031. The weighted average interest rate on borrowings under the Refinancing Term Loans for the three months ended March 31, 2025 was 7.65%.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30, 2024, SHH, the Company, certain subsidiaries of the Company (the “Guarantors”),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May 2024. The Secured Notes pay interest semiannually in arrears on June 1 and December 1 of each year, which began on December 1, 2024, at a rate of 7.375% per year, and will mature on June 1, 2031. The Secured Notes may be redeemed, at any time or from time to time, in whole or in part, on or after June 1, 2027 at the redemption prices specified in the Indenture, together with accrued and unpaid interest, if any, thereon to, but excluding, the redemption date. At any time or from time to time, prior to June 1, 2027, the Secured Notes may be redeemed, in whole or in part, at a redemption price equal to 100% of the aggregate principal amount thereof plus a make-whole premium, together with accrued and unpaid interest, if any, thereon to, but excluding, the redemption date. In addition, at any time or from time to time, prior to June 1, 2027, SHH may redeem up to 40% of the aggregate principal amount of the Secured Notes (including any additional Secured Notes issued under the Indenture) with an amount not to exceed the net cash proceeds from certain equity offerings at a redemption price equal to 107.375% of the aggregate principal amount thereof plus accrued and unpaid interest, if any, thereon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but excluding, the redemption date. Further, at any time or from time to time, on or before June 1, 2027, SHH may redeem up to 10% of the then outstanding aggregate principal amount of Secured Notes (including any additional Secured Notes issued under the Indenture) during each of the twelve-month periods ending after the issue date, at a redemption price equal to 103% of the aggregate principal amount thereof, plus accrued and unpaid interest, if any, thereon to, but excluding, the redemption date.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Indenture are secured on a first-lien basis by security interests in substantially all of the assets of SHH, the Company and the Guarantors (other than any excluded assets) that secure the Credit Agreement on a pari passu basis, subject to certain limitations, exceptions and permitted liens. These obligations are secured pursuant to a security agreement, dated as of May 30, 2024, by and among SHH, the Company, the other grantors party thereto, and Wilmington Trust, National Association (the “Security Agreement”), as may be amended from time to time, and related financing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the combined net proceeds from the Refinancing Term Loans and Secured Notes, along with cash on hand, to refinance its previously outstanding $1,763.1 million Term Loan due 2026 and $496.3 million Term Loan B due 2026.</w:t>
      </w:r>
    </w:p>
    <w:p>
      <w:pPr>
        <w:pStyle w:val="TextBody"/>
        <w:bidi w:val="0"/>
        <w:spacing w:lineRule="auto" w:line="288" w:before="240" w:after="283"/>
        <w:jc w:val="left"/>
        <w:rPr/>
      </w:pPr>
      <w:r>
        <w:rPr>
          <w:rFonts w:ascii="Times New Roman;sans-serif" w:hAnsi="Times New Roman;sans-serif"/>
          <w:b w:val="false"/>
          <w:color w:val="000000"/>
          <w:sz w:val="20"/>
        </w:rPr>
        <w:t xml:space="preserve">On March 1, 2024, the Company and SHH entered into Amendment No. 3 (“Amendment No. 3”) to the Revolving Credit Facility. Among other changes, Amendment No. 3 provides (i) for new commitments under the existing Revolving Credit Facility to replace existing revolving commitments in an aggregate principal amount of </w:t>
      </w:r>
      <w:r>
        <w:rPr>
          <w:rFonts w:ascii="Times New Roman;sans-serif" w:hAnsi="Times New Roman;sans-serif"/>
          <w:b w:val="false"/>
          <w:color w:val="000000"/>
          <w:sz w:val="20"/>
          <w:shd w:fill="FFFFFF" w:val="clear"/>
        </w:rPr>
        <w:t>$83.0 million</w:t>
      </w:r>
      <w:r>
        <w:rPr>
          <w:rFonts w:ascii="Times New Roman;sans-serif" w:hAnsi="Times New Roman;sans-serif"/>
          <w:b w:val="false"/>
          <w:color w:val="000000"/>
          <w:sz w:val="20"/>
        </w:rPr>
        <w:t xml:space="preserve">, (ii) that certain of the lenders providing revolving credit commitments shall also provide additional commitments for the issuance of letters of credit under the Revolving Credit Facility in an aggregate principal amount of </w:t>
      </w:r>
      <w:r>
        <w:rPr>
          <w:rFonts w:ascii="Times New Roman;sans-serif" w:hAnsi="Times New Roman;sans-serif"/>
          <w:b w:val="false"/>
          <w:color w:val="000000"/>
          <w:sz w:val="20"/>
          <w:shd w:fill="FFFFFF" w:val="clear"/>
        </w:rPr>
        <w:t>$37.5 million</w:t>
      </w:r>
      <w:r>
        <w:rPr>
          <w:color w:val="000000"/>
        </w:rPr>
        <w:t xml:space="preserve"> </w:t>
      </w:r>
      <w:r>
        <w:rPr>
          <w:rFonts w:ascii="Times New Roman;sans-serif" w:hAnsi="Times New Roman;sans-serif"/>
          <w:b w:val="false"/>
          <w:color w:val="000000"/>
          <w:sz w:val="20"/>
        </w:rPr>
        <w:t>and (iii) for the extension of the maturity date of the Revolving Credit Facility to March 1, 2029.</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Senior Secured Credit Facilities and the Indenture contain additional covenants that, among other things, restrict, subject to certain exceptions, limitations and qualifications, our ability and the ability of our restricted subsidiaries to engage in certain activities, such as incur additional indebtedness or permit to exist any lien on any property or asset now owned or hereafter acquired, as specified in the Senior Secured Credit Facilities and the Indenture. The Senior Secured Credit Facilities and the Indenture also contain certain customary affirmative covenants and events of default, including upon a change of control. In addition, an event of default under the Senior Secured Credit Facilities and the Indenture would occur if the Company or certain of its subsidiaries received one or more enforceable judgments for payment in an aggregate amount in excess of the greater of (i) </w:t>
      </w:r>
      <w:r>
        <w:rPr>
          <w:rFonts w:ascii="Times New Roman;sans-serif" w:hAnsi="Times New Roman;sans-serif"/>
          <w:b w:val="false"/>
          <w:color w:val="000000"/>
          <w:sz w:val="20"/>
        </w:rPr>
        <w:t>$162.6 million</w:t>
      </w:r>
      <w:r>
        <w:rPr>
          <w:color w:val="000000"/>
          <w:shd w:fill="FFFFFF" w:val="clear"/>
        </w:rPr>
        <w:t xml:space="preserve"> </w:t>
      </w:r>
      <w:r>
        <w:rPr>
          <w:rFonts w:ascii="Times New Roman;sans-serif" w:hAnsi="Times New Roman;sans-serif"/>
          <w:b w:val="false"/>
          <w:color w:val="000000"/>
          <w:sz w:val="20"/>
          <w:shd w:fill="FFFFFF" w:val="clear"/>
        </w:rPr>
        <w:t xml:space="preserve">or (ii) </w:t>
      </w:r>
      <w:r>
        <w:rPr>
          <w:rFonts w:ascii="Times New Roman;sans-serif" w:hAnsi="Times New Roman;sans-serif"/>
          <w:b w:val="false"/>
          <w:color w:val="000000"/>
          <w:sz w:val="20"/>
        </w:rPr>
        <w:t xml:space="preserve">30.0% of consolidated EBITDA or LTM EBITDA (as defined in the Credit Agreement and the Indenture, respectively) </w:t>
      </w:r>
      <w:r>
        <w:rPr>
          <w:rFonts w:ascii="Times New Roman;sans-serif" w:hAnsi="Times New Roman;sans-serif"/>
          <w:b w:val="false"/>
          <w:color w:val="000000"/>
          <w:sz w:val="20"/>
          <w:shd w:fill="FFFFFF" w:val="clear"/>
        </w:rPr>
        <w:t xml:space="preserve">and the judgments were not stayed or remained undischarged for a period of </w:t>
      </w:r>
      <w:r>
        <w:rPr>
          <w:rFonts w:ascii="Times New Roman;sans-serif" w:hAnsi="Times New Roman;sans-serif"/>
          <w:b w:val="false"/>
          <w:color w:val="000000"/>
          <w:sz w:val="20"/>
        </w:rPr>
        <w:t>60</w:t>
      </w:r>
      <w:r>
        <w:rPr>
          <w:color w:val="000000"/>
          <w:shd w:fill="FFFFFF" w:val="clear"/>
        </w:rPr>
        <w:t xml:space="preserve"> </w:t>
      </w:r>
      <w:r>
        <w:rPr>
          <w:rFonts w:ascii="Times New Roman;sans-serif" w:hAnsi="Times New Roman;sans-serif"/>
          <w:b w:val="false"/>
          <w:color w:val="000000"/>
          <w:sz w:val="20"/>
          <w:shd w:fill="FFFFFF" w:val="clear"/>
        </w:rPr>
        <w:t xml:space="preserve">consecutive days. 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we were in compliance with all of the covenants under the Senior Secured Credit Facilities and the Indenture.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of SHH’s obligations under the Senior Secured Credit Facilities and the Indenture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Indenture, and the guarantees of such obligations, are secured by substantially all assets of SHH and the guarantors, subject to permitted liens and other exceptions and exclusions, as outlined in the Senior Secured Credit Facilities, the Indenture and the Security Agreement.</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Outstanding letters of credit are collateralized by encumbrances against the Revolving Credit Facility and the collateral pledged thereunder, or by cash placed on deposit with the issuing bank. As of April 30, 2025, the Company had </w:t>
      </w:r>
      <w:r>
        <w:rPr>
          <w:rFonts w:ascii="Times New Roman;sans-serif" w:hAnsi="Times New Roman;sans-serif"/>
          <w:b w:val="false"/>
          <w:color w:val="000000"/>
          <w:sz w:val="20"/>
        </w:rPr>
        <w:t>$13.7 million</w:t>
      </w:r>
      <w:r>
        <w:rPr>
          <w:color w:val="000000"/>
          <w:shd w:fill="FFFFFF" w:val="clear"/>
        </w:rPr>
        <w:t xml:space="preserve"> </w:t>
      </w:r>
      <w:r>
        <w:rPr>
          <w:rFonts w:ascii="Times New Roman;sans-serif" w:hAnsi="Times New Roman;sans-serif"/>
          <w:b w:val="false"/>
          <w:color w:val="000000"/>
          <w:sz w:val="20"/>
          <w:shd w:fill="FFFFFF" w:val="clear"/>
        </w:rPr>
        <w:t xml:space="preserve">of letters of credit issued against the Revolving Credit Facility, resulting in total availability under the Revolving Credit Facility of </w:t>
      </w:r>
      <w:r>
        <w:rPr>
          <w:rFonts w:ascii="Times New Roman;sans-serif" w:hAnsi="Times New Roman;sans-serif"/>
          <w:b w:val="false"/>
          <w:color w:val="000000"/>
          <w:sz w:val="20"/>
        </w:rPr>
        <w:t>$586.3 million</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Term Loan Interest Rate Risk Management</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15, “Financial Instruments and Financial Risk,”— </w:t>
      </w:r>
      <w:r>
        <w:rPr>
          <w:color w:val="000000"/>
          <w:shd w:fill="FFFFFF" w:val="clear"/>
        </w:rPr>
        <w:t>“</w:t>
      </w:r>
      <w:r>
        <w:rPr>
          <w:rFonts w:ascii="Times New Roman;sans-serif" w:hAnsi="Times New Roman;sans-serif"/>
          <w:b w:val="false"/>
          <w:i/>
          <w:color w:val="000000"/>
          <w:sz w:val="20"/>
          <w:shd w:fill="FFFFFF" w:val="clear"/>
        </w:rPr>
        <w:t>Derivative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Aggregate Maturities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maturities of the Company’s long-term debt, excluding debt issuance costs and discounts, as of March 31, 2025, are as follows:</w:t>
      </w:r>
    </w:p>
    <w:p>
      <w:pPr>
        <w:pStyle w:val="TextBody"/>
        <w:bidi w:val="0"/>
        <w:spacing w:before="0" w:after="0"/>
        <w:jc w:val="left"/>
        <w:rPr/>
      </w:pPr>
      <w:r>
        <w:rPr/>
      </w:r>
    </w:p>
    <w:tbl>
      <w:tblPr>
        <w:tblW w:w="3351" w:type="dxa"/>
        <w:jc w:val="left"/>
        <w:tblInd w:w="0" w:type="dxa"/>
        <w:tblLayout w:type="fixed"/>
        <w:tblCellMar>
          <w:top w:w="28" w:type="dxa"/>
          <w:left w:w="28" w:type="dxa"/>
          <w:bottom w:w="28" w:type="dxa"/>
          <w:right w:w="28" w:type="dxa"/>
        </w:tblCellMar>
      </w:tblPr>
      <w:tblGrid>
        <w:gridCol w:w="723"/>
        <w:gridCol w:w="635"/>
        <w:gridCol w:w="637"/>
        <w:gridCol w:w="211"/>
        <w:gridCol w:w="99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11,320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15,094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15,094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15,094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15,094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2,180,107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2,251,803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for the three months ended March 31, 2025 differed from the statutory rate primarily due to current year permanent differences, partially offset by the valuation allowance attributable to the limitation on the deductibility of interest expense and the impact of the foreign rate differential. Income tax expense for the three months ended March 31, 2024 differed from the statutory rate primarily due to a net increase in the valuation allowance attributable to the limitation on the deductibility of interest expense and the impact of the foreign rate differential, partially offset by a benefit for state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10.Employee Benefits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Defined benefit pension plan </w:t>
      </w:r>
    </w:p>
    <w:p>
      <w:pPr>
        <w:pStyle w:val="TextBody"/>
        <w:bidi w:val="0"/>
        <w:spacing w:lineRule="auto" w:line="288" w:before="120" w:after="283"/>
        <w:jc w:val="left"/>
        <w:rPr/>
      </w:pPr>
      <w:r>
        <w:rPr>
          <w:rFonts w:ascii="Times New Roman;sans-serif" w:hAnsi="Times New Roman;sans-serif"/>
          <w:b w:val="false"/>
          <w:color w:val="000000"/>
          <w:sz w:val="20"/>
        </w:rPr>
        <w:t>The following defined benefit pension plan disclosure relates to Nordion. Certain immaterial foreign defined benefit pension plans have been excluded from the table below. The interest cost, expected return on plan assets and amortization of net actuarial gain are recorded in “Other (income) expense, net” and the service cost component is included in the same financial statement line item as the applicable employee’s wages in the Consolidated Statements of Operations and Comprehensive Income (Loss). The components of net periodic pens</w:t>
      </w:r>
      <w:r>
        <w:rPr>
          <w:rFonts w:ascii="Times New Roman;sans-serif" w:hAnsi="Times New Roman;sans-serif"/>
          <w:b w:val="false"/>
          <w:color w:val="000000"/>
          <w:sz w:val="20"/>
          <w:shd w:fill="FFFFFF" w:val="clear"/>
        </w:rPr>
        <w:t>ion benefit f</w:t>
      </w:r>
      <w:r>
        <w:rPr>
          <w:rFonts w:ascii="Times New Roman;sans-serif" w:hAnsi="Times New Roman;sans-serif"/>
          <w:b w:val="false"/>
          <w:color w:val="000000"/>
          <w:sz w:val="20"/>
        </w:rPr>
        <w:t>or the defined benefit plans for the three months ended March 31, 2025 and 2024 were as follows:</w:t>
      </w:r>
    </w:p>
    <w:tbl>
      <w:tblPr>
        <w:tblW w:w="4974" w:type="dxa"/>
        <w:jc w:val="left"/>
        <w:tblInd w:w="0" w:type="dxa"/>
        <w:tblLayout w:type="fixed"/>
        <w:tblCellMar>
          <w:top w:w="28" w:type="dxa"/>
          <w:left w:w="28" w:type="dxa"/>
          <w:bottom w:w="28" w:type="dxa"/>
          <w:right w:w="28" w:type="dxa"/>
        </w:tblCellMar>
      </w:tblPr>
      <w:tblGrid>
        <w:gridCol w:w="935"/>
        <w:gridCol w:w="821"/>
        <w:gridCol w:w="824"/>
        <w:gridCol w:w="211"/>
        <w:gridCol w:w="691"/>
        <w:gridCol w:w="109"/>
        <w:gridCol w:w="109"/>
        <w:gridCol w:w="109"/>
        <w:gridCol w:w="109"/>
        <w:gridCol w:w="211"/>
        <w:gridCol w:w="691"/>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periodic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benefit plans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benefit plans disclosed below relate to Nordion and include a supplemental retirement arrangement, a retirement and termination allowance, and post-retirement benefit plans, which include contributory health and dental care benefits and contributory life insurance coverage. Certain immaterial other foreign benefit plans have been excluded from the table below. All non-pension post-employment benefit plans are unfunded. The components of net periodic pension cost for the other benefit plans for the three months ended March 31, 2025 and 2024 were as follows:</w:t>
      </w:r>
    </w:p>
    <w:tbl>
      <w:tblPr>
        <w:tblW w:w="4947" w:type="dxa"/>
        <w:jc w:val="left"/>
        <w:tblInd w:w="0" w:type="dxa"/>
        <w:tblLayout w:type="fixed"/>
        <w:tblCellMar>
          <w:top w:w="28" w:type="dxa"/>
          <w:left w:w="28" w:type="dxa"/>
          <w:bottom w:w="28" w:type="dxa"/>
          <w:right w:w="28" w:type="dxa"/>
        </w:tblCellMar>
      </w:tblPr>
      <w:tblGrid>
        <w:gridCol w:w="1038"/>
        <w:gridCol w:w="912"/>
        <w:gridCol w:w="915"/>
        <w:gridCol w:w="259"/>
        <w:gridCol w:w="462"/>
        <w:gridCol w:w="134"/>
        <w:gridCol w:w="109"/>
        <w:gridCol w:w="109"/>
        <w:gridCol w:w="109"/>
        <w:gridCol w:w="261"/>
        <w:gridCol w:w="448"/>
        <w:gridCol w:w="191"/>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76</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actuarial gain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periodic benefit cost</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59</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currently has no funding requirements as the Nordion pension plan has a going concern surplus as defined by Canadian federal regulation, which requires solvency testing on defined benefit pension plans on an annual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obtain a qualifying letter of credit for solvency payments, up to 15% of the market value of solvency liabilities as determined on the valuation date, instead of paying cash into the pension fund. As of March 31, 2025 and December 31, 2024, we had letters of credit outstanding relating to the defined benefit plans totaling $6.2 million and $6.4 million, respectively.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11.Other Comprehensive Income (Loss)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in accumulated other comprehensive income (loss) are presented net of the related tax. Foreign currency translation is not adjusted for income taxes.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our accumulated other comprehensive income (loss) balances, net of applicable tax, were as follows: </w:t>
      </w:r>
    </w:p>
    <w:tbl>
      <w:tblPr>
        <w:tblW w:w="10090" w:type="dxa"/>
        <w:jc w:val="left"/>
        <w:tblInd w:w="0" w:type="dxa"/>
        <w:tblLayout w:type="fixed"/>
        <w:tblCellMar>
          <w:top w:w="28" w:type="dxa"/>
          <w:left w:w="28" w:type="dxa"/>
          <w:bottom w:w="28" w:type="dxa"/>
          <w:right w:w="28" w:type="dxa"/>
        </w:tblCellMar>
      </w:tblPr>
      <w:tblGrid>
        <w:gridCol w:w="1685"/>
        <w:gridCol w:w="1480"/>
        <w:gridCol w:w="1485"/>
        <w:gridCol w:w="211"/>
        <w:gridCol w:w="691"/>
        <w:gridCol w:w="109"/>
        <w:gridCol w:w="109"/>
        <w:gridCol w:w="109"/>
        <w:gridCol w:w="109"/>
        <w:gridCol w:w="211"/>
        <w:gridCol w:w="901"/>
        <w:gridCol w:w="109"/>
        <w:gridCol w:w="109"/>
        <w:gridCol w:w="109"/>
        <w:gridCol w:w="109"/>
        <w:gridCol w:w="216"/>
        <w:gridCol w:w="632"/>
        <w:gridCol w:w="113"/>
        <w:gridCol w:w="109"/>
        <w:gridCol w:w="109"/>
        <w:gridCol w:w="109"/>
        <w:gridCol w:w="211"/>
        <w:gridCol w:w="901"/>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Defined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Benefit</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Foreign</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Currency</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Interest</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Rate</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January 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(209,666)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250</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(208,251)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19,560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(520)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19,068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(252)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(b)</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current-period other comprehensive income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19,560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(772)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18,798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(190,106)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(522)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(189,453)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January 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(b)</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current-period other comprehensive income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March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(a)For defined benefit pension plans, amounts reclassified from accumulated other comprehensive income (loss) are recorded to “Other (income) expense, net” within the Consolidated Statements of Operations and Comprehensive Income (Loss).</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(b)For interest rate derivatives, amounts reclassified from accumulated other comprehensive income (loss) are recorded to “Interest expense, net” within the Consolidated Statements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12.Share-Based Compensation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Pre-IPO Awards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distributed in respect of pre-IPO Class B-1 time vesting units vests on a daily basis pro rata over a five-year vesting period (20% per year) beginning on the original vesting commencement date of the corresponding Class B-1 time vesting units, subject to the grantee’s continued services through each vesting date. Upon the occurrence of a change in control of the Company, all then-outstanding unvested shares of our common stock distributed in respect of Class B-1 Units will vest as of the date of consummation of such change in control, subject to the grantee’s continued services through the consummation of the change in control.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$0.3 million and $0.4 million of share-based compensation expense related to the pre-IPO Class B-1 awards for the three months ended March 31, 2025 and 2024,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activity for the three months ended March 31, 2025 related to the restricted stock awards distributed in respect of the pre-IPO awards (Class B-1) is presented below: </w:t>
      </w:r>
    </w:p>
    <w:tbl>
      <w:tblPr>
        <w:tblW w:w="4123" w:type="dxa"/>
        <w:jc w:val="left"/>
        <w:tblInd w:w="0" w:type="dxa"/>
        <w:tblLayout w:type="fixed"/>
        <w:tblCellMar>
          <w:top w:w="28" w:type="dxa"/>
          <w:left w:w="28" w:type="dxa"/>
          <w:bottom w:w="28" w:type="dxa"/>
          <w:right w:w="28" w:type="dxa"/>
        </w:tblCellMar>
      </w:tblPr>
      <w:tblGrid>
        <w:gridCol w:w="977"/>
        <w:gridCol w:w="858"/>
        <w:gridCol w:w="864"/>
        <w:gridCol w:w="416"/>
        <w:gridCol w:w="416"/>
        <w:gridCol w:w="592"/>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Restricted Stock</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Pre-IPO B-1</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2024</w:t>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71,451 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(44,239)</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March 31, 2025</w:t>
            </w:r>
          </w:p>
        </w:tc>
        <w:tc>
          <w:tcPr>
            <w:tcW w:w="8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27,212</w:t>
            </w:r>
            <w:r>
              <w:rPr>
                <w:color w:val="000000"/>
              </w:rPr>
              <w:t> </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2020 Omnibus Incentive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 long-term incentive plan (the “2020 Omnibus Incentive Plan” or the “2020 Plan”) that allows for grants of incentive stock options to employees (including employees of any of our subsidiaries), nonstatutory stock options, restricted stock awards, restricted stock units (“RSUs”), performance stock units (“PSUs”) and other cash-based, equity-based or equity-related awards to employees, directors, and consultants, including employees or consultants of our subsidiaries.</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We recog</w:t>
      </w:r>
      <w:r>
        <w:rPr>
          <w:rFonts w:ascii="Times New Roman;sans-serif" w:hAnsi="Times New Roman;sans-serif"/>
          <w:b w:val="false"/>
          <w:color w:val="000000"/>
          <w:sz w:val="20"/>
        </w:rPr>
        <w:t>nized $7.0 million ($2.2 million for stock options, $4.5 million for RSUs and $0.3 million for PSUs) and $8.2 million ($3.9 million for stock options and $4.3 million for RSUs) of share-based compensation expense for these awards in our Consolidated Statements of Operations and Comprehensive Income (Loss), in “Selling, general and administrative expenses,” for the three months ended March 31, 2025 and 2024, respectively.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generally vest ratably over a period of three years. They have an exercise price equal to the fair market value of a share of common stock on the date of grant, and a contractual term of 10 years. The following table summarizes our stock option activity for the three months ended March 31, 2025:</w:t>
      </w:r>
    </w:p>
    <w:tbl>
      <w:tblPr>
        <w:tblW w:w="6878" w:type="dxa"/>
        <w:jc w:val="left"/>
        <w:tblInd w:w="0" w:type="dxa"/>
        <w:tblLayout w:type="fixed"/>
        <w:tblCellMar>
          <w:top w:w="28" w:type="dxa"/>
          <w:left w:w="28" w:type="dxa"/>
          <w:bottom w:w="28" w:type="dxa"/>
          <w:right w:w="28" w:type="dxa"/>
        </w:tblCellMar>
      </w:tblPr>
      <w:tblGrid>
        <w:gridCol w:w="1478"/>
        <w:gridCol w:w="1297"/>
        <w:gridCol w:w="1304"/>
        <w:gridCol w:w="495"/>
        <w:gridCol w:w="496"/>
        <w:gridCol w:w="311"/>
        <w:gridCol w:w="109"/>
        <w:gridCol w:w="109"/>
        <w:gridCol w:w="109"/>
        <w:gridCol w:w="248"/>
        <w:gridCol w:w="741"/>
        <w:gridCol w:w="181"/>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average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Exercise Price</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 at December 31, 2024</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8,328,051 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stock options at March 31, 2025</w:t>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8,301,207</w:t>
            </w:r>
            <w:r>
              <w:rPr>
                <w:color w:val="000000"/>
              </w:rPr>
              <w:t>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14.93</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were 6.9 million vested and exercisable stock options.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RSUs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Time-based RSUs generally vest ratably over a period of one to three years and are valued based on our market price on the date of grant. For RSUs with performance modifiers, management estimated the fair value using a Monte Carlo simulation valuation model. The following table summarizes our unvested RSU activity for the three months ended March 31, 2025:</w:t>
      </w:r>
    </w:p>
    <w:tbl>
      <w:tblPr>
        <w:tblW w:w="6773" w:type="dxa"/>
        <w:jc w:val="left"/>
        <w:tblInd w:w="0" w:type="dxa"/>
        <w:tblLayout w:type="fixed"/>
        <w:tblCellMar>
          <w:top w:w="28" w:type="dxa"/>
          <w:left w:w="28" w:type="dxa"/>
          <w:bottom w:w="28" w:type="dxa"/>
          <w:right w:w="28" w:type="dxa"/>
        </w:tblCellMar>
      </w:tblPr>
      <w:tblGrid>
        <w:gridCol w:w="977"/>
        <w:gridCol w:w="858"/>
        <w:gridCol w:w="864"/>
        <w:gridCol w:w="495"/>
        <w:gridCol w:w="496"/>
        <w:gridCol w:w="311"/>
        <w:gridCol w:w="109"/>
        <w:gridCol w:w="109"/>
        <w:gridCol w:w="109"/>
        <w:gridCol w:w="518"/>
        <w:gridCol w:w="1549"/>
        <w:gridCol w:w="378"/>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2024</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2,278,537 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1,310,715 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(681,412)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March 31, 2025</w:t>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2,897,519</w:t>
            </w:r>
            <w:r>
              <w:rPr>
                <w:color w:val="000000"/>
              </w:rPr>
              <w:t>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12.98</w:t>
            </w:r>
            <w:r>
              <w:rPr>
                <w:color w:val="000000"/>
              </w:rPr>
              <w:t> </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PSUs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 vest at the end of a three year service period and are valued based on our market price on the date of grant. PSUs awarded to our CEO with vesting conditions dependent upon the achievement of stock price increases were valued using a Monte Carlo simulation valuation model. The following table summarizes our unvested PSUs for the three months ended March 31, 2025:</w:t>
      </w:r>
    </w:p>
    <w:tbl>
      <w:tblPr>
        <w:tblW w:w="6623" w:type="dxa"/>
        <w:jc w:val="left"/>
        <w:tblInd w:w="0" w:type="dxa"/>
        <w:tblLayout w:type="fixed"/>
        <w:tblCellMar>
          <w:top w:w="28" w:type="dxa"/>
          <w:left w:w="28" w:type="dxa"/>
          <w:bottom w:w="28" w:type="dxa"/>
          <w:right w:w="28" w:type="dxa"/>
        </w:tblCellMar>
      </w:tblPr>
      <w:tblGrid>
        <w:gridCol w:w="977"/>
        <w:gridCol w:w="858"/>
        <w:gridCol w:w="864"/>
        <w:gridCol w:w="420"/>
        <w:gridCol w:w="421"/>
        <w:gridCol w:w="311"/>
        <w:gridCol w:w="109"/>
        <w:gridCol w:w="109"/>
        <w:gridCol w:w="109"/>
        <w:gridCol w:w="518"/>
        <w:gridCol w:w="1549"/>
        <w:gridCol w:w="378"/>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865,256 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March 31, 2025</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865,256</w:t>
            </w:r>
            <w:r>
              <w:rPr>
                <w:color w:val="000000"/>
              </w:rPr>
              <w:t>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10.86</w:t>
            </w:r>
            <w:r>
              <w:rPr>
                <w:color w:val="000000"/>
              </w:rPr>
              <w:t> </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13.Earnings (Loss) Per Share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periods in which the Company has net income, earnings per share is calculated using the two-class method. This method is required as unvested pre-IPO restricted stock awards have the right to receive non-forfeitable dividends or dividend equivalents if the Company were to declare dividends on its common stock. Pursuant to the two-class method, earnings for each period are allocated on a pro-rata basis to common stockholders and unvested pre-IPO restricted stock awards. Diluted earnings per share is computed using the more dilutive of the (a) two-class method, and (b) treasury stock method, as applicable, to the potentially dilutive instruments.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periods in which the Company has a net loss, the two-class method is not applicable because the unvested pre-IPO restricted stock awards do not participate in losses.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basic and diluted earnings (loss) per common share are calculated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9684" w:type="dxa"/>
        <w:jc w:val="left"/>
        <w:tblInd w:w="0" w:type="dxa"/>
        <w:tblLayout w:type="fixed"/>
        <w:tblCellMar>
          <w:top w:w="28" w:type="dxa"/>
          <w:left w:w="28" w:type="dxa"/>
          <w:bottom w:w="28" w:type="dxa"/>
          <w:right w:w="28" w:type="dxa"/>
        </w:tblCellMar>
      </w:tblPr>
      <w:tblGrid>
        <w:gridCol w:w="2628"/>
        <w:gridCol w:w="2311"/>
        <w:gridCol w:w="2321"/>
        <w:gridCol w:w="211"/>
        <w:gridCol w:w="796"/>
        <w:gridCol w:w="109"/>
        <w:gridCol w:w="109"/>
        <w:gridCol w:w="109"/>
        <w:gridCol w:w="109"/>
        <w:gridCol w:w="211"/>
        <w:gridCol w:w="616"/>
        <w:gridCol w:w="154"/>
      </w:tblGrid>
      <w:tr>
        <w:trPr/>
        <w:tc>
          <w:tcPr>
            <w:tcW w:w="2628"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7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 of U.S. dollars and share amounts (except per share amounts)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(Loss) Earnings: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(13,260)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Allocation to participating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Sotera Health Company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(13,260)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basic</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283,558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pPr>
            <w:r>
              <w:rPr>
                <w:rFonts w:ascii="Times New Roman;sans-serif" w:hAnsi="Times New Roman;sans-serif"/>
                <w:b w:val="false"/>
                <w:color w:val="000000"/>
                <w:sz w:val="20"/>
              </w:rPr>
              <w:t>Dilutive effect of potential common shares</w:t>
            </w:r>
            <w:r>
              <w:rPr>
                <w:rFonts w:ascii="Times New Roman;sans-serif" w:hAnsi="Times New Roman;sans-serif"/>
                <w:b w:val="false"/>
                <w:color w:val="000000"/>
                <w:sz w:val="13"/>
              </w:rPr>
              <w:t>(a)</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diluted</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283,558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(Loss) Earnings per Common Share:</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Sotera Health Company common shareholders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Sotera Health Company common shareholders - diluted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(a)As the Company reported a net loss for the three months ended March 31, 2025, the calculation of diluted weighted average common shares outstanding is not applicable because the effect of including the potential common shares would be anti-dilutive.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share does not consider the following potential common shares as the effect would be anti-dilutive:</w:t>
      </w:r>
    </w:p>
    <w:tbl>
      <w:tblPr>
        <w:tblW w:w="4782" w:type="dxa"/>
        <w:jc w:val="left"/>
        <w:tblInd w:w="0" w:type="dxa"/>
        <w:tblLayout w:type="fixed"/>
        <w:tblCellMar>
          <w:top w:w="28" w:type="dxa"/>
          <w:left w:w="28" w:type="dxa"/>
          <w:bottom w:w="28" w:type="dxa"/>
          <w:right w:w="28" w:type="dxa"/>
        </w:tblCellMar>
      </w:tblPr>
      <w:tblGrid>
        <w:gridCol w:w="907"/>
        <w:gridCol w:w="797"/>
        <w:gridCol w:w="800"/>
        <w:gridCol w:w="284"/>
        <w:gridCol w:w="284"/>
        <w:gridCol w:w="286"/>
        <w:gridCol w:w="175"/>
        <w:gridCol w:w="175"/>
        <w:gridCol w:w="175"/>
        <w:gridCol w:w="262"/>
        <w:gridCol w:w="262"/>
        <w:gridCol w:w="375"/>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 of share amounts</w:t>
            </w:r>
          </w:p>
        </w:tc>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w:t>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5,601</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234</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anti-dilutive securities</w:t>
            </w:r>
          </w:p>
        </w:tc>
        <w:tc>
          <w:tcPr>
            <w:tcW w:w="8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5,835</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14.Commitments and Contingencies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or are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 We assess these regulatory and legal actions to determine if a contingent liability should be recorded. In making these determinations, we may, depending on the nature of the matter, consult with internal and external legal counsel and technical experts.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establish reserves for specific liabilities in connection with regulatory and legal actions that we determine to be both probable and reasonably estimable. The outcomes of regulatory and legal actions can be difficult to predict and are often resolved over long periods of time, making our probability and estimability determinations highly judgmental. Probability determinations require the analysis of various possible outcomes, assessments of potential damages and the impact of multiple factors beyond our control, including potential actions by others, interpretations of the law, and changes and developments in relevant facts, circumstances, regulations and other laws. If a potentially material loss contingency is not probable, but is reasonably possible, or is probable but cannot be estimated, then the nature of the contingent liability is disclosed, together with an estimate of the range of possible loss if the range is determinable and material. In certain of the matters described below, we are not able to estimate potential liability because of the uncertainties related to the outcome(s) and/or the amount(s) or range(s) of loss. The ultimate resolution of pending regulatory and legal matters in future periods, including the matters described below,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regarding those lawsuits set forth below, including the number of claims, is as of March 31, 2025, except as otherwise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Ethylene Oxide Tort Litigation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U.S., LLC (“Sterigenics”) and other medical supply sterilization companies have been subjected to tort lawsuits alleging various injuries caused by low-level environmental exposure to EO used at or emitted from sterilization facilities. Those lawsuits, as detailed further below, are individual claims, as opposed to class actions.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California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2025, subsidiaries of the Company and other parties are defendants in seven lawsuits in Los Angeles County Superior Court in which the plaintiffs are asserting approximately 70 claims for personal injury or wrongful death allegedly resulting from emissions and releases of EO from Sterigenics’ Vernon facilities (the “Vernon Cases”). The Vernon Cases have been assigned to one judge and discovery is underway.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vigorously defending the Vernon Cases.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Georgia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Company and other parties are defendants in lawsuits in Georgia in which plaintiffs allege personal injuries, wrongful death and property devaluation resulting from use, emissions and releases of EO from or at Sterigenics’ Atlanta facility (the “Atlanta Cases”).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330 personal injury and wrongful death claims in the State Court of Cobb County (the “Georgia Trial Court”) have been consolidated for pretrial purposes (the “Consolidated Personal Injury Cases”). The Consolidated Personal Injury Cases are governed by a case management order pursuant to which general causation issues in a pool of eight cases are to be adjudicated in Phase 1 and specific causation issues in the pool cases are to be adjudicated in Phase 2; the remaining Consolidated Personal Injury Cases (including ten cases that include both personal injury and property claims) are stayed. On November 22, 2024, the Georgia Trial Court issued a Phase 1 ruling on general causation issues granting in part and denying in part defendants’ motions to exclude certain Phase 1 expert testimony and defendants’ motions for summary judgment on Phase 1 issues (the “Phase 1 Ruling”). Plaintiffs and defendants appealed the Phase 1 Ruling and these appeals are pending before the Georgia Court of Appeals. Phase 2 discovery in the pool cases is underway. In addition, one personal injury lawsuit has not been consolidated and the parties have jointly requested the Georgia Trial Court to stay the case along with the stayed cases in the Consolidated Personal Injury Cases.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lawsuit is pending in the Georgia Trial Court in which employees of a sterilization customer of Sterigenics allege they were injured while working at the customer’s distribution facility by exposure to residual EO allegedly emanating from products of the customer that had been sterilized by Sterigenics. Pursuant to the customer’s contract with Sterigenics, the customer is indemnifying Sterigenics against this lawsuit and discovery is underway.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345 property devaluation lawsuits pending in the Georgia Trial Court have been consolidated for pretrial purposes (the “Consolidated Property Cases”). A pool of nine of the Consolidated Property Cases are proceeding under case management orders and the remaining cases are stayed.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vigorously defending the Atlanta Cases.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Illinois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Company and other parties are defendants in lawsuits in the Circuit Court of Cook County, Illinois, in which plaintiffs allege personal injury or wrongful death resulting from purported emissions and releases of EO from Sterigenics’ former Willowbrook facility (the “Willowbrook Cases”). The Willowbrook Cases have been assigned to a single judge for coordinated discovery and pretrial proceedings.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3, 2025, Sterigenics U.S. entered into a binding term sheet (the “Term Sheet”) to resolve the seven cases previously set for trials in April and June 2025 and all of the other claims being pursued by the same plaintiffs’ counsel, including those of the individual plaintiffs in 61 Willowbrook Cases and 29 claimants who asserted claims but had yet to file new lawsuits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(collectively “the Eligible Claimants”). The settlement is subject to the satisfaction of several conditions, including participation by 100 percent of the Eligible Claimants, stays of the trials that were scheduled to begin in April and June and a determination by the Circuit Court of Cook County that the settlement was entered in good faith under the Illinois Contribution Among Joint Tortfeasors Act. Pursuant to the Term Sheet, Sterigenics will pay a total of $30.9 million, each Eligible Claimant participating in the settlement will execute a Confidential General Release, Settlement Agreement and Covenant Not To Sue and the case will be dismissed with prejudice. Sterigenics has the right to waive the 100 percent participation requirement by the Eligible Claimants who elect to participate in the settlement.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settlement is finalized with 100 percent participation of the 97 Eligible Claimants, approximately 30 Willowbrook Cases will remain pending in the Circuit Court of Cook County, five of which are set for trial in October 2025. All remaining Willowbrook cases have been stayed by court order since November 2024. Although the stay has been recently lifted on nine of these cases -including the five set for trial - discovery is only now commencing in those matters.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vigorously defending the Willowbrook Cases.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New Mexico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certain subsidiaries are defendants in a lawsuit in the Third Judicial District Court, Doña Ana County, New Mexico in which the New Mexico Attorney General (“NMAG”) alleges that emissions and releases of EO from Sterigenics’ facility in Santa Teresa have deteriorated the air quality in surrounding communities and materially contributed to increased health risks for residents of those communities. In April 2024, the Court of Appeals of the State of New Mexico denied the NMAG’s petition for leave to file an interlocutory appeal of an August 2023 order granting Sterigenics’ motion for summary judgment on strict liability, the Unfair Practices Act claim, and the claims for decreased property values, increased healthcare costs and medical monitoring costs. The case has been remanded to the District Court of Doña Ana County for further proceedings on the remaining claims. The case is set for trial in July 2026.</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vigorously defending the NMAG’s remaining claims.</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EO lawsuits have been threatened relating to Sterigenics’ former facility in Willowbrook and existing facilities in Atlanta, Georgia; Charlotte, North Carolina; Grand Prairie, Texas; and Vernon, California and may be filed in the future relating to these or Sterigenics’ other EO facilities; these threats of additional EO lawsuits are comparable to threats that have similarly been made against other companies within our industry. Based on our view of the strength of the science and related evidence that emissions of EO from Sterigenics’ operations have not caused and could not have caused the harms alleged in such lawsuits, we believe that losses in the remaining or future EO cases through trials and any appeals that may prove necessary are not probable. Although the Company is vigorously defending against the EO tort claims, future settlements of EO tort claims are reasonably possible. The previously disclosed settlements of certain cases related to our facilities in Willowbrook and Atlanta and the resolution of the tort lawsuit pending in the United States District Court for the District of New Mexico (as previously disclosed in Note 14, Commitments and Contingencies of our Quarterly Report on Form 10-Q for the quarterly period ended September 30, 2024) were driven by dynamics unique to the claims that were settled and thus should not give rise to presumptions that the Company will settle additional EO tort claims and/or that any such settlements will be for comparable amounts.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trial and settlement outcomes can vary widely based on a host of factors. EO tort lawsuits will be presided over by different judges, tried by different counsel presenting different evidence and decided by different juries. The substantive and procedural laws of jurisdictions vary and can meaningfully impact the litigation process and outcome of a case. Each plaintiff’s claim involves unique facts and evidence including the circumstances of the plaintiff’s alleged exposure, the type and severity of the plaintiff’s disease, the plaintiff’s medical history and course of treatment, the location of and other factors related to the plaintiff’s real property, and other circumstances. The outcomes of trials before juries are rarely certain and a judgment rendered or settlement reached in one case is not necessarily representative of potential outcomes of other seemingly comparable cases. As a result, it is not possible to estimate a reasonably possible loss or range of loss with respect to any future EO tort lawsuit, trial or settlement.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Insurance Coverage for Environmental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environmental liability insurance policy under which we have received coverage for the EO tort lawsuits in Georgia, Illinois and New Mexico described above had limits of $10.0 million per occurrence and $20.0 million in the aggregate. Those per occurrence and aggregate limits were fully utilized in the defense of the Georgia, Illinois and New Mexico litigation. Our insurance for future alleged environmental liabilities excludes coverage for EO claims.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pursuing additional insurance coverage for our legal expenses related to EO tort lawsuits. In 2021, Sterigenics filed an insurance coverage lawsuit in the U.S. District Court for the Northern District of Illinois (the “Illinois District Court”) relating to two commercial general liability policies issued in the 1980s (the “Northern District of Illinois Coverage Lawsuit”). The Illinois District Court issued an order declaring that the defendant insurer owes a duty to Sterigenics and another insured party to defend the Willowbrook Cases (the “Duty to Defend Order”) and entered judgment for Sterigenics in January 2024 in the amount of $110.2 million for certain defense costs incurred in the Willowbrook Cases as of August 2022 (the “Defense Costs Judgment”). The defendant insurer appealed the Duty to Defend Order and Defense Costs Judgment to the United States Court of Appeals for the Seventh Circuit. On April 11, 2025, the Seventh Circuit Court of Appeals issued a decision certifying a question of Illinois law to the Illinois Supreme Court.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is also a party in insurance coverage lawsuits pending in the Circuit Court of Cook County, the Delaware Superior Court and the Los Angeles County Superior Court relating to insurance coverage from various historical commercial general liability policies for certain EO litigation settlement amounts and defense costs that the insurer against which a judgment has been secured in the Northern District of Illinois Coverage Lawsuit may fail to fund. The Delaware Superior Court case is stayed pending resolution of the coverage lawsuit in the Circuit Court of Cook County and the Los Angeles County Superior Court case remains in preliminary stages. It is not possible to predict how much, if any, of the insurance proceeds sought will ultimately be recovered.</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Sotera Health Company Securities Litigation and Related Matters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January 2023, a stockholder class action was filed in the U.S. District Court for the Northern District of Ohio </w:t>
      </w:r>
      <w:r>
        <w:rPr>
          <w:rFonts w:ascii="Times New Roman;sans-serif" w:hAnsi="Times New Roman;sans-serif"/>
          <w:b w:val="false"/>
          <w:color w:val="000000"/>
          <w:sz w:val="20"/>
        </w:rPr>
        <w:t xml:space="preserve">(the “Ohio District Court”) </w:t>
      </w:r>
      <w:r>
        <w:rPr>
          <w:rFonts w:ascii="Times New Roman;sans-serif" w:hAnsi="Times New Roman;sans-serif"/>
          <w:b w:val="false"/>
          <w:color w:val="000000"/>
          <w:sz w:val="20"/>
          <w:shd w:fill="FFFFFF" w:val="clear"/>
        </w:rPr>
        <w:t xml:space="preserve">against the Company, certain past and present directors and senior executives, the Company’s private equity stockholders and the underwriters of the Company’s initial public offering (“IPO”) in November 2020 and the Company’s secondary public offering (“SPO”) in March 2021 (the “Michigan Funds Litigation”). In April 2023, the </w:t>
      </w:r>
      <w:r>
        <w:rPr>
          <w:rFonts w:ascii="Times New Roman;sans-serif" w:hAnsi="Times New Roman;sans-serif"/>
          <w:b w:val="false"/>
          <w:color w:val="000000"/>
          <w:sz w:val="20"/>
        </w:rPr>
        <w:t>Ohio District Court</w:t>
      </w:r>
      <w:r>
        <w:rPr>
          <w:color w:val="000000"/>
          <w:shd w:fill="FFFFFF" w:val="clear"/>
        </w:rPr>
        <w:t xml:space="preserve"> </w:t>
      </w:r>
      <w:r>
        <w:rPr>
          <w:rFonts w:ascii="Times New Roman;sans-serif" w:hAnsi="Times New Roman;sans-serif"/>
          <w:b w:val="false"/>
          <w:color w:val="000000"/>
          <w:sz w:val="20"/>
          <w:shd w:fill="FFFFFF" w:val="clear"/>
        </w:rPr>
        <w:t xml:space="preserve">appointed the Oakland County Employees’ Retirement System, Oakland County Voluntary Employees’ Beneficiary Association, and Wayne County Employees’ Retirement System (the “Michigan Funds”) to serve as lead plaintiff to prosecute claims on behalf of a proposed class of stockholders who acquired shares of the Company in connection with our IPO or SPO between November 20, 2020 and September 19, 2022 (the “Proposed Class”). The Michigan Funds allege that certain statements made regarding the safety of the Company’s use of EO and/or the EO tort lawsuits and other risks of its EO operations violated Sections 11, 12(a)(2) and 15 of the Securities Act of 1933 (when made in the registration statements for the IPO and SPO) and Sections 10(b), Section 20(a) and Rule 10b-5 of the Securities Exchange Act of 1934 (when made in subsequent securities filings and other contexts). On March 19, 2025, the Ohio District Court issued a Memorandum Opinion and Order granting the Company’s motion to dismiss the Amended Complaint and entered judgment dismissing the Michigan Funds Litigation with </w:t>
      </w:r>
      <w:r>
        <w:rPr>
          <w:rFonts w:ascii="Times New Roman;sans-serif" w:hAnsi="Times New Roman;sans-serif"/>
          <w:b w:val="false"/>
          <w:color w:val="000000"/>
          <w:sz w:val="20"/>
        </w:rPr>
        <w:t>prejudice</w:t>
      </w:r>
      <w:r>
        <w:rPr>
          <w:color w:val="000000"/>
          <w:shd w:fill="FFFFFF" w:val="clear"/>
        </w:rPr>
        <w:t xml:space="preserve"> </w:t>
      </w:r>
      <w:r>
        <w:rPr>
          <w:rFonts w:ascii="Times New Roman;sans-serif" w:hAnsi="Times New Roman;sans-serif"/>
          <w:b w:val="false"/>
          <w:color w:val="000000"/>
          <w:sz w:val="20"/>
          <w:shd w:fill="FFFFFF" w:val="clear"/>
        </w:rPr>
        <w:t>(the “Dismissal Order and Judgment”). The Michigan Funds have appealed the Dismissal Order and Judgment to the United States Court of Appeals for the Sixth Circuit.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May 2024, a stockholder derivative lawsuit was filed in the Court of Chancery of the State of Delaware (the “Delaware Chancery Court”) for the benefit of the Company as the nominal defendant (the “May 2024 Derivative Litigation”). The plaintiffs allege breaches of fiduciary duties, insider trading, unjust enrichment and other violations by certain past and present directors and senior executives of the Company and the Company’s private equity stockholders. On June 25, 2024, the Delaware Chancery Court stayed the May 2024 Derivative Litigation pending a ruling on the merits on the motion to dismiss the Amended Complaint in the Michigan Funds Litigation.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is vigorously defending the Michigan Funds Litigation and, if necessary, plans to vigorously defend the May 2024 Derivative Litigation</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also received demands pursuant to 8 Del. C. §220 for inspections of its books and records (“220 Demands”) from shareholders purporting to investigate potential wrongdoing by Company fiduciaries and other issues relating to the Company’s statements regarding the safety of its use of EO and/or the EO tort lawsuits and other risks of its EO operations. The Company has produced documents in response to the 220 Demands and may produce additional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15.Financial Instruments and Financial Risk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Derivative Instruments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use derivatives for trading or speculative purposes and are not a party to leveraged derivatives.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Designated in Hedge Relationships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2025, we entered into an interest rate swap agreement with a notional amount of $400.0 million. The interest rate swap is effective on August 31, 2025 and expires on August 31, 2027. We have designated the interest swap as a cash flow hedge designed to hedge the variability of cash flows attributable to changes in the SOFR benchmark interest rate of our Term Loan (or any successor thereto). We receive interest at the one-month Term SOFR rate and pay a fixed interest rate under the terms of the swap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we entered into an interest rate swap agreement with a notional amount of $400.0 million. The interest rate swap was effective on August 23, 2023 and expires on August 23, 2025. We have designated the interest swap as a cash flow hedge designed to hedge the variability of cash flows attributable to changes in the SOFR benchmark interest rate of our Term Loan (or any successor thereto). We receive interest at the one-month Term SOFR rate and pay a fixed interest rate under the terms of the swap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we entered into two interest rate cap agreements with a combined notional amount of $1,000.0 million for a total option premium of $4.1 million. The interest rate caps were effective on July 31, 2023 and expired on July 31, 2024. We designated these interest rate caps as cash flow hedges designed to hedge the variability of cash flows attributable to changes in the benchmark interest rate of our Term Loan (or any successor thereto). Under the current terms of the Credit Agreement, the benchmark interest rate index transitioned from LIBOR to Term SOFR on June 30, 2023. Accordingly, the interest rate cap agreements hedged the variability of cash flows attributable to changes in SOFR by limiting our cash flow exposure related to Term SOFR under a portion of our variable rate borrowings to 3.5%.</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in Hedge Relationships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 These foreign currency derivatives are not designated in hedge relationships.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Embedded Derivatives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embedded derivatives in certain of our customer and supply contracts as a result of the currency of the contract being different from the functional currency of the parties involved. Changes in the fair value of the embedded derivatives are recognized in “Other expense (income), net” in the Consolidated Statements of Operations and Comprehensive Income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summary of the notional and fair values of our derivative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1060"/>
        <w:gridCol w:w="825"/>
        <w:gridCol w:w="828"/>
        <w:gridCol w:w="211"/>
        <w:gridCol w:w="781"/>
        <w:gridCol w:w="109"/>
        <w:gridCol w:w="109"/>
        <w:gridCol w:w="109"/>
        <w:gridCol w:w="109"/>
        <w:gridCol w:w="211"/>
        <w:gridCol w:w="631"/>
        <w:gridCol w:w="109"/>
        <w:gridCol w:w="109"/>
        <w:gridCol w:w="109"/>
        <w:gridCol w:w="109"/>
        <w:gridCol w:w="211"/>
        <w:gridCol w:w="63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106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7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U.S. Dollars; notional in millions, fair value in thousands)</w:t>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Liabilities</w:t>
            </w:r>
          </w:p>
        </w:tc>
      </w:tr>
      <w:tr>
        <w:trPr/>
        <w:tc>
          <w:tcPr>
            <w:tcW w:w="2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4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1,265.6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7,147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(a)Represents the total notional amounts for certain of the Company’s supply and sales contracts accounted for as embedded derivatives.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Embedded derivative assets/liabilities and foreign currency forward contracts are included in “Prepaid expenses and other current assets” and “Accrued liabilities” on our Consolidated Balance Sheets depending upon their position at period end. Interest rate swaps and interest rate caps are included in “Other assets” and “Noncurrent liabilities” on the Consolidated Balance Sheets depending upon their position at period end.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activities of our derivative instruments for the periods presented, and the line item they are recorded in the Consolidated Statements of Operations and Comprehensive Income (Loss): </w:t>
      </w:r>
    </w:p>
    <w:tbl>
      <w:tblPr>
        <w:tblW w:w="10205" w:type="dxa"/>
        <w:jc w:val="left"/>
        <w:tblInd w:w="0" w:type="dxa"/>
        <w:tblLayout w:type="fixed"/>
        <w:tblCellMar>
          <w:top w:w="28" w:type="dxa"/>
          <w:left w:w="28" w:type="dxa"/>
          <w:bottom w:w="28" w:type="dxa"/>
          <w:right w:w="28" w:type="dxa"/>
        </w:tblCellMar>
      </w:tblPr>
      <w:tblGrid>
        <w:gridCol w:w="2968"/>
        <w:gridCol w:w="2607"/>
        <w:gridCol w:w="2613"/>
        <w:gridCol w:w="314"/>
        <w:gridCol w:w="317"/>
        <w:gridCol w:w="156"/>
        <w:gridCol w:w="109"/>
        <w:gridCol w:w="109"/>
        <w:gridCol w:w="109"/>
        <w:gridCol w:w="343"/>
        <w:gridCol w:w="345"/>
        <w:gridCol w:w="215"/>
      </w:tblGrid>
      <w:tr>
        <w:trPr/>
        <w:tc>
          <w:tcPr>
            <w:tcW w:w="2968"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 March 31,</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81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Realized gain on interest rate derivatives recorded in interest expense, net</w:t>
            </w:r>
            <w:r>
              <w:rPr>
                <w:rFonts w:ascii="Times New Roman;sans-serif" w:hAnsi="Times New Roman;sans-serif"/>
                <w:b w:val="false"/>
                <w:color w:val="000000"/>
                <w:sz w:val="13"/>
              </w:rPr>
              <w:t>(a)</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(339)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embedded derivatives recorded in other (income) expense, net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1,604</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foreign currency forward contracts recorded in foreign exchange loss (gain)</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foreign currency forward contracts recorded in foreign exchange loss (gain)</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440</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(a)For the three months ended March 31, 2025 and 2024, amounts represent quarterly settlement of interest rate derivatives.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reclassify approximately $0.5 million of pre-tax net gains on derivative instruments from accumulated other comprehensive income (loss) to income during the next 12 months associated with our cash flow hedges. Refer to Note 11, “Other Comprehensive Income (Loss),” for unrealized gains on interest rate derivatives, net of applicable tax, recorded in other comprehensive income (loss) and amounts reclassified from accumulated other comprehensive income to interest expense, net of applicable tax, during the three months ended March 31, 2025.</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Credit Risk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financial assets, including cash and cash equivalents, are exposed to credit risk.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exposed, in our normal course of business, to credit risk from our customers. As of March 31, 2025 and December 31, 2024, accounts receivable was net of an allowance for uncollectible accounts of $2.4 million and $2.5 million,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Hierarchy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discloses the fair value of our financial assets and liabilities: </w:t>
      </w:r>
    </w:p>
    <w:tbl>
      <w:tblPr>
        <w:tblW w:w="9058" w:type="dxa"/>
        <w:jc w:val="left"/>
        <w:tblInd w:w="0" w:type="dxa"/>
        <w:tblLayout w:type="fixed"/>
        <w:tblCellMar>
          <w:top w:w="28" w:type="dxa"/>
          <w:left w:w="28" w:type="dxa"/>
          <w:bottom w:w="28" w:type="dxa"/>
          <w:right w:w="28" w:type="dxa"/>
        </w:tblCellMar>
      </w:tblPr>
      <w:tblGrid>
        <w:gridCol w:w="1584"/>
        <w:gridCol w:w="1390"/>
        <w:gridCol w:w="1406"/>
        <w:gridCol w:w="300"/>
        <w:gridCol w:w="691"/>
        <w:gridCol w:w="109"/>
        <w:gridCol w:w="109"/>
        <w:gridCol w:w="109"/>
        <w:gridCol w:w="109"/>
        <w:gridCol w:w="211"/>
        <w:gridCol w:w="406"/>
        <w:gridCol w:w="109"/>
        <w:gridCol w:w="109"/>
        <w:gridCol w:w="109"/>
        <w:gridCol w:w="109"/>
        <w:gridCol w:w="300"/>
        <w:gridCol w:w="691"/>
        <w:gridCol w:w="109"/>
        <w:gridCol w:w="109"/>
        <w:gridCol w:w="109"/>
        <w:gridCol w:w="109"/>
        <w:gridCol w:w="211"/>
        <w:gridCol w:w="406"/>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March 31, 2025</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3 </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Derivatives designated as hedging instruments</w:t>
            </w:r>
            <w:r>
              <w:rPr>
                <w:rFonts w:ascii="Times New Roman;sans-serif" w:hAnsi="Times New Roman;sans-serif"/>
                <w:b w:val="false"/>
                <w:color w:val="000000"/>
                <w:sz w:val="13"/>
              </w:rPr>
              <w:t>(a)</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assets</w:t>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liabilities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Derivatives not designated as hedging instruments</w:t>
            </w:r>
            <w:r>
              <w:rPr>
                <w:rFonts w:ascii="Times New Roman;sans-serif" w:hAnsi="Times New Roman;sans-serif"/>
                <w:b w:val="false"/>
                <w:color w:val="000000"/>
                <w:sz w:val="13"/>
              </w:rPr>
              <w:t>(b)</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 liabilities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liabilities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Current portion of long-term debt</w:t>
            </w:r>
            <w:r>
              <w:rPr>
                <w:rFonts w:ascii="Times New Roman;sans-serif" w:hAnsi="Times New Roman;sans-serif"/>
                <w:b w:val="false"/>
                <w:color w:val="000000"/>
                <w:sz w:val="13"/>
              </w:rPr>
              <w:t>(c)</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2031</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14,811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15,065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Long-Term Debt</w:t>
            </w:r>
            <w:r>
              <w:rPr>
                <w:rFonts w:ascii="Times New Roman;sans-serif" w:hAnsi="Times New Roman;sans-serif"/>
                <w:b w:val="false"/>
                <w:color w:val="000000"/>
                <w:sz w:val="13"/>
              </w:rPr>
              <w:t>(c)</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Notes, due 2031</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746,437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753,750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2031</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1,458,918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1,483,885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Finance Lease Obligations (with current portion)</w:t>
            </w:r>
            <w:r>
              <w:rPr>
                <w:rFonts w:ascii="Times New Roman;sans-serif" w:hAnsi="Times New Roman;sans-serif"/>
                <w:b w:val="false"/>
                <w:color w:val="000000"/>
                <w:sz w:val="13"/>
              </w:rPr>
              <w:t>(d)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97,255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97,255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9076" w:type="dxa"/>
        <w:jc w:val="left"/>
        <w:tblInd w:w="0" w:type="dxa"/>
        <w:tblLayout w:type="fixed"/>
        <w:tblCellMar>
          <w:top w:w="28" w:type="dxa"/>
          <w:left w:w="28" w:type="dxa"/>
          <w:bottom w:w="28" w:type="dxa"/>
          <w:right w:w="28" w:type="dxa"/>
        </w:tblCellMar>
      </w:tblPr>
      <w:tblGrid>
        <w:gridCol w:w="1583"/>
        <w:gridCol w:w="1395"/>
        <w:gridCol w:w="1401"/>
        <w:gridCol w:w="486"/>
        <w:gridCol w:w="490"/>
        <w:gridCol w:w="261"/>
        <w:gridCol w:w="109"/>
        <w:gridCol w:w="109"/>
        <w:gridCol w:w="109"/>
        <w:gridCol w:w="224"/>
        <w:gridCol w:w="224"/>
        <w:gridCol w:w="226"/>
        <w:gridCol w:w="109"/>
        <w:gridCol w:w="109"/>
        <w:gridCol w:w="109"/>
        <w:gridCol w:w="220"/>
        <w:gridCol w:w="756"/>
        <w:gridCol w:w="109"/>
        <w:gridCol w:w="109"/>
        <w:gridCol w:w="109"/>
        <w:gridCol w:w="109"/>
        <w:gridCol w:w="211"/>
        <w:gridCol w:w="211"/>
        <w:gridCol w:w="298"/>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2024</w:t>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2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3 </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Derivatives designated as hedging instruments</w:t>
            </w:r>
            <w:r>
              <w:rPr>
                <w:rFonts w:ascii="Times New Roman;sans-serif" w:hAnsi="Times New Roman;sans-serif"/>
                <w:b w:val="false"/>
                <w:color w:val="000000"/>
                <w:sz w:val="13"/>
              </w:rPr>
              <w:t>(a)</w:t>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Derivatives not designated as hedging instruments</w:t>
            </w:r>
            <w:r>
              <w:rPr>
                <w:rFonts w:ascii="Times New Roman;sans-serif" w:hAnsi="Times New Roman;sans-serif"/>
                <w:b w:val="false"/>
                <w:color w:val="000000"/>
                <w:sz w:val="13"/>
              </w:rPr>
              <w:t>(b)</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liabilities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liabilities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Current portion of long-term debt</w:t>
            </w:r>
            <w:r>
              <w:rPr>
                <w:rFonts w:ascii="Times New Roman;sans-serif" w:hAnsi="Times New Roman;sans-serif"/>
                <w:b w:val="false"/>
                <w:color w:val="000000"/>
                <w:sz w:val="13"/>
              </w:rPr>
              <w:t>(c)</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2031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Long-Term Debt</w:t>
            </w:r>
            <w:r>
              <w:rPr>
                <w:rFonts w:ascii="Times New Roman;sans-serif" w:hAnsi="Times New Roman;sans-serif"/>
                <w:b w:val="false"/>
                <w:color w:val="000000"/>
                <w:sz w:val="13"/>
              </w:rPr>
              <w:t>(c)</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2031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746,293 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2031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1,461,807 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Finance Lease Obligations (with current portion)</w:t>
            </w:r>
            <w:r>
              <w:rPr>
                <w:rFonts w:ascii="Times New Roman;sans-serif" w:hAnsi="Times New Roman;sans-serif"/>
                <w:b w:val="false"/>
                <w:color w:val="000000"/>
                <w:sz w:val="13"/>
              </w:rPr>
              <w:t>(d)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98,209 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(a)Derivatives designated as hedging instruments are measured at fair value with changes in fair value recorded as a component of accumulated other comprehensive income (loss). Interest rate swaps are valued using pricing models that incorporate observable market inputs including interest rate and yield curves. </w:t>
      </w:r>
    </w:p>
    <w:p>
      <w:pPr>
        <w:pStyle w:val="TextBody"/>
        <w:bidi w:val="0"/>
        <w:spacing w:lineRule="auto" w:line="288" w:before="0" w:after="0"/>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(b)Derivatives that are not designated as hedging instruments are measured at fair value with gains or losses recognized immediately in the Consolidated Statements of Operations and Comprehensive Income (Loss). Embedded derivatives are valued using internally developed models that rely on observable market inputs, including foreign currency forward curves. Foreign currency forward contracts are valued by reference to changes in the foreign currency exchange rate over the life of the contract.</w:t>
      </w:r>
    </w:p>
    <w:p>
      <w:pPr>
        <w:pStyle w:val="TextBody"/>
        <w:bidi w:val="0"/>
        <w:spacing w:lineRule="auto" w:line="288" w:before="0" w:after="0"/>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(c)Carrying amounts of current portion of long-term debt and long-term debt instruments are reported net of discounts and debt issuance costs. The estimated fair values of these instruments are based upon quoted prices for each Term Loan and the Secured Notes in inactive markets as provided by an independent fixed income security pricing service.</w:t>
      </w:r>
    </w:p>
    <w:p>
      <w:pPr>
        <w:pStyle w:val="TextBody"/>
        <w:bidi w:val="0"/>
        <w:spacing w:lineRule="auto" w:line="288" w:before="0" w:after="0"/>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(d)Fair value approximates carrying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16.Segment Information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the Chairman and Chief Executive Officer of Sotera Health Company (“CODM”), evaluates performance and allocates resources based on net revenues and segment income after the elimination of intercompany activities. The CODM uses these performance measures to inform decisions about the operations of the business and dedication of resources to selling and general administrative matters pertinent to the Company. The accounting policies of our reportable segments are the same as those described in Note 1, “Significant Accounting Policies,” of the Company's annual consolidated financial statements and accompanying notes in our 2024 10-K.</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Sterigenics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provides outsourced terminal sterilization and irradiation services for the medical device, pharmaceutical, food safety and advanced applications markets using three major technologies: gamma irradiation, EO processing and E-beam irradiation.</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Nordion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Nelson Labs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Nelson Labs provides outsourced microbiological and analytical chemistry testing and advisory services for the medical device and pharmaceutical industries.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Segment Revenue Concentrations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five customers reported within the Nordion segment individually represented 10% or more of the segment’s total net revenues. These customers represented 28.7%, 20.0%, 16.2%, 10.5% and 10.1% of the total segment’s external net revenues for the three months ended March 31, 2025. For the three months ended March 31, 2024, four customers reported within the Nordion segment individually represented 10% or more of the segment's total net revenues. These customers represented 18.9%, 18.8%, 16.7% and 10.7% of the total segment’s external net revenues for the three months ended March 31, 2024.</w:t>
      </w:r>
    </w:p>
    <w:tbl>
      <w:tblPr>
        <w:tblW w:w="8183" w:type="dxa"/>
        <w:jc w:val="left"/>
        <w:tblInd w:w="0" w:type="dxa"/>
        <w:tblLayout w:type="fixed"/>
        <w:tblCellMar>
          <w:top w:w="28" w:type="dxa"/>
          <w:left w:w="28" w:type="dxa"/>
          <w:bottom w:w="28" w:type="dxa"/>
          <w:right w:w="28" w:type="dxa"/>
        </w:tblCellMar>
      </w:tblPr>
      <w:tblGrid>
        <w:gridCol w:w="962"/>
        <w:gridCol w:w="845"/>
        <w:gridCol w:w="848"/>
        <w:gridCol w:w="211"/>
        <w:gridCol w:w="826"/>
        <w:gridCol w:w="109"/>
        <w:gridCol w:w="109"/>
        <w:gridCol w:w="109"/>
        <w:gridCol w:w="109"/>
        <w:gridCol w:w="211"/>
        <w:gridCol w:w="736"/>
        <w:gridCol w:w="109"/>
        <w:gridCol w:w="109"/>
        <w:gridCol w:w="109"/>
        <w:gridCol w:w="109"/>
        <w:gridCol w:w="227"/>
        <w:gridCol w:w="795"/>
        <w:gridCol w:w="117"/>
        <w:gridCol w:w="109"/>
        <w:gridCol w:w="109"/>
        <w:gridCol w:w="109"/>
        <w:gridCol w:w="211"/>
        <w:gridCol w:w="84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revenues</w:t>
            </w:r>
            <w:r>
              <w:rPr>
                <w:rFonts w:ascii="Times New Roman;sans-serif" w:hAnsi="Times New Roman;sans-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Segment expenses</w:t>
            </w:r>
            <w:r>
              <w:rPr>
                <w:rFonts w:ascii="Times New Roman;sans-serif" w:hAnsi="Times New Roman;sans-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Corporate expense allocation</w:t>
            </w:r>
            <w:r>
              <w:rPr>
                <w:rFonts w:ascii="Times New Roman;sans-serif" w:hAnsi="Times New Roman;sans-serif"/>
                <w:b w:val="false"/>
                <w:color w:val="000000"/>
                <w:sz w:val="13"/>
              </w:rPr>
              <w:t>(c)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88,004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17,422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16,413</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121,839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83" w:type="dxa"/>
        <w:jc w:val="left"/>
        <w:tblInd w:w="0" w:type="dxa"/>
        <w:tblLayout w:type="fixed"/>
        <w:tblCellMar>
          <w:top w:w="28" w:type="dxa"/>
          <w:left w:w="28" w:type="dxa"/>
          <w:bottom w:w="28" w:type="dxa"/>
          <w:right w:w="28" w:type="dxa"/>
        </w:tblCellMar>
      </w:tblPr>
      <w:tblGrid>
        <w:gridCol w:w="962"/>
        <w:gridCol w:w="845"/>
        <w:gridCol w:w="848"/>
        <w:gridCol w:w="211"/>
        <w:gridCol w:w="826"/>
        <w:gridCol w:w="109"/>
        <w:gridCol w:w="109"/>
        <w:gridCol w:w="109"/>
        <w:gridCol w:w="109"/>
        <w:gridCol w:w="211"/>
        <w:gridCol w:w="736"/>
        <w:gridCol w:w="109"/>
        <w:gridCol w:w="109"/>
        <w:gridCol w:w="109"/>
        <w:gridCol w:w="109"/>
        <w:gridCol w:w="227"/>
        <w:gridCol w:w="795"/>
        <w:gridCol w:w="117"/>
        <w:gridCol w:w="109"/>
        <w:gridCol w:w="109"/>
        <w:gridCol w:w="109"/>
        <w:gridCol w:w="211"/>
        <w:gridCol w:w="84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revenues</w:t>
            </w:r>
            <w:r>
              <w:rPr>
                <w:rFonts w:ascii="Times New Roman;sans-serif" w:hAnsi="Times New Roman;sans-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Segment expenses</w:t>
            </w:r>
            <w:r>
              <w:rPr>
                <w:rFonts w:ascii="Times New Roman;sans-serif" w:hAnsi="Times New Roman;sans-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Corporate expense allocation</w:t>
            </w:r>
            <w:r>
              <w:rPr>
                <w:rFonts w:ascii="Times New Roman;sans-serif" w:hAnsi="Times New Roman;sans-serif"/>
                <w:b w:val="false"/>
                <w:color w:val="000000"/>
                <w:sz w:val="13"/>
              </w:rPr>
              <w:t>(c)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85,818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10,785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15,341</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111,944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(a)Revenues are reported net of intersegment sales. Our Nordion segment recognized $9.8 million and $10.0 million in revenues from sales to our Sterigenics segment for the three months ended March 31, 2025 and 2024, respectively, that is not reflected in net revenues in the table above. Intersegment sales for Sterigenics and Nelson Labs are immaterial for both periods presented.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(b)Segment expenses are comprised of direct materials, labor, utilities, other costs of revenues, selling, general and administrative (“SG&amp;A”) expenses and other expenses (income) attributable to each segment.</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(c)Corporate expenses that are directly incurred by a segment are reflected in each segment’s income. The remaining Corporate expenses for executive management, accounting, information technology, legal, human resources, treasury, investor relations, corporate development, tax, purchasing, and marketing not directly incurred by a segment are allocated to the segments primarily based on total net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by segment for the three months ended March 31, 2025 and 2024 were as follows:</w:t>
      </w:r>
    </w:p>
    <w:tbl>
      <w:tblPr>
        <w:tblW w:w="5173" w:type="dxa"/>
        <w:jc w:val="left"/>
        <w:tblInd w:w="0" w:type="dxa"/>
        <w:tblLayout w:type="fixed"/>
        <w:tblCellMar>
          <w:top w:w="28" w:type="dxa"/>
          <w:left w:w="28" w:type="dxa"/>
          <w:bottom w:w="28" w:type="dxa"/>
          <w:right w:w="28" w:type="dxa"/>
        </w:tblCellMar>
      </w:tblPr>
      <w:tblGrid>
        <w:gridCol w:w="848"/>
        <w:gridCol w:w="745"/>
        <w:gridCol w:w="747"/>
        <w:gridCol w:w="242"/>
        <w:gridCol w:w="845"/>
        <w:gridCol w:w="125"/>
        <w:gridCol w:w="125"/>
        <w:gridCol w:w="125"/>
        <w:gridCol w:w="125"/>
        <w:gridCol w:w="242"/>
        <w:gridCol w:w="828"/>
        <w:gridCol w:w="176"/>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28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16,395</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2,390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1,133</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 expenditures</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19,918</w:t>
            </w:r>
            <w:r>
              <w:rPr>
                <w:color w:val="000000"/>
              </w:rPr>
              <w:t>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34,890 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33" w:before="0" w:after="0"/>
        <w:jc w:val="left"/>
        <w:rPr/>
      </w:pPr>
      <w:hyperlink w:anchor="i4fec8e612166421e9da88c9f326b5e1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and depreciation and amortization expense by segment are not readily available and are not reported separately to the CODM.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segment income to consolidated income before taxes is as follows: </w:t>
      </w:r>
    </w:p>
    <w:tbl>
      <w:tblPr>
        <w:tblW w:w="9758" w:type="dxa"/>
        <w:jc w:val="left"/>
        <w:tblInd w:w="0" w:type="dxa"/>
        <w:tblLayout w:type="fixed"/>
        <w:tblCellMar>
          <w:top w:w="28" w:type="dxa"/>
          <w:left w:w="28" w:type="dxa"/>
          <w:bottom w:w="28" w:type="dxa"/>
          <w:right w:w="28" w:type="dxa"/>
        </w:tblCellMar>
      </w:tblPr>
      <w:tblGrid>
        <w:gridCol w:w="2566"/>
        <w:gridCol w:w="2254"/>
        <w:gridCol w:w="2259"/>
        <w:gridCol w:w="211"/>
        <w:gridCol w:w="841"/>
        <w:gridCol w:w="109"/>
        <w:gridCol w:w="109"/>
        <w:gridCol w:w="109"/>
        <w:gridCol w:w="109"/>
        <w:gridCol w:w="211"/>
        <w:gridCol w:w="826"/>
        <w:gridCol w:w="154"/>
      </w:tblGrid>
      <w:tr>
        <w:trPr/>
        <w:tc>
          <w:tcPr>
            <w:tcW w:w="2566"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121,839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Less adjustments: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40,876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Depreciation and amortization</w:t>
            </w:r>
            <w:r>
              <w:rPr>
                <w:rFonts w:ascii="Times New Roman;sans-serif" w:hAnsi="Times New Roman;sans-serif"/>
                <w:b w:val="false"/>
                <w:color w:val="000000"/>
                <w:sz w:val="13"/>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40,734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Share-based compensation</w:t>
            </w:r>
            <w:r>
              <w:rPr>
                <w:rFonts w:ascii="Times New Roman;sans-serif" w:hAnsi="Times New Roman;sans-serif"/>
                <w:b w:val="false"/>
                <w:color w:val="000000"/>
                <w:sz w:val="13"/>
              </w:rPr>
              <w:t>(b)</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7,269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Loss on foreign currency and derivatives not designated as hedging instruments, net</w:t>
            </w:r>
            <w:r>
              <w:rPr>
                <w:rFonts w:ascii="Times New Roman;sans-serif" w:hAnsi="Times New Roman;sans-serif"/>
                <w:b w:val="false"/>
                <w:color w:val="000000"/>
                <w:sz w:val="13"/>
              </w:rPr>
              <w:t>(c)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Business optimization expenses</w:t>
            </w:r>
            <w:r>
              <w:rPr>
                <w:rFonts w:ascii="Times New Roman;sans-serif" w:hAnsi="Times New Roman;sans-serif"/>
                <w:b w:val="false"/>
                <w:color w:val="000000"/>
                <w:sz w:val="13"/>
              </w:rPr>
              <w:t>(d)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33" w:before="0" w:after="0"/>
              <w:ind w:left="0" w:right="0" w:hanging="270"/>
              <w:jc w:val="left"/>
              <w:rPr/>
            </w:pPr>
            <w:r>
              <w:rPr>
                <w:rFonts w:ascii="Times New Roman;sans-serif" w:hAnsi="Times New Roman;sans-serif"/>
                <w:b w:val="false"/>
                <w:color w:val="000000"/>
                <w:sz w:val="20"/>
              </w:rPr>
              <w:t>Refinancing and secondary offering costs</w:t>
            </w:r>
            <w:r>
              <w:rPr>
                <w:rFonts w:ascii="Times New Roman;sans-serif" w:hAnsi="Times New Roman;sans-serif"/>
                <w:b w:val="false"/>
                <w:color w:val="000000"/>
                <w:sz w:val="13"/>
              </w:rPr>
              <w:t>(e)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Professional services relating to EO sterilization facilities</w:t>
            </w:r>
            <w:r>
              <w:rPr>
                <w:rFonts w:ascii="Times New Roman;sans-serif" w:hAnsi="Times New Roman;sans-serif"/>
                <w:b w:val="false"/>
                <w:color w:val="000000"/>
                <w:sz w:val="13"/>
              </w:rPr>
              <w:t>(f)</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12,328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333" w:before="0" w:after="0"/>
              <w:ind w:left="0" w:right="0" w:hanging="270"/>
              <w:jc w:val="left"/>
              <w:rPr/>
            </w:pPr>
            <w:r>
              <w:rPr>
                <w:rFonts w:ascii="Times New Roman;sans-serif" w:hAnsi="Times New Roman;sans-serif"/>
                <w:b w:val="false"/>
                <w:color w:val="000000"/>
                <w:sz w:val="20"/>
              </w:rPr>
              <w:t>Illinois EO litigation settlement</w:t>
            </w:r>
            <w:r>
              <w:rPr>
                <w:rFonts w:ascii="Times New Roman;sans-serif" w:hAnsi="Times New Roman;sans-serif"/>
                <w:b w:val="false"/>
                <w:color w:val="000000"/>
                <w:sz w:val="13"/>
              </w:rPr>
              <w:t>(g)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30,943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Accretion of asset retirement obligation</w:t>
            </w:r>
            <w:r>
              <w:rPr>
                <w:rFonts w:ascii="Times New Roman;sans-serif" w:hAnsi="Times New Roman;sans-serif"/>
                <w:b w:val="false"/>
                <w:color w:val="000000"/>
                <w:sz w:val="13"/>
              </w:rPr>
              <w:t>(h)</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income before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(14,823)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(a)Includes depreciation of Co-60 held at gamma irradiation sites. The three months ended March 31, 2025 excludes accelerated depreciation associated with business optimization activities. </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(b)Represents share-based compensation expense to employees and Non-Employee Directors.</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(c)Represents the effects of (i) fluctuations in foreign currency exchange rates and (ii) non-cash mark-to-fair value of embedded derivatives relating to certain customer and supply contracts at Nordion. </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(d)Represents certain costs related to divestitures, acquisitions and the integration of recent acquisitions, as well as professional fees and other costs associated with business optimization, cost saving and other process enhancement projects.</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(e)The three months ended March 31, 2024 includes $1.1 million of expenses incurred in connection with the secondary offering of our common stock that closed on March 4, 2024 and write-off of unamortized debt issuance costs in connection with Amendment No. 3 to the Revolving Credit Facility.</w:t>
      </w:r>
    </w:p>
    <w:p>
      <w:pPr>
        <w:pStyle w:val="TextBody"/>
        <w:bidi w:val="0"/>
        <w:spacing w:lineRule="auto" w:line="288" w:before="40" w:after="283"/>
        <w:ind w:left="0" w:right="0" w:hanging="540"/>
        <w:jc w:val="left"/>
        <w:rPr/>
      </w:pPr>
      <w:r>
        <w:rPr>
          <w:rFonts w:ascii="Times New Roman;sans-serif" w:hAnsi="Times New Roman;sans-serif"/>
          <w:b w:val="false"/>
          <w:color w:val="231F20"/>
          <w:sz w:val="20"/>
          <w:shd w:fill="FFFFFF" w:val="clear"/>
        </w:rPr>
        <w:t>(f)</w:t>
      </w:r>
      <w:r>
        <w:rPr>
          <w:rFonts w:ascii="Times New Roman;sans-serif" w:hAnsi="Times New Roman;sans-serif"/>
          <w:b w:val="false"/>
          <w:color w:val="000000"/>
          <w:sz w:val="20"/>
          <w:shd w:fill="FFFFFF" w:val="clear"/>
        </w:rPr>
        <w:t xml:space="preserve">Represents litigation and other professional fees associated with our EO sterilization facilities. </w:t>
      </w:r>
    </w:p>
    <w:p>
      <w:pPr>
        <w:pStyle w:val="TextBody"/>
        <w:bidi w:val="0"/>
        <w:spacing w:lineRule="auto" w:line="288" w:before="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(g)Represents the cost to settle 97 pending and threatened EO claims against Sterigenics in Illinois pursuant to the Term Sheet entered into on April 3, 2025. See Note 14, “Commitments and Contingencies.”</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(h)Represents non-cash accretion of ARO related to Co-60 gamma and EO processing facilities, which are based on estimated site remediation costs for any future decommissioning of these facilities and are accreted over the life of the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2024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jc w:val="left"/>
        <w:rPr/>
      </w:pPr>
      <w:r>
        <w:rPr>
          <w:rFonts w:ascii="Times New Roman;sans-serif" w:hAnsi="Times New Roman;sans-serif"/>
          <w:b w:val="false"/>
          <w:color w:val="000000"/>
          <w:sz w:val="20"/>
        </w:rPr>
        <w:t>We are a leading global provider of mission-critical end-to-end sterilization solutions, lab testing and advisory services for the healthcare industry. We are driven by our mission: Safeguarding Global Health</w:t>
      </w:r>
      <w:r>
        <w:rPr>
          <w:rFonts w:ascii="Times New Roman;sans-serif" w:hAnsi="Times New Roman;sans-serif"/>
          <w:b w:val="false"/>
          <w:color w:val="000000"/>
          <w:sz w:val="10"/>
        </w:rPr>
        <w:t>®</w:t>
      </w:r>
      <w:r>
        <w:rPr>
          <w:rFonts w:ascii="Times New Roman;sans-serif" w:hAnsi="Times New Roman;sans-serif"/>
          <w:b w:val="false"/>
          <w:color w:val="000000"/>
          <w:sz w:val="20"/>
        </w:rPr>
        <w:t xml:space="preserve">.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processes and supply chains, helping to ensure sterilized medical products reach healthcare practitioners and patients. Most of these services are necessary for our customers to satisfy applicable government requirements.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is comprised of two reportable segments, Sterigenics and Nordion, and our lab services business constitutes a third reportable segment, Nelson Labs.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we recorded net revenues of $254.5 million, net loss of $13.3 million, Adjusted Net Income of $39.0 million and Adjusted EBITDA of $121.8 million. Adjusted Net Income and Adjusted EBITDA are financial measures not based on any standardized methodology prescribed by U.S. Generally Accepted Accounting Principles (“GAAP”). For the definition of Adjusted Net Income and Adjusted EBITDA and the reconciliation of these non-GAAP measures from net income (loss), please see “Non-GAAP Financial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CONSOLIDATED RESULTS OF OPERATIONS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2025, as compared to Three Months Ended March 31,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components of our results of operations for the three months ended March 31, 2025 and 2024: </w:t>
      </w:r>
    </w:p>
    <w:tbl>
      <w:tblPr>
        <w:tblW w:w="7417"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826"/>
        <w:gridCol w:w="109"/>
        <w:gridCol w:w="109"/>
        <w:gridCol w:w="109"/>
        <w:gridCol w:w="109"/>
        <w:gridCol w:w="211"/>
        <w:gridCol w:w="616"/>
        <w:gridCol w:w="109"/>
        <w:gridCol w:w="109"/>
        <w:gridCol w:w="109"/>
        <w:gridCol w:w="109"/>
        <w:gridCol w:w="343"/>
        <w:gridCol w:w="347"/>
        <w:gridCol w:w="508"/>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254,523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 of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119,091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(13,260)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color w:val="000000"/>
                <w:sz w:val="20"/>
              </w:rPr>
              <w:t>Adjusted Net Income</w:t>
            </w:r>
            <w:r>
              <w:rPr>
                <w:rFonts w:ascii="Times New Roman;sans-serif" w:hAnsi="Times New Roman;sans-serif"/>
                <w:b/>
                <w:color w:val="000000"/>
                <w:sz w:val="10"/>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39,044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color w:val="000000"/>
                <w:sz w:val="20"/>
              </w:rPr>
              <w:t>Adjusted EBITDA</w:t>
            </w:r>
            <w:r>
              <w:rPr>
                <w:rFonts w:ascii="Times New Roman;sans-serif" w:hAnsi="Times New Roman;sans-serif"/>
                <w:b/>
                <w:color w:val="000000"/>
                <w:sz w:val="10"/>
              </w:rPr>
              <w:t>(a)</w:t>
            </w:r>
          </w:p>
        </w:tc>
        <w:tc>
          <w:tcPr>
            <w:tcW w:w="105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121,839</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111,944 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5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540"/>
        <w:jc w:val="left"/>
        <w:rPr/>
      </w:pPr>
      <w:r>
        <w:rPr>
          <w:rFonts w:ascii="Times New Roman;sans-serif" w:hAnsi="Times New Roman;sans-serif"/>
          <w:b w:val="false"/>
          <w:color w:val="000000"/>
          <w:sz w:val="13"/>
        </w:rPr>
        <w:t>(a)</w:t>
      </w:r>
      <w:r>
        <w:rPr>
          <w:rFonts w:ascii="Times New Roman;sans-serif" w:hAnsi="Times New Roman;sans-serif"/>
          <w:b w:val="false"/>
          <w:color w:val="000000"/>
          <w:sz w:val="20"/>
        </w:rPr>
        <w:t>Adjusted Net Income and Adjusted EBITDA are non-GAAP financial measures. For more information regarding our calculation of Adjusted Net Income and Adjusted EBITDA, including information about their limitations as tools for analysis and a reconciliation of net (loss) income, the most directly comparable financial measure calculated and presented in accordance with GAAP, to Adjusted Net Income and Adjusted EBITDA, please see the reconciliation included below in “Non-GAAP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Total Net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compares our revenues by type for the three months ended March 31, 2025 to the three months ended March 31, 2024: </w:t>
      </w:r>
    </w:p>
    <w:tbl>
      <w:tblPr>
        <w:tblW w:w="9158" w:type="dxa"/>
        <w:jc w:val="left"/>
        <w:tblInd w:w="0" w:type="dxa"/>
        <w:tblLayout w:type="fixed"/>
        <w:tblCellMar>
          <w:top w:w="28" w:type="dxa"/>
          <w:left w:w="28" w:type="dxa"/>
          <w:bottom w:w="28" w:type="dxa"/>
          <w:right w:w="28" w:type="dxa"/>
        </w:tblCellMar>
      </w:tblPr>
      <w:tblGrid>
        <w:gridCol w:w="1392"/>
        <w:gridCol w:w="1222"/>
        <w:gridCol w:w="1226"/>
        <w:gridCol w:w="211"/>
        <w:gridCol w:w="841"/>
        <w:gridCol w:w="109"/>
        <w:gridCol w:w="109"/>
        <w:gridCol w:w="109"/>
        <w:gridCol w:w="109"/>
        <w:gridCol w:w="211"/>
        <w:gridCol w:w="826"/>
        <w:gridCol w:w="109"/>
        <w:gridCol w:w="109"/>
        <w:gridCol w:w="109"/>
        <w:gridCol w:w="109"/>
        <w:gridCol w:w="211"/>
        <w:gridCol w:w="691"/>
        <w:gridCol w:w="109"/>
        <w:gridCol w:w="109"/>
        <w:gridCol w:w="109"/>
        <w:gridCol w:w="109"/>
        <w:gridCol w:w="254"/>
        <w:gridCol w:w="257"/>
        <w:gridCol w:w="508"/>
      </w:tblGrid>
      <w:tr>
        <w:trPr/>
        <w:tc>
          <w:tcPr>
            <w:tcW w:w="139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Net revenues for the three months ended March 31,</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223,940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30,583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254,523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revenues were $254.5 million in the three months ended March 31, 2025, an increase of $6.3 million, or 2.6%, as compared with the three months ended March 31, 2024. Excluding the impact of foreign currency exchange rates, net revenues in the three months ended March 31, 2025 increased approximately 4.4% compared with the three months ended March 31, 2024.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 decreased $2.5 million, or 1.1%, to $223.9 million for the three months ended March 31, 2025, as compared to $226.5 million for the three months ended March 31, 2024. Favorable pricing, combined with growth in core lab testing services was offset by a decline in expert advisory service revenue and unfavorable changes in foreign currency exchange rates across all segments.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Product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 increased $8.9 million, or 41.0%, to $30.6 million for the three months ended March 31, 2025, as compared to $21.7 million for the three months ended March 31, 2024. Favorable volume and mix at Nordion, which was primarily attributable to Co-60 harvest schedule timing, was the main driver of the increase in product revenues in the three months ended March 31, 2025 compared to the same period in the prior year, partially offset by changes in foreign currency exchange rates.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Total Cost of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compares our cost of revenues by type for the three months ended March 31, 2025 to the three months ended March 31, 2024: </w:t>
      </w:r>
    </w:p>
    <w:tbl>
      <w:tblPr>
        <w:tblW w:w="9427" w:type="dxa"/>
        <w:jc w:val="left"/>
        <w:tblInd w:w="0" w:type="dxa"/>
        <w:tblLayout w:type="fixed"/>
        <w:tblCellMar>
          <w:top w:w="28" w:type="dxa"/>
          <w:left w:w="28" w:type="dxa"/>
          <w:bottom w:w="28" w:type="dxa"/>
          <w:right w:w="28" w:type="dxa"/>
        </w:tblCellMar>
      </w:tblPr>
      <w:tblGrid>
        <w:gridCol w:w="1489"/>
        <w:gridCol w:w="1308"/>
        <w:gridCol w:w="1312"/>
        <w:gridCol w:w="211"/>
        <w:gridCol w:w="841"/>
        <w:gridCol w:w="109"/>
        <w:gridCol w:w="109"/>
        <w:gridCol w:w="109"/>
        <w:gridCol w:w="109"/>
        <w:gridCol w:w="211"/>
        <w:gridCol w:w="826"/>
        <w:gridCol w:w="109"/>
        <w:gridCol w:w="109"/>
        <w:gridCol w:w="109"/>
        <w:gridCol w:w="109"/>
        <w:gridCol w:w="211"/>
        <w:gridCol w:w="691"/>
        <w:gridCol w:w="109"/>
        <w:gridCol w:w="109"/>
        <w:gridCol w:w="109"/>
        <w:gridCol w:w="109"/>
        <w:gridCol w:w="254"/>
        <w:gridCol w:w="257"/>
        <w:gridCol w:w="508"/>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Cost of revenues for the three months ended March 31,</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107,629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11,462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119,091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revenues accounted for approximately 46.8% and 48.8% of our consolidated net revenues for the three months ended March 31, 2025 and 2024, respectively.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service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 revenues decreased $3.2 million, or 2.9%, for the three months ended March 31, 2025, as compared to the three months ended March 31, 2024. Lower employee compensation costs, due mainly to lab optimization activities in the Nelson Labs segment, was the main driver of the decrease. Changes in foreign currency exchange rates had a $1.9 million favorable impact to cost of service revenues in the three months ended March 31, 2025 compared to the same period in the prior year.</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product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 revenues increased $1.3 million, or 12.3%, for the three months ended March 31, 2025, as compared to the three months ended March 31, 2024. The increase was primarily a result of higher volumes of Co-60 shipments, which resulted in increases in direct material and material transportation costs of $2.2 million. This was partially offset by a $1.0 million decrease in amortization of intangible assets that were fully amortized as of December 31, 2024. Changes in foreign currency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rates had a $0.5 million favorable impact to cost of product revenues in the three months ended March 31, 2025 compared to the same period in the prior year.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SG&amp;A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 increased $4.9 million, or 8.3%, for the three months ended March 31, 2025, as compared to the three months ended March 31, 2024. A $6.3 million increase in litigation and other professional services expense associated with EO sterilization facilities was the main driver of the increase in SG&amp;A expenses, partially offset by a $1.4 million decline in share-based compensation expense.</w:t>
      </w:r>
    </w:p>
    <w:p>
      <w:pPr>
        <w:pStyle w:val="TextBody"/>
        <w:bidi w:val="0"/>
        <w:spacing w:lineRule="auto" w:line="288" w:before="240" w:after="283"/>
        <w:jc w:val="left"/>
        <w:rPr/>
      </w:pPr>
      <w:r>
        <w:rPr>
          <w:color w:val="000000"/>
        </w:rPr>
        <w:t xml:space="preserve">  </w:t>
      </w:r>
      <w:r>
        <w:rPr>
          <w:rFonts w:ascii="Times New Roman;sans-serif" w:hAnsi="Times New Roman;sans-serif"/>
          <w:b/>
          <w:i/>
          <w:color w:val="000000"/>
          <w:sz w:val="20"/>
        </w:rPr>
        <w:t>Amortization of 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decreased $0.4 million, or 2.6% for the three months ended March 31, 2025, as compared to the three months ended March 31, 2024 due mainly to changes in foreign currency exchange rates.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Illinois EO litigation settlement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3, 2025, the Company agreed to resolve 97 pending and threatened EO claims in the State of Illinois. Pursuant to the terms of the Term Sheet, which is subject to the satisfaction of several conditions, the Company agreed to pay $30.9 million to settle the claims.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Expense,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decreased $0.9 million, or 2.1%, for the three months ended March 31, 2025, as compared to the three months ended March 31, 2024, primarily due to a decline in the variable interest rate on our Term Loan. The weighted average interest rate on our outstanding debt was 7.49% and 8.39% at March 31, 2025 and 2024,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Exchange Loss (Gain)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 was $0.3 million for the three months ended March 31, 2025 compared to a gain of $0.6 million for the three months ended March 31, 2024. The change in foreign exchange loss (gain) mainly relates to short-term gains and losses on transactions denominated in currencies other than the functional currency of our operating entities. As described in Note 15, “Financial Instruments and Financial Risk,” we enter into monthly U.S. dollar-denominated foreign currency forward contracts to manage foreign currency exchange rate risk related to our international subsidiaries.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$1.2 million for the three months ended March 31, 2025 as compared to the three months ended March 31, 2024. The variance was primarily a result of $0.7 million of refinancing costs recognized in the three months ended March 31, 2024 (associated with Amendment No. 3 to the Revolving Credit Facility) that was not incurred in the three months ended March 31, 2025.</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(Benefit) Provision for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a $1.6 million benefit for income taxes in the three months ended March 31, 2025, as compared to a $4.7 million income tax provision for the three months ended March 31, 2024. The change was primarily attributable to a pre-tax loss in the three months ended March 31, 2025 compared to pre-tax income in the three months ended March 31, 2024, partially offset by an increase in current year permanent tax differences.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for income taxes for the three months ended March 31, 2025 differed from the statutory rate primarily due to current year permanent differences, partially offset by the valuation allowance attributable to the limitation on the deductibility of interest expense and the impact of the foreign rate differential. Provision for income taxes for the three months ended March 31, 2024 differed from the statutory rate primarily due to an increase in the valuation allowance against our excess interest expense carryforward balance and the impact of the foreign rate differential, partially offset by a benefit for state income taxes.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Loss/Income, Adjusted Net Income and Adjusted EBITDA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for the three months ended March 31, 2025 was $13.3 million, as compared to net income of $6.3 million for the three months ended March 31, 2024. Adjusted Net Income was $39.0 million for the three months ended March 31, 2025, as compared to $35.6 million for the three months ended March 31, 2024, due to the factors described above. Adjusted EBITDA was $121.8 million for the three months ended March 31, 2025, as compared to $111.9 million for the three months ended March 31, 2024, due to the factors described above. Please see “Non-GAAP Financial Measures” below for a reconciliation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Net Income and Adjusted EBITDA to their most directly comparable financial measure calculated and presented in accordance with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 supplement our consolidated financial statements presented in accordance with GAAP, we consider Adjusted Net Income and Adjusted EBITDA, financial measures that are not based on any standardized methodology prescribed by GAAP.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its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 </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certain recurring non-cash charges such as depreciation of fixed assets, although these assets may have to be replaced in the future, as well as amortization of acquired intangible assets and asset retirement obligations (“ARO”);</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costs of acquiring and integrating businesses, which will continue to be a part of our growth strategy;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impairment charges on long-lived assets, intangible assets and investments accounted for under the equity method;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loss on refinancing of debt incurred in connection with refinancing or early extinguishment of long-term debt;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expenses incurred in connection with the secondary offering of our common stock and other shareholder activities;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expenses and charges related to the litigation, settlement agreements, and other activities associated with our EO sterilization facilities, including those related to Willowbrook, Illinois, Atlanta, Georgia, Santa Teresa, New Mexico and Vernon, California;</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 the case of Adjusted EBITDA, interest expense or the cash requirements necessary to service interest or principal payments on our indebtedness;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share-based compensation expense, which has been, and will continue to be for the foreseeable future, a significant recurring expense and an important part of our compensation strategy.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a reconciliation of net income, the most directly comparable financial measure calculated and presented in accordance with GAAP to Adjusted Net Income and Adjusted EBITDA, for each of the periods indicated:</w:t>
      </w:r>
    </w:p>
    <w:tbl>
      <w:tblPr>
        <w:tblW w:w="9773" w:type="dxa"/>
        <w:jc w:val="left"/>
        <w:tblInd w:w="0" w:type="dxa"/>
        <w:tblLayout w:type="fixed"/>
        <w:tblCellMar>
          <w:top w:w="28" w:type="dxa"/>
          <w:left w:w="28" w:type="dxa"/>
          <w:bottom w:w="28" w:type="dxa"/>
          <w:right w:w="28" w:type="dxa"/>
        </w:tblCellMar>
      </w:tblPr>
      <w:tblGrid>
        <w:gridCol w:w="2571"/>
        <w:gridCol w:w="2259"/>
        <w:gridCol w:w="2264"/>
        <w:gridCol w:w="211"/>
        <w:gridCol w:w="841"/>
        <w:gridCol w:w="109"/>
        <w:gridCol w:w="109"/>
        <w:gridCol w:w="109"/>
        <w:gridCol w:w="109"/>
        <w:gridCol w:w="211"/>
        <w:gridCol w:w="826"/>
        <w:gridCol w:w="154"/>
      </w:tblGrid>
      <w:tr>
        <w:trPr/>
        <w:tc>
          <w:tcPr>
            <w:tcW w:w="2571"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(13,260)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18,674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Share-based compensation</w:t>
            </w:r>
            <w:r>
              <w:rPr>
                <w:rFonts w:ascii="Times New Roman;sans-serif" w:hAnsi="Times New Roman;sans-serif"/>
                <w:b w:val="false"/>
                <w:color w:val="000000"/>
                <w:sz w:val="13"/>
              </w:rPr>
              <w:t>(a)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7,269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Loss on foreign currency and derivatives not designated as hedging instruments, net</w:t>
            </w:r>
            <w:r>
              <w:rPr>
                <w:rFonts w:ascii="Times New Roman;sans-serif" w:hAnsi="Times New Roman;sans-serif"/>
                <w:b w:val="false"/>
                <w:color w:val="000000"/>
                <w:sz w:val="13"/>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Business optimization expenses</w:t>
            </w:r>
            <w:r>
              <w:rPr>
                <w:rFonts w:ascii="Times New Roman;sans-serif" w:hAnsi="Times New Roman;sans-serif"/>
                <w:b w:val="false"/>
                <w:color w:val="000000"/>
                <w:sz w:val="13"/>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Refinancing and secondary offering costs</w:t>
            </w:r>
            <w:r>
              <w:rPr>
                <w:rFonts w:ascii="Times New Roman;sans-serif" w:hAnsi="Times New Roman;sans-serif"/>
                <w:b w:val="false"/>
                <w:color w:val="000000"/>
                <w:sz w:val="13"/>
              </w:rPr>
              <w:t>(d)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Professional services relating to EO sterilization facilities</w:t>
            </w:r>
            <w:r>
              <w:rPr>
                <w:rFonts w:ascii="Times New Roman;sans-serif" w:hAnsi="Times New Roman;sans-serif"/>
                <w:b w:val="false"/>
                <w:color w:val="000000"/>
                <w:sz w:val="13"/>
              </w:rPr>
              <w:t>(e)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12,328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Illinois EO litigation settlement</w:t>
            </w:r>
            <w:r>
              <w:rPr>
                <w:rFonts w:ascii="Times New Roman;sans-serif" w:hAnsi="Times New Roman;sans-serif"/>
                <w:b w:val="false"/>
                <w:color w:val="000000"/>
                <w:sz w:val="13"/>
              </w:rPr>
              <w:t>(f)</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30,943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Accretion of asset retirement obligations</w:t>
            </w:r>
            <w:r>
              <w:rPr>
                <w:rFonts w:ascii="Times New Roman;sans-serif" w:hAnsi="Times New Roman;sans-serif"/>
                <w:b w:val="false"/>
                <w:color w:val="000000"/>
                <w:sz w:val="13"/>
              </w:rPr>
              <w:t>(g)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Income tax benefit associated with pre-tax adjustments</w:t>
            </w:r>
            <w:r>
              <w:rPr>
                <w:rFonts w:ascii="Times New Roman;sans-serif" w:hAnsi="Times New Roman;sans-serif"/>
                <w:b w:val="false"/>
                <w:color w:val="000000"/>
                <w:sz w:val="13"/>
              </w:rPr>
              <w:t>(h)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(21,422)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39,044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40,876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Depreciation</w:t>
            </w:r>
            <w:r>
              <w:rPr>
                <w:rFonts w:ascii="Times New Roman;sans-serif" w:hAnsi="Times New Roman;sans-serif"/>
                <w:b w:val="false"/>
                <w:color w:val="000000"/>
                <w:sz w:val="13"/>
              </w:rPr>
              <w:t>(i)</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22,060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Income tax provision applicable to Adjusted Net Income</w:t>
            </w:r>
            <w:r>
              <w:rPr>
                <w:rFonts w:ascii="Times New Roman;sans-serif" w:hAnsi="Times New Roman;sans-serif"/>
                <w:b w:val="false"/>
                <w:color w:val="000000"/>
                <w:sz w:val="13"/>
              </w:rPr>
              <w:t>(j)</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19,859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Adjusted EBITDA</w:t>
            </w:r>
            <w:r>
              <w:rPr>
                <w:rFonts w:ascii="Times New Roman;sans-serif" w:hAnsi="Times New Roman;sans-serif"/>
                <w:b/>
                <w:color w:val="000000"/>
                <w:sz w:val="13"/>
              </w:rPr>
              <w:t>(k)</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121,839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(a)    </w:t>
      </w:r>
      <w:r>
        <w:rPr>
          <w:rFonts w:ascii="Times New Roman;sans-serif" w:hAnsi="Times New Roman;sans-serif"/>
          <w:b w:val="false"/>
          <w:color w:val="000000"/>
          <w:sz w:val="20"/>
          <w:shd w:fill="FFFFFF" w:val="clear"/>
        </w:rPr>
        <w:t>Represents share-based compensation expense to employees and Non-Employee Directors.</w:t>
      </w:r>
    </w:p>
    <w:p>
      <w:pPr>
        <w:pStyle w:val="TextBody"/>
        <w:bidi w:val="0"/>
        <w:spacing w:lineRule="auto" w:line="288" w:before="40" w:after="283"/>
        <w:ind w:left="0" w:right="0" w:hanging="720"/>
        <w:jc w:val="left"/>
        <w:rPr/>
      </w:pPr>
      <w:r>
        <w:rPr>
          <w:rFonts w:ascii="Times New Roman;sans-serif" w:hAnsi="Times New Roman;sans-serif"/>
          <w:b w:val="false"/>
          <w:color w:val="000000"/>
          <w:sz w:val="20"/>
        </w:rPr>
        <w:t>(b)    </w:t>
      </w:r>
      <w:r>
        <w:rPr>
          <w:rFonts w:ascii="Times New Roman;sans-serif" w:hAnsi="Times New Roman;sans-serif"/>
          <w:b w:val="false"/>
          <w:color w:val="000000"/>
          <w:sz w:val="20"/>
          <w:shd w:fill="FFFFFF" w:val="clear"/>
        </w:rPr>
        <w:t>Represents the effects of (i) fluctuations in foreign currency exchange rates and (ii) non-cash mark-to-fair value of embedded derivatives relating to certain customer and supply contracts at Nordion.</w:t>
      </w:r>
    </w:p>
    <w:p>
      <w:pPr>
        <w:pStyle w:val="TextBody"/>
        <w:bidi w:val="0"/>
        <w:spacing w:lineRule="auto" w:line="288" w:before="40" w:after="283"/>
        <w:ind w:left="0" w:right="0" w:hanging="720"/>
        <w:jc w:val="left"/>
        <w:rPr/>
      </w:pPr>
      <w:r>
        <w:rPr>
          <w:rFonts w:ascii="Times New Roman;sans-serif" w:hAnsi="Times New Roman;sans-serif"/>
          <w:b w:val="false"/>
          <w:color w:val="000000"/>
          <w:sz w:val="20"/>
        </w:rPr>
        <w:t>(c)</w:t>
      </w:r>
      <w:r>
        <w:rPr>
          <w:color w:val="000000"/>
          <w:shd w:fill="FFFFFF" w:val="clear"/>
        </w:rPr>
        <w:t xml:space="preserve">     </w:t>
      </w:r>
      <w:r>
        <w:rPr>
          <w:rFonts w:ascii="Times New Roman;sans-serif" w:hAnsi="Times New Roman;sans-serif"/>
          <w:b w:val="false"/>
          <w:color w:val="000000"/>
          <w:sz w:val="20"/>
          <w:shd w:fill="FFFFFF" w:val="clear"/>
        </w:rPr>
        <w:t>Represents certain costs related to divestitures, acquisitions and the integration of recent acquisitions, as well as professional fees and other costs associated with business optimization, cost saving and other process enhancement projects.</w:t>
      </w:r>
    </w:p>
    <w:p>
      <w:pPr>
        <w:pStyle w:val="TextBody"/>
        <w:bidi w:val="0"/>
        <w:spacing w:lineRule="auto" w:line="288" w:before="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    The three months ended March 31, 2024 includes $1.1 million of expenses incurred in connection with the secondary offering of our common stock that closed on March 4, 2024 and write-off of unamortized debt issuance costs in connection with Amendment No. 3 to the Revolving Credit Facility.</w:t>
      </w:r>
    </w:p>
    <w:p>
      <w:pPr>
        <w:pStyle w:val="TextBody"/>
        <w:bidi w:val="0"/>
        <w:spacing w:lineRule="auto" w:line="288" w:before="40" w:after="283"/>
        <w:ind w:left="0" w:right="0" w:hanging="720"/>
        <w:jc w:val="left"/>
        <w:rPr/>
      </w:pPr>
      <w:r>
        <w:rPr>
          <w:rFonts w:ascii="Times New Roman;sans-serif" w:hAnsi="Times New Roman;sans-serif"/>
          <w:b w:val="false"/>
          <w:color w:val="000000"/>
          <w:sz w:val="20"/>
        </w:rPr>
        <w:t>(e)    </w:t>
      </w:r>
      <w:r>
        <w:rPr>
          <w:rFonts w:ascii="Times New Roman;sans-serif" w:hAnsi="Times New Roman;sans-serif"/>
          <w:b w:val="false"/>
          <w:color w:val="000000"/>
          <w:sz w:val="20"/>
          <w:shd w:fill="FFFFFF" w:val="clear"/>
        </w:rPr>
        <w:t xml:space="preserve">Represents litigation and other professional fees associated with our EO sterilization facilities. </w:t>
      </w:r>
    </w:p>
    <w:p>
      <w:pPr>
        <w:pStyle w:val="TextBody"/>
        <w:bidi w:val="0"/>
        <w:spacing w:lineRule="auto" w:line="288" w:before="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    Represents the cost to settle 97 pending and threatened EO claims against Sterigenics in Illinois pursuant to the Term Sheet entered into on April 3, 2025. See Note 14, “Commitments and Contingencies.”</w:t>
      </w:r>
    </w:p>
    <w:p>
      <w:pPr>
        <w:pStyle w:val="TextBody"/>
        <w:bidi w:val="0"/>
        <w:spacing w:lineRule="auto" w:line="288" w:before="40" w:after="283"/>
        <w:ind w:left="0" w:right="0" w:hanging="720"/>
        <w:jc w:val="left"/>
        <w:rPr/>
      </w:pPr>
      <w:r>
        <w:rPr>
          <w:rFonts w:ascii="Times New Roman;sans-serif" w:hAnsi="Times New Roman;sans-serif"/>
          <w:b w:val="false"/>
          <w:color w:val="000000"/>
          <w:sz w:val="20"/>
        </w:rPr>
        <w:t>(g)    </w:t>
      </w:r>
      <w:r>
        <w:rPr>
          <w:rFonts w:ascii="Times New Roman;sans-serif" w:hAnsi="Times New Roman;sans-serif"/>
          <w:b w:val="false"/>
          <w:color w:val="000000"/>
          <w:sz w:val="20"/>
          <w:shd w:fill="FFFFFF" w:val="clear"/>
        </w:rPr>
        <w:t>Represents non-cash accretion of ARO related to Co-60 gamma and EO processing facilities, which are based on estimated site remediation costs for any future decommissioning of these facilities and are accreted over the life of the asset.</w:t>
      </w:r>
    </w:p>
    <w:p>
      <w:pPr>
        <w:pStyle w:val="TextBody"/>
        <w:bidi w:val="0"/>
        <w:spacing w:lineRule="auto" w:line="288" w:before="40" w:after="283"/>
        <w:ind w:left="0" w:right="0" w:hanging="720"/>
        <w:jc w:val="left"/>
        <w:rPr>
          <w:rFonts w:ascii="Times New Roman;sans-serif" w:hAnsi="Times New Roman;sans-serif"/>
          <w:b w:val="false"/>
          <w:color w:val="231F20"/>
          <w:sz w:val="20"/>
        </w:rPr>
      </w:pPr>
      <w:r>
        <w:rPr>
          <w:rFonts w:ascii="Times New Roman;sans-serif" w:hAnsi="Times New Roman;sans-serif"/>
          <w:b w:val="false"/>
          <w:color w:val="231F20"/>
          <w:sz w:val="20"/>
        </w:rPr>
        <w:t>(h)    Represents the income tax impact of adjustments calculated based on the tax rate applicable to each item. We eliminate the effect of tax rate changes as applied to tax assets and liabilities and unusual items from our presentation of adjusted net income.</w:t>
      </w:r>
    </w:p>
    <w:p>
      <w:pPr>
        <w:pStyle w:val="TextBody"/>
        <w:bidi w:val="0"/>
        <w:spacing w:lineRule="auto" w:line="288" w:before="40" w:after="283"/>
        <w:ind w:left="0" w:right="0" w:hanging="720"/>
        <w:jc w:val="left"/>
        <w:rPr/>
      </w:pPr>
      <w:r>
        <w:rPr>
          <w:rFonts w:ascii="Times New Roman;sans-serif" w:hAnsi="Times New Roman;sans-serif"/>
          <w:b w:val="false"/>
          <w:color w:val="000000"/>
          <w:sz w:val="20"/>
        </w:rPr>
        <w:t>(i)    </w:t>
      </w:r>
      <w:r>
        <w:rPr>
          <w:rFonts w:ascii="Times New Roman;sans-serif" w:hAnsi="Times New Roman;sans-serif"/>
          <w:b w:val="false"/>
          <w:color w:val="000000"/>
          <w:sz w:val="20"/>
          <w:shd w:fill="FFFFFF" w:val="clear"/>
        </w:rPr>
        <w:t>Includes depreciation of Co-60 held at gamma irradiation sites. The three months ended March 31, 2025 excludes accelerated depreciation associated with business optimization activities.</w:t>
      </w:r>
    </w:p>
    <w:p>
      <w:pPr>
        <w:pStyle w:val="TextBody"/>
        <w:bidi w:val="0"/>
        <w:spacing w:lineRule="auto" w:line="288" w:before="40" w:after="283"/>
        <w:ind w:left="0" w:right="0" w:hanging="720"/>
        <w:jc w:val="left"/>
        <w:rPr>
          <w:rFonts w:ascii="Times New Roman;sans-serif" w:hAnsi="Times New Roman;sans-serif"/>
          <w:b w:val="false"/>
          <w:color w:val="231F20"/>
          <w:sz w:val="20"/>
        </w:rPr>
      </w:pPr>
      <w:r>
        <w:rPr>
          <w:rFonts w:ascii="Times New Roman;sans-serif" w:hAnsi="Times New Roman;sans-serif"/>
          <w:b w:val="false"/>
          <w:color w:val="231F20"/>
          <w:sz w:val="20"/>
        </w:rPr>
        <w:t>(j)    Represents the difference between the income tax provision as determined under U.S. GAAP and the income tax provision or benefit associated with pre-tax adjustments described in footnote (h).</w:t>
      </w:r>
    </w:p>
    <w:p>
      <w:pPr>
        <w:pStyle w:val="TextBody"/>
        <w:bidi w:val="0"/>
        <w:spacing w:lineRule="auto" w:line="288" w:before="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(k)    $24.2 million and $23.8 million of the adjustments for the three months ended March 31, 2025 and 2024, respectively, are included in cost of revenues, primarily consisting of amortization of intangible assets, depreciation, and accretion of asset retirement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SEGMENT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three reportable segments: Sterigenics, Nordion and Nelson Labs. Our chief operating decision maker evaluates performance and allocates resources within our business based on segment income, which excludes certain items which are included in income (loss) before tax as determined in our Consolidated Statements of Operations and Comprehensive Income (Loss). The accounting policies for our reportable segments are the same as those for the consolidated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Segments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Sterigenics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Sterigenics provides outsourced terminal sterilization and irradiation services for the medical device, pharmaceutical, food safety and advanced applications markets using three major technologies: gamma irradiation, EO processing and E-beam irradiation.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Nordion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Nordion business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time required to meet regulatory and logistics requirements for delivery of radioactive products, combined with accommodations that we make to our customers to minimize disruptions to their operations during the installation of Co-60, Nordion sales patterns can often vary significantly from one quarter to the next. In most cases, however, timing-related impacts on our sales performance tend to be resolved within several quarters, resulting in more consistent performance over longer periods of time. In addition, sales of gamma irradiation systems occur infrequently and tend to be for larger amounts. Nordion’s results of operations are also impacted by Co-60 harvest schedules.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Nelson Labs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Nelson Labs business provides outsourced microbiological and analytical chemistry testing and advisory services for the medical device and pharmaceutical industries.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more information regarding our reportable segments please refer to Note 16, “Segment Information” to our consolidated financial statements. </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Segment Results for the Three Months Ended March 31, 2025 and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compare segment net revenue and segment income for the three months ended March 31, 2025 to the three months ended March 31, 2024: </w:t>
      </w:r>
    </w:p>
    <w:tbl>
      <w:tblPr>
        <w:tblW w:w="7591" w:type="dxa"/>
        <w:jc w:val="left"/>
        <w:tblInd w:w="0" w:type="dxa"/>
        <w:tblLayout w:type="fixed"/>
        <w:tblCellMar>
          <w:top w:w="28" w:type="dxa"/>
          <w:left w:w="28" w:type="dxa"/>
          <w:bottom w:w="28" w:type="dxa"/>
          <w:right w:w="28" w:type="dxa"/>
        </w:tblCellMar>
      </w:tblPr>
      <w:tblGrid>
        <w:gridCol w:w="794"/>
        <w:gridCol w:w="697"/>
        <w:gridCol w:w="699"/>
        <w:gridCol w:w="329"/>
        <w:gridCol w:w="207"/>
        <w:gridCol w:w="574"/>
        <w:gridCol w:w="170"/>
        <w:gridCol w:w="170"/>
        <w:gridCol w:w="170"/>
        <w:gridCol w:w="329"/>
        <w:gridCol w:w="224"/>
        <w:gridCol w:w="557"/>
        <w:gridCol w:w="109"/>
        <w:gridCol w:w="109"/>
        <w:gridCol w:w="109"/>
        <w:gridCol w:w="211"/>
        <w:gridCol w:w="616"/>
        <w:gridCol w:w="109"/>
        <w:gridCol w:w="109"/>
        <w:gridCol w:w="109"/>
        <w:gridCol w:w="109"/>
        <w:gridCol w:w="255"/>
        <w:gridCol w:w="256"/>
        <w:gridCol w:w="570"/>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730" w:type="dxa"/>
            <w:gridSpan w:val="9"/>
            <w:tcBorders/>
            <w:tcMar>
              <w:top w:w="0" w:type="dxa"/>
              <w:left w:w="0" w:type="dxa"/>
              <w:bottom w:w="0" w:type="dxa"/>
              <w:right w:w="0" w:type="dxa"/>
            </w:tcMar>
            <w:vAlign w:val="center"/>
          </w:tcPr>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169,684</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32,557</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52,282</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88,004</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17,422</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16,413</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 margin</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51.9</w:t>
            </w: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53.5</w:t>
            </w:r>
            <w:r>
              <w:rPr>
                <w:color w:val="000000"/>
              </w:rPr>
              <w:t> </w:t>
            </w:r>
          </w:p>
        </w:tc>
        <w:tc>
          <w:tcPr>
            <w:tcW w:w="5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5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31.4</w:t>
            </w:r>
            <w:r>
              <w:rPr>
                <w:color w:val="000000"/>
              </w:rPr>
              <w:t> </w:t>
            </w:r>
          </w:p>
        </w:tc>
        <w:tc>
          <w:tcPr>
            <w:tcW w:w="5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5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Revenues by Segment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net revenues were $169.7 million for the three months ended March 31, 2025, an increase of $3.2 million, or 1.9%, as compared to the three months ended March 31, 2024. The increase reflects a benefit from pricing of 4.1%, partially offset by an unfavorable impact from changes in foreign currency exchange rates of 1.9%.</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Nordion net revenues were $32.6 million for the three months ended March 31, 2025, an increase of $8.6 million, or 35.6%, as compared to the three months ended March 31, 2024. Revenue growth was driven mainly by volume and mix, which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largely attributable to a more favorable Co-60 harvest schedule timing for the three months ended March 31, 2025 compared to the three months ended March 31, 2024, partially offset by an unfavorable impact from changes in foreign currency exchange rates of 5.0%.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 net revenues were $52.3 million for the three months ended March 31, 2025, a decrease of $5.4 million, or 9.3%, as compared to the three months ended March 31, 2024. Favorable pricing and improvement in core lab testing services was offset by a decline in expert advisory service revenue and changes in foreign currency exchange rates.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Segment Income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segment income was $88.0 million for the three months ended March 31, 2025, an increase of $2.2 million, or 2.5%, as compared to the three months ended March 31, 2024. Segment income and segment income margin increased primarily due to the benefit of pricing, partially offset by inflation and changes in foreign currency exchange rates.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 segment income was $17.4 million for the three months ended March 31, 2025, an increase of $6.6 million, or 61.5%, as compared to the three months ended March 31, 2024. The increase in segment income and segment income margin was primarily driven by higher volume and mix, stemming from favorable Co-60 harvest schedule timing, as referenced above.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 segment income was $16.4 million for the three months ended March 31, 2025, an increase of $1.1 million, or 7.0%, as compared to the three months ended March 31, 2024. The increase in segment income and segment income margin was attributable to favorable pricing and volume/mix improvements in core lab testing services coupled with lab optimization, partially offset by lower volume/mix in expert advisory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Sources of Cash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sources of liquidity for our business are cash flows from operations and borrowings under our credit facilities. As of March 31, 2025, we had $304.4 million of cash and cash equivalents. This is an increase of $27.1 million from the balance at December 31, 2024. The increase in cash and cash equivalents was attributable to $55.5 million of cash provided by operating activities, partially offset by $19.9 million of cash paid for purchases of property, plant and equipment and $8.1 million of cash used in financing activities. Our foreign subsidiaries held cash of approximately $291.6 million at March 31, 2025 and $259.8 million at December 31, 2024. No material restrictions exist to accessing cash held by our foreign subsidiaries notwithstanding any potential tax consequences.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Uses of Cash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cash on hand, operating cash flows and amounts available under our credit facilities will provide sufficient working capital to operate our business, meet foreseeable liquidity requirements (inclusive of debt service on our long-term debt), make expected capital expenditures including investments in fixed assets to build and/or expand existing facilities, and meet litigation costs that we expect to continue to incur for at least the next twelve months and the foreseeable future thereafter. Our primary long-term liquidity requirements beyond the next 12 months will be to service our debt, make capital expenditures, and fund suitable business acquisitions. As of March 31, 2025,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As of March 31, 2025, our interest rate derivatives limit our cash flow exposure of our variable rate borrowings under the Term Loans. Refer to Note 15, “Financial Instruments and Financial Risk,” “Derivative Instruments” for additional information about changes in interest rate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three months ended March 31, 2025, our capital expenditures amounted to $19.9 million, compared to $34.9 million for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color w:val="000000"/>
        </w:rPr>
        <w:t> </w:t>
      </w:r>
      <w:r>
        <w:rPr>
          <w:rFonts w:ascii="Times New Roman;sans-serif" w:hAnsi="Times New Roman;sans-serif"/>
          <w:b/>
          <w:color w:val="000000"/>
          <w:sz w:val="20"/>
        </w:rPr>
        <w:t>Cash Flow Information</w:t>
      </w:r>
    </w:p>
    <w:p>
      <w:pPr>
        <w:pStyle w:val="TextBody"/>
        <w:bidi w:val="0"/>
        <w:spacing w:lineRule="auto" w:line="288" w:before="120" w:after="283"/>
        <w:jc w:val="left"/>
        <w:rPr/>
      </w:pPr>
      <w:r>
        <w:rPr>
          <w:rFonts w:ascii="Times New Roman;sans-serif" w:hAnsi="Times New Roman;sans-serif"/>
          <w:b/>
          <w:i/>
          <w:color w:val="000000"/>
          <w:sz w:val="20"/>
        </w:rPr>
        <w:t xml:space="preserve">Three Months Ended March 31, 2025 compared to the Three Months Ended March 31, 2024 </w:t>
      </w:r>
      <w:r>
        <w:rPr>
          <w:color w:val="000000"/>
        </w:rPr>
        <w:t> </w:t>
      </w:r>
    </w:p>
    <w:tbl>
      <w:tblPr>
        <w:tblW w:w="10205" w:type="dxa"/>
        <w:jc w:val="left"/>
        <w:tblInd w:w="0" w:type="dxa"/>
        <w:tblLayout w:type="fixed"/>
        <w:tblCellMar>
          <w:top w:w="28" w:type="dxa"/>
          <w:left w:w="28" w:type="dxa"/>
          <w:bottom w:w="28" w:type="dxa"/>
          <w:right w:w="28" w:type="dxa"/>
        </w:tblCellMar>
      </w:tblPr>
      <w:tblGrid>
        <w:gridCol w:w="2788"/>
        <w:gridCol w:w="2434"/>
        <w:gridCol w:w="2442"/>
        <w:gridCol w:w="211"/>
        <w:gridCol w:w="736"/>
        <w:gridCol w:w="109"/>
        <w:gridCol w:w="109"/>
        <w:gridCol w:w="109"/>
        <w:gridCol w:w="109"/>
        <w:gridCol w:w="211"/>
        <w:gridCol w:w="791"/>
        <w:gridCol w:w="156"/>
      </w:tblGrid>
      <w:tr>
        <w:trPr/>
        <w:tc>
          <w:tcPr>
            <w:tcW w:w="2788"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55,521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 on cash and cash equivalents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 including restricted cash, during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27,216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(38,834)</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provided by operating activities increased $45.8 million to net cash provided of $55.5 million for the three months ended March 31, 2025 compared to $9.7 million for the three months ended March 31, 2024. The increase in cash flows from operating activities in the three months ended March 31, 2025 compared to the three months ended March 31, 2024 was driven primarily by the $35.0 million payment of the Georgia EO litigation settlement in the three months ended March 31, 2024.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decreased $15.0 million to net cash used of $19.9 million for the three months ended March 31, 2025 compared to $34.9 million for the three months ended March 31, 2024. The variance was driven by a decrease in capital expenditures of $15.0 million in the three months ended March 31, 2025 compared to the three months ended March 31, 2024.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Financing activities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decreased by $3.9 million to $8.1 million for the three months ended March 31, 2025 compared to $11.9 million for the three months ended March 31, 2024. The difference was due mainly to a $6.7 million payment to settle a finance lease in 2024, partially offset by an increase of $2.5 million in principal payments on long-term borrowings.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Debt Facilities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On December 13, 2019,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(as amended through Amendment No. 5 (as defined below), the “Credit Agreement”). Amendment No. 5 increased the total borrowing capacity under the Revolving Credit Facility to </w:t>
      </w:r>
      <w:r>
        <w:rPr>
          <w:rFonts w:ascii="Times New Roman;sans-serif" w:hAnsi="Times New Roman;sans-serif"/>
          <w:b w:val="false"/>
          <w:color w:val="000000"/>
          <w:sz w:val="20"/>
        </w:rPr>
        <w:t>$600.0 million</w:t>
      </w:r>
      <w:r>
        <w:rPr>
          <w:rFonts w:ascii="Times New Roman;sans-serif" w:hAnsi="Times New Roman;sans-serif"/>
          <w:b w:val="false"/>
          <w:color w:val="000000"/>
          <w:sz w:val="20"/>
          <w:shd w:fill="FFFFFF" w:val="clear"/>
        </w:rPr>
        <w:t>. The Senior Secured Credit Facilities also provide SHH the right at any time and under certain conditions to request incremental term loans or incremental revolving credit commitments based on a formula defined in the Senior Secured Credit Facilities.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2025, the Company and SHH entered into Amendment No. 5 (“Amendment No. 5”) to the Revolving Credit Facility. Among other changes, Amendment No. 5 provides (i) for an increase in the commitments under the existing Revolving Credit Facility in an aggregate principal amount of $176.2 million, (ii) that certain lenders providing revolving credit commitments shall also provide additional commitments for the issuance of letters of credit under the Revolving Credit Facility in an aggregate principal amount of $186.3 million and (iii) for the extension of the maturity date of the Revolving Credit Facility to April 30, 2030. Amendment No. 5 does not give effect to any other material changes to the terms and conditions of the Credit Agreement, including with respect to the representations and warranties, events of default and the affirmative or negative covenants.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SHH had previously entered into Amendments No. 4 and Amendment No. 3 on May 30, 2024 and March 1, 2024, respectively. See Note 8, “Long-Term Debt,” to the Financial Statements for a description of these amendments.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30, 2024, SHH, the Company, certain subsidiaries of the Company,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May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Senior Secured Credit Facilities and the Indenture contain certain covenants and events of default. Additionally, all of SHH’s obligations under the Senior Secured Credit Facilities and the Indenture are unconditionally guaranteed by the Company and certain domestic restricted subsidiaries. For additional information about our Senior Secured Credit Facilities, the Indenture and the Secured Notes, including the covenants and events of default, refer to Note 8, “Long-Term Debt,” to our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letters of credit are collateralized by encumbrances against the Revolving Credit Facility and the collateral pledged thereunder, or by cash placed on deposit with the issuing bank. As of April 30, 2025, the Company had $13.7 million of letters of credit issued against the Revolving Credit Facility, resulting in total availability under the Revolving Credit Facility of $586.3 million.</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Term Loan Interest Rate Risk Management</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15, “Financial Instruments and Financial Risk,” </w:t>
      </w:r>
      <w:r>
        <w:rPr>
          <w:color w:val="000000"/>
          <w:shd w:fill="FFFFFF" w:val="clear"/>
        </w:rPr>
        <w:t>“</w:t>
      </w:r>
      <w:r>
        <w:rPr>
          <w:rFonts w:ascii="Times New Roman;sans-serif" w:hAnsi="Times New Roman;sans-serif"/>
          <w:b w:val="false"/>
          <w:i/>
          <w:color w:val="000000"/>
          <w:sz w:val="20"/>
          <w:shd w:fill="FFFFFF" w:val="clear"/>
        </w:rPr>
        <w:t>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consolidated financial statements and related disclosures in conformity with GAAP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comprehensive discussion of the Company’s critical accounting policies and management estimates made in connection with the preparation of the financial statements is included in Item 7 of our 2024 Form 10-K. There have been no significant changes in critical accounting policies, management estimates or accounting policies since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NEW ACCOUNTING PRONOUNCEMENTS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recent accounting pronouncements applicable to our business, see Note 2, “Recent Accounting Standards,”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risks are described within “Quantitative and Qualitative Disclosures About Market Risk” in Part II, Item 7A of our 2024 Form 10-K. These market risks have not materially changed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the Company’s “disclosure controls and procedures,” (as defined in Rules 13a-15(e) and 15d-15(e) under the Exchange Act). Based upon their evaluation, the Chief Executive Officer and Chief Financial Officer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(the “SEC”),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there were no changes in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subject to various legal proceedings arising in the ordinary course of our business, including claims relating to personal injury, property damage, workers’ compensation, employee safety and our disclosures as a Nasdaq-listed, publicly-traded company. In addition, from time to time, we receive communications from government or regulatory agencies concerning investigations or allegations of noncompliance with laws or regulations in jurisdictions in which we operate. At this time, and except as disclosed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 </w:t>
      </w:r>
    </w:p>
    <w:p>
      <w:pPr>
        <w:pStyle w:val="TextBody"/>
        <w:bidi w:val="0"/>
        <w:spacing w:lineRule="auto" w:line="288" w:before="240" w:after="283"/>
        <w:jc w:val="left"/>
        <w:rPr/>
      </w:pPr>
      <w:r>
        <w:rPr>
          <w:rFonts w:ascii="Times New Roman;sans-serif" w:hAnsi="Times New Roman;sans-serif"/>
          <w:b/>
          <w:color w:val="000000"/>
          <w:sz w:val="20"/>
        </w:rPr>
        <w:t>Legal Proceedings Described in Note 14 “Commitments and Contingencies,”</w:t>
      </w:r>
      <w:r>
        <w:rPr>
          <w:color w:val="000000"/>
        </w:rPr>
        <w:t xml:space="preserve"> </w:t>
      </w:r>
      <w:r>
        <w:rPr>
          <w:rFonts w:ascii="Times New Roman;sans-serif" w:hAnsi="Times New Roman;sans-serif"/>
          <w:b/>
          <w:color w:val="000000"/>
          <w:sz w:val="20"/>
        </w:rPr>
        <w:t xml:space="preserve">of Our Consolidated Financial Statements </w:t>
      </w:r>
    </w:p>
    <w:p>
      <w:pPr>
        <w:pStyle w:val="TextBody"/>
        <w:bidi w:val="0"/>
        <w:spacing w:lineRule="auto" w:line="288" w:before="120" w:after="283"/>
        <w:jc w:val="left"/>
        <w:rPr/>
      </w:pPr>
      <w:r>
        <w:rPr>
          <w:rFonts w:ascii="Times New Roman;sans-serif" w:hAnsi="Times New Roman;sans-serif"/>
          <w:b w:val="false"/>
          <w:color w:val="000000"/>
          <w:sz w:val="20"/>
        </w:rPr>
        <w:t>Note 14, “Commitments and Contingencies,” to our consolidated financial statements for the three months ended March 31, 2025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14 “Commitments and Contingencies,”</w:t>
      </w:r>
      <w:r>
        <w:rPr>
          <w:color w:val="000000"/>
        </w:rPr>
        <w:t xml:space="preserve"> </w:t>
      </w:r>
      <w:r>
        <w:rPr>
          <w:rFonts w:ascii="Times New Roman;sans-serif" w:hAnsi="Times New Roman;sans-serif"/>
          <w:b w:val="false"/>
          <w:color w:val="000000"/>
          <w:sz w:val="20"/>
        </w:rPr>
        <w:t>for information regarding the following legal proceedings, which information is incorporated into this Item 1 by reference:</w:t>
      </w:r>
    </w:p>
    <w:p>
      <w:pPr>
        <w:pStyle w:val="TextBody"/>
        <w:bidi w:val="0"/>
        <w:spacing w:before="120" w:after="283"/>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Ethylene Oxide Tort Litigation – California, Georgia, Illinois and New Mexico;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Insurance Coverage for Environmental Liabilities;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Sotera Health Company Securities Litigation and Related Matters.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Legal Proceedings Not Described in Note 14 “Commitments and Contingencies,” to Our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matters identified in Note 14 “Commitments and Contingencies,” to our consolidated financial statements for the three months ended March 31, 2025 contained in this Quarterly Report on Form 10-Q, and incorporated into this item by reference, we report matters, if any, that constitute material pending legal proceedings, other than ordinary course litigation incidental to our business, to which we are or any of our subsidiaries is a party. SEC regulations require disclosure of environmental proceedings that involve a government authority and potential monetary sanctions that the Company reasonably believes will exceed a specified threshold. The Company uses a threshold of $1.0 million to determine whether the disclosure of any such proceedings is required because we believe matters under this threshold are not material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1A. Risk Factors.</w:t>
      </w:r>
      <w:r>
        <w:rPr>
          <w:color w:val="000000"/>
        </w:rPr>
        <w:t xml:space="preserve"> </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previously described under Item 1A of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5. Other Information.</w:t>
      </w:r>
      <w:r>
        <w:rPr>
          <w:color w:val="000000"/>
        </w:rPr>
        <w:t xml:space="preserve"> </w:t>
      </w:r>
    </w:p>
    <w:p>
      <w:pPr>
        <w:pStyle w:val="TextBody"/>
        <w:bidi w:val="0"/>
        <w:spacing w:lineRule="auto" w:line="26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Amendment No. 5 to the Revolving Credit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30, 2025, the Company and SHH entered into Amendment No. 5 to the Revolving Credit Facility, by and among the Company, SHH, certain subsidiaries of the Company, JPMorgan Chase Bank, N.A., as First Lien Administrative Agent and the lenders and issuing banks party thereto (together with the First Lien Administrative Agent, the “Lenders”). Among other changes, Amendment No. 5 provides (i) for an increase in the commitments under the existing Revolving Credit Facility in an aggregate principal amount of $176.2 million, (ii) that certain lenders providing revolving credit commitments shall also provide additional commitments for the issuance of letters of credit under the Revolving Credit Facility in an aggregate principal amount of $186.3 million and (iii) for the extension of the maturity date of the Revolving Credit Facility to April 30, 2030. Amendment No. 5 does not give effect to any other material changes to the terms and conditions of the Credit Agreement, including with respect to the representations and warranties, events of default and the affirmative or negative covenants. The Lenders party to Amendment No. 5 and their affiliates have provided investment banking, financial advisory and other services to the Company for customary fees and reimbursement of expenses, and those Lenders and affiliates may, from time to time, continue to do so. The foregoing description of certain provisions of the Amendment No. 5 and the underlying Credit Agreement does not purport to be complete and is qualified in its entirety by the full text of the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 and the Amendment, a copy of which is filed with this Quarterly Report on Form 10-Q as Exhibit 10.1 and incorporated herein by reference.</w:t>
      </w:r>
    </w:p>
    <w:p>
      <w:pPr>
        <w:pStyle w:val="TextBody"/>
        <w:bidi w:val="0"/>
        <w:spacing w:lineRule="auto" w:line="26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none of the Company’s directors or officers (as defined in Rule 16a-1(f) under the Exchange Act) adopted or terminated any contract, instruction or written plan for the purchase or sale of Company securities that was intended to satisfy the affirmative defense conditions of Rule 10b5-1(c) or any “non-Rule 10b5-1 trading arrangement” (as that term is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listed in the following Exhibit Index are filed, furnished, or incorporated by reference as part of this Quarterly Report on Form 10-Q. </w:t>
      </w:r>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698"/>
        <w:gridCol w:w="1438"/>
        <w:gridCol w:w="1443"/>
        <w:gridCol w:w="109"/>
        <w:gridCol w:w="109"/>
        <w:gridCol w:w="109"/>
        <w:gridCol w:w="197"/>
        <w:gridCol w:w="197"/>
        <w:gridCol w:w="192"/>
        <w:gridCol w:w="204"/>
        <w:gridCol w:w="146"/>
        <w:gridCol w:w="128"/>
        <w:gridCol w:w="245"/>
        <w:gridCol w:w="245"/>
        <w:gridCol w:w="246"/>
        <w:gridCol w:w="224"/>
        <w:gridCol w:w="224"/>
        <w:gridCol w:w="225"/>
        <w:gridCol w:w="109"/>
        <w:gridCol w:w="109"/>
        <w:gridCol w:w="109"/>
        <w:gridCol w:w="330"/>
        <w:gridCol w:w="330"/>
        <w:gridCol w:w="476"/>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4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7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67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Furnished/Filed </w:t>
              <w:br/>
              <w:t>Herewith</w:t>
            </w:r>
          </w:p>
        </w:tc>
      </w:tr>
      <w:tr>
        <w:trPr/>
        <w:tc>
          <w:tcPr>
            <w:tcW w:w="10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7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shc_20250331xexhibitx31x1.htm">
              <w:r>
                <w:rPr>
                  <w:rStyle w:val="InternetLink"/>
                  <w:rFonts w:ascii="Times New Roman;sans-serif" w:hAnsi="Times New Roman;sans-serif"/>
                  <w:b w:val="false"/>
                  <w:color w:val="0000FF"/>
                  <w:sz w:val="20"/>
                  <w:u w:val="single"/>
                </w:rPr>
                <w:t xml:space="preserve">Certification of Principal Executive Officer pursuant to Exchange Act Rules 13a-14(a) and 15d-14(a), as adopted pursuant to Section 302 of the Sarbanes-Oxley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20250331_exhibitx31x2.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20250331_exhibitx32x1.htm">
              <w:r>
                <w:rPr>
                  <w:rStyle w:val="InternetLink"/>
                  <w:rFonts w:ascii="Times New Roman;sans-serif" w:hAnsi="Times New Roman;sans-serif"/>
                  <w:b w:val="false"/>
                  <w:color w:val="0000FF"/>
                  <w:sz w:val="20"/>
                  <w:u w:val="single"/>
                </w:rPr>
                <w:t>Certifications of Principal Executive Officer and Principal Financial Officer pursuant to 18 U.S.C. Section 1350, as adopted pursuant to Section 906 of the Sarbanes-Oxley Act of 2002</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20250331_exhibitx10x1.htm">
              <w:r>
                <w:rPr>
                  <w:rStyle w:val="InternetLink"/>
                  <w:rFonts w:ascii="Times New Roman;sans-serif" w:hAnsi="Times New Roman;sans-serif"/>
                  <w:b w:val="false"/>
                  <w:color w:val="000080"/>
                  <w:sz w:val="20"/>
                  <w:u w:val="single"/>
                </w:rPr>
                <w:t xml:space="preserve">Amendment No. 5 to the First Lien Credit Agreement, dated as of April </w:t>
              </w:r>
            </w:hyperlink>
            <w:hyperlink w:anchor="shc20250331_exhibitx10x1.htm">
              <w:r>
                <w:rPr>
                  <w:rStyle w:val="InternetLink"/>
                  <w:rFonts w:ascii="Times New Roman;sans-serif" w:hAnsi="Times New Roman;sans-serif"/>
                  <w:b w:val="false"/>
                  <w:color w:val="000080"/>
                  <w:sz w:val="20"/>
                  <w:u w:val="single"/>
                </w:rPr>
                <w:t>3</w:t>
              </w:r>
            </w:hyperlink>
            <w:hyperlink w:anchor="shc20250331_exhibitx10x1.htm">
              <w:r>
                <w:rPr>
                  <w:rStyle w:val="InternetLink"/>
                  <w:rFonts w:ascii="Times New Roman;sans-serif" w:hAnsi="Times New Roman;sans-serif"/>
                  <w:b w:val="false"/>
                  <w:color w:val="000080"/>
                  <w:sz w:val="20"/>
                  <w:u w:val="single"/>
                </w:rPr>
                <w:t>0</w:t>
              </w:r>
            </w:hyperlink>
            <w:hyperlink w:anchor="shc20250331_exhibitx10x1.htm">
              <w:r>
                <w:rPr>
                  <w:rStyle w:val="InternetLink"/>
                  <w:rFonts w:ascii="Times New Roman;sans-serif" w:hAnsi="Times New Roman;sans-serif"/>
                  <w:b w:val="false"/>
                  <w:color w:val="000080"/>
                  <w:sz w:val="20"/>
                  <w:u w:val="single"/>
                </w:rPr>
                <w:t>, 2025 by and among Sotera Health Company, Sotera Health Holdings, LLC, certain subsidiaries of Sotera Health Company, JPMorgan Chase Bank, N.A., as First Lien Administrative Agent and the lenders and issuing banks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20250331_exhibitx10x2.htm">
              <w:r>
                <w:rPr>
                  <w:rStyle w:val="InternetLink"/>
                  <w:rFonts w:ascii="Times New Roman;sans-serif" w:hAnsi="Times New Roman;sans-serif"/>
                  <w:b w:val="false"/>
                  <w:color w:val="0000FF"/>
                  <w:sz w:val="20"/>
                  <w:u w:val="single"/>
                </w:rPr>
                <w:t>Amended and Restated Employment Offer by Sotera Health Company and Jonathan M. Lyons dated as of February 26,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XBRL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Presentation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344" w:type="dxa"/>
        <w:jc w:val="left"/>
        <w:tblInd w:w="0" w:type="dxa"/>
        <w:tblLayout w:type="fixed"/>
        <w:tblCellMar>
          <w:top w:w="28" w:type="dxa"/>
          <w:left w:w="28" w:type="dxa"/>
          <w:bottom w:w="28" w:type="dxa"/>
          <w:right w:w="28" w:type="dxa"/>
        </w:tblCellMar>
      </w:tblPr>
      <w:tblGrid>
        <w:gridCol w:w="124"/>
        <w:gridCol w:w="109"/>
        <w:gridCol w:w="109"/>
        <w:gridCol w:w="288"/>
        <w:gridCol w:w="288"/>
        <w:gridCol w:w="288"/>
        <w:gridCol w:w="645"/>
        <w:gridCol w:w="645"/>
        <w:gridCol w:w="645"/>
        <w:gridCol w:w="645"/>
        <w:gridCol w:w="645"/>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2"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 Lyons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 Lyons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78" w:after="283"/>
        <w:jc w:val="right"/>
        <w:rPr>
          <w:rFonts w:ascii="Times New Roman;sans-serif" w:hAnsi="Times New Roman;sans-serif"/>
          <w:b/>
          <w:i/>
          <w:color w:val="000000"/>
          <w:sz w:val="22"/>
        </w:rPr>
      </w:pPr>
      <w:r>
        <w:rPr>
          <w:rFonts w:ascii="Times New Roman;sans-serif" w:hAnsi="Times New Roman;sans-serif"/>
          <w:b/>
          <w:i/>
          <w:color w:val="000000"/>
          <w:sz w:val="22"/>
        </w:rPr>
        <w:t>Execution Version</w:t>
      </w:r>
    </w:p>
    <w:p>
      <w:pPr>
        <w:pStyle w:val="TextBody"/>
        <w:bidi w:val="0"/>
        <w:spacing w:before="215"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AMENDMENT NO. 5 TO FIRST LIEN CREDIT AGREEMENT, dated as of April 30, 2025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is made and entered into by and among Sotera Health Company (f/k/a Sotera Health Topco, Inc.), a Delaware corporation (“</w:t>
      </w:r>
      <w:r>
        <w:rPr>
          <w:rFonts w:ascii="Times New Roman;sans-serif" w:hAnsi="Times New Roman;sans-serif"/>
          <w:b w:val="false"/>
          <w:color w:val="000000"/>
          <w:sz w:val="22"/>
          <w:u w:val="single"/>
        </w:rPr>
        <w:t>Holdings</w:t>
      </w:r>
      <w:r>
        <w:rPr>
          <w:color w:val="000000"/>
        </w:rPr>
        <w:t>”</w:t>
      </w:r>
      <w:r>
        <w:rPr>
          <w:rFonts w:ascii="Times New Roman;sans-serif" w:hAnsi="Times New Roman;sans-serif"/>
          <w:b w:val="false"/>
          <w:color w:val="000000"/>
          <w:sz w:val="22"/>
        </w:rPr>
        <w:t>), SOTERA HEALTH HOLDINGS, LLC, a Delaware limited liability company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each of the entities listed under the caption “2025 Refinancing Revolving Lenders” on the signature pages hereto (each, a “</w:t>
      </w:r>
      <w:r>
        <w:rPr>
          <w:rFonts w:ascii="Times New Roman;sans-serif" w:hAnsi="Times New Roman;sans-serif"/>
          <w:b w:val="false"/>
          <w:color w:val="000000"/>
          <w:sz w:val="22"/>
          <w:u w:val="single"/>
        </w:rPr>
        <w:t>2025 Refinancing Revolving</w:t>
      </w:r>
      <w:r>
        <w:rPr>
          <w:color w:val="000000"/>
        </w:rPr>
        <w:t xml:space="preserve"> </w:t>
      </w:r>
      <w:r>
        <w:rPr>
          <w:rFonts w:ascii="Times New Roman;sans-serif" w:hAnsi="Times New Roman;sans-serif"/>
          <w:b w:val="false"/>
          <w:color w:val="000000"/>
          <w:sz w:val="22"/>
          <w:u w:val="single"/>
        </w:rPr>
        <w:t>Lender</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2025 Refinancing Revolving Lenders</w:t>
      </w:r>
      <w:r>
        <w:rPr>
          <w:color w:val="000000"/>
        </w:rPr>
        <w:t>”</w:t>
      </w:r>
      <w:r>
        <w:rPr>
          <w:rFonts w:ascii="Times New Roman;sans-serif" w:hAnsi="Times New Roman;sans-serif"/>
          <w:b w:val="false"/>
          <w:color w:val="000000"/>
          <w:sz w:val="22"/>
        </w:rPr>
        <w:t>), each of the entities listed under the caption “Incremental No. 5 Amendment Revolving Lender” on the signature pages hereto (each, an “</w:t>
      </w:r>
      <w:r>
        <w:rPr>
          <w:rFonts w:ascii="Times New Roman;sans-serif" w:hAnsi="Times New Roman;sans-serif"/>
          <w:b w:val="false"/>
          <w:color w:val="000000"/>
          <w:sz w:val="22"/>
          <w:u w:val="single"/>
        </w:rPr>
        <w:t>Incremental Amendment No. 5 Revolving Lender</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Incremental Amendment No. 5</w:t>
      </w:r>
      <w:r>
        <w:rPr>
          <w:color w:val="000000"/>
        </w:rPr>
        <w:t xml:space="preserve"> </w:t>
      </w:r>
      <w:r>
        <w:rPr>
          <w:rFonts w:ascii="Times New Roman;sans-serif" w:hAnsi="Times New Roman;sans-serif"/>
          <w:b w:val="false"/>
          <w:color w:val="000000"/>
          <w:sz w:val="22"/>
          <w:u w:val="single"/>
        </w:rPr>
        <w:t>Revolving Lenders</w:t>
      </w:r>
      <w:r>
        <w:rPr>
          <w:color w:val="000000"/>
        </w:rPr>
        <w:t xml:space="preserve">” </w:t>
      </w:r>
      <w:r>
        <w:rPr>
          <w:rFonts w:ascii="Times New Roman;sans-serif" w:hAnsi="Times New Roman;sans-serif"/>
          <w:b w:val="false"/>
          <w:color w:val="000000"/>
          <w:sz w:val="22"/>
        </w:rPr>
        <w:t>and, and, together with the 2025 Refinancing Revolving Lenders, the “</w:t>
      </w:r>
      <w:r>
        <w:rPr>
          <w:rFonts w:ascii="Times New Roman;sans-serif" w:hAnsi="Times New Roman;sans-serif"/>
          <w:b w:val="false"/>
          <w:color w:val="000000"/>
          <w:sz w:val="22"/>
          <w:u w:val="single"/>
        </w:rPr>
        <w:t>Amendment</w:t>
      </w:r>
      <w:r>
        <w:rPr>
          <w:color w:val="000000"/>
        </w:rPr>
        <w:t xml:space="preserve"> </w:t>
      </w:r>
      <w:r>
        <w:rPr>
          <w:rFonts w:ascii="Times New Roman;sans-serif" w:hAnsi="Times New Roman;sans-serif"/>
          <w:b w:val="false"/>
          <w:color w:val="000000"/>
          <w:sz w:val="22"/>
          <w:u w:val="single"/>
        </w:rPr>
        <w:t>No. 5 Revolving Lenders</w:t>
      </w:r>
      <w:r>
        <w:rPr>
          <w:color w:val="000000"/>
        </w:rPr>
        <w:t>”</w:t>
      </w:r>
      <w:r>
        <w:rPr>
          <w:rFonts w:ascii="Times New Roman;sans-serif" w:hAnsi="Times New Roman;sans-serif"/>
          <w:b w:val="false"/>
          <w:color w:val="000000"/>
          <w:sz w:val="22"/>
        </w:rPr>
        <w:t>), JPMorgan Chase Bank, N.A., as First Lien Administrative Agent (solely in such capacity,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 each other Revolving Lender, Swingline Lender and Issuing Bank (each as defined in the Credit Agreement), and, for purposes of Sections 8 and 10 hereof only, the other Loan Parties as of the date hereof.</w:t>
      </w:r>
    </w:p>
    <w:p>
      <w:pPr>
        <w:pStyle w:val="TextBody"/>
        <w:bidi w:val="0"/>
        <w:spacing w:before="109" w:after="283"/>
        <w:jc w:val="left"/>
        <w:rPr/>
      </w:pPr>
      <w:r>
        <w:rPr/>
      </w:r>
    </w:p>
    <w:p>
      <w:pPr>
        <w:pStyle w:val="TextBody"/>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RECITALS:</w:t>
      </w:r>
    </w:p>
    <w:p>
      <w:pPr>
        <w:pStyle w:val="TextBody"/>
        <w:bidi w:val="0"/>
        <w:spacing w:before="105" w:after="283"/>
        <w:jc w:val="left"/>
        <w:rPr/>
      </w:pPr>
      <w:r>
        <w:rPr/>
      </w:r>
    </w:p>
    <w:p>
      <w:pPr>
        <w:pStyle w:val="TextBody"/>
        <w:bidi w:val="0"/>
        <w:spacing w:lineRule="auto" w:line="288" w:before="1" w:after="283"/>
        <w:ind w:left="0" w:right="0" w:firstLine="1439"/>
        <w:jc w:val="both"/>
        <w:rPr/>
      </w:pPr>
      <w:r>
        <w:rPr>
          <w:rFonts w:ascii="Times New Roman;sans-serif" w:hAnsi="Times New Roman;sans-serif"/>
          <w:b w:val="false"/>
          <w:color w:val="000000"/>
          <w:sz w:val="22"/>
        </w:rPr>
        <w:t>WHEREAS, reference is made to the First Lien Credit Agreement dated as of December 13, 2019 (as amended by that certain Incremental Facility Amendment, dated as of December 17, 2020, as further amended by that certain Refinancing Amendment, dated as of January 20, 2021, as further amended by that certain Resignation, Consent and Appointment Agreement, dated as of January 20, 2021, as further amended by that certain Revolving Facilities Amendment, dated as of March 26, 2021, as further amended by that certain Amendment to First Lien Credit Agreement, dated as of December 23, 2021, as further amended by that certain Amendment to First Lien Credit Agreement, dated as of March 24, 2022, as further amended by that certain Incremental Facility Amendment No. 2 to First Lien Credit Agreement, dated as of March 21, 2023, as further amended by that certain Amendment to the First Lien Credit Agreement, dated as of June 22, 2023, as further amended by that certain Amendment No. 3 to First Lien Credit Agreement, dated as of March 1, 2024, as further amended by that certain Amendment No. 4 to First Lien Credit Agreement, dated as of May 30, 2024 and as further amended, supplemented or otherwise modified prior to the date hereof, the “</w:t>
      </w:r>
      <w:r>
        <w:rPr>
          <w:rFonts w:ascii="Times New Roman;sans-serif" w:hAnsi="Times New Roman;sans-serif"/>
          <w:b w:val="false"/>
          <w:color w:val="000000"/>
          <w:sz w:val="22"/>
          <w:u w:val="single"/>
        </w:rPr>
        <w:t>Existing Credit Agreement</w:t>
      </w:r>
      <w:r>
        <w:rPr>
          <w:color w:val="000000"/>
        </w:rPr>
        <w:t xml:space="preserve">” </w:t>
      </w:r>
      <w:r>
        <w:rPr>
          <w:rFonts w:ascii="Times New Roman;sans-serif" w:hAnsi="Times New Roman;sans-serif"/>
          <w:b w:val="false"/>
          <w:color w:val="000000"/>
          <w:sz w:val="22"/>
        </w:rPr>
        <w:t>and as amended by this Amendment, the “</w:t>
      </w:r>
      <w:r>
        <w:rPr>
          <w:rFonts w:ascii="Times New Roman;sans-serif" w:hAnsi="Times New Roman;sans-serif"/>
          <w:b w:val="false"/>
          <w:color w:val="000000"/>
          <w:sz w:val="22"/>
          <w:u w:val="single"/>
        </w:rPr>
        <w:t>Credit</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by and among Holdings, the Borrower, the lenders and issuing banks from time to time party thereto and the Administrative Agent;</w:t>
      </w:r>
    </w:p>
    <w:p>
      <w:pPr>
        <w:pStyle w:val="TextBody"/>
        <w:bidi w:val="0"/>
        <w:spacing w:lineRule="auto" w:line="288" w:before="252" w:after="283"/>
        <w:ind w:left="0" w:right="0" w:firstLine="1439"/>
        <w:jc w:val="both"/>
        <w:rPr/>
      </w:pPr>
      <w:r>
        <w:rPr>
          <w:rFonts w:ascii="Times New Roman;sans-serif" w:hAnsi="Times New Roman;sans-serif"/>
          <w:b w:val="false"/>
          <w:color w:val="000000"/>
          <w:sz w:val="22"/>
        </w:rPr>
        <w:t>WHEREAS, subject to the terms and conditions of the Existing Credit Agreement, and pursuant to Section 2.21 of the Existing Credit Agreement, the Borrower has requested that the 2025 Refinancing Revolving Lenders provide Other Revolving Commitments in an amount equal to the amount of Revolving Commitments outstanding as of the Amendment No. 5 Effective Date (the “</w:t>
      </w:r>
      <w:r>
        <w:rPr>
          <w:rFonts w:ascii="Times New Roman;sans-serif" w:hAnsi="Times New Roman;sans-serif"/>
          <w:b w:val="false"/>
          <w:color w:val="000000"/>
          <w:sz w:val="22"/>
          <w:u w:val="single"/>
        </w:rPr>
        <w:t>2025 Refinancing</w:t>
      </w:r>
      <w:r>
        <w:rPr>
          <w:color w:val="000000"/>
        </w:rPr>
        <w:t xml:space="preserve"> </w:t>
      </w:r>
      <w:r>
        <w:rPr>
          <w:rFonts w:ascii="Times New Roman;sans-serif" w:hAnsi="Times New Roman;sans-serif"/>
          <w:b w:val="false"/>
          <w:color w:val="000000"/>
          <w:sz w:val="22"/>
          <w:u w:val="single"/>
        </w:rPr>
        <w:t>Revolving Facility</w:t>
      </w:r>
      <w:r>
        <w:rPr>
          <w:color w:val="000000"/>
        </w:rPr>
        <w:t xml:space="preserve">” </w:t>
      </w:r>
      <w:r>
        <w:rPr>
          <w:rFonts w:ascii="Times New Roman;sans-serif" w:hAnsi="Times New Roman;sans-serif"/>
          <w:b w:val="false"/>
          <w:color w:val="000000"/>
          <w:sz w:val="22"/>
        </w:rPr>
        <w:t>and the commitments made thereunder, the “</w:t>
      </w:r>
      <w:r>
        <w:rPr>
          <w:rFonts w:ascii="Times New Roman;sans-serif" w:hAnsi="Times New Roman;sans-serif"/>
          <w:b w:val="false"/>
          <w:color w:val="000000"/>
          <w:sz w:val="22"/>
          <w:u w:val="single"/>
        </w:rPr>
        <w:t>2025 Refinancing Revolving</w:t>
      </w:r>
      <w:r>
        <w:rPr>
          <w:color w:val="000000"/>
        </w:rPr>
        <w:t xml:space="preserve"> </w:t>
      </w:r>
      <w:r>
        <w:rPr>
          <w:rFonts w:ascii="Times New Roman;sans-serif" w:hAnsi="Times New Roman;sans-serif"/>
          <w:b w:val="false"/>
          <w:color w:val="000000"/>
          <w:sz w:val="22"/>
          <w:u w:val="single"/>
        </w:rPr>
        <w:t>Commitments</w:t>
      </w:r>
      <w:r>
        <w:rPr>
          <w:color w:val="000000"/>
        </w:rPr>
        <w:t>”</w:t>
      </w:r>
      <w:r>
        <w:rPr>
          <w:rFonts w:ascii="Times New Roman;sans-serif" w:hAnsi="Times New Roman;sans-serif"/>
          <w:b w:val="false"/>
          <w:color w:val="000000"/>
          <w:sz w:val="22"/>
        </w:rPr>
        <w:t>) pursuant to a Refinancing Amendment;</w:t>
      </w:r>
    </w:p>
    <w:p>
      <w:pPr>
        <w:pStyle w:val="TextBody"/>
        <w:bidi w:val="0"/>
        <w:spacing w:before="0" w:after="0"/>
        <w:jc w:val="left"/>
        <w:rPr/>
      </w:pPr>
      <w:r>
        <w:rPr/>
      </w:r>
    </w:p>
    <w:p>
      <w:pPr>
        <w:pStyle w:val="TextBody"/>
        <w:bidi w:val="0"/>
        <w:spacing w:lineRule="auto" w:line="288" w:before="0" w:after="0"/>
        <w:ind w:left="0" w:right="0" w:firstLine="1439"/>
        <w:jc w:val="both"/>
        <w:rPr/>
      </w:pPr>
      <w:r>
        <w:rPr>
          <w:rFonts w:ascii="Times New Roman;sans-serif" w:hAnsi="Times New Roman;sans-serif"/>
          <w:b w:val="false"/>
          <w:color w:val="000000"/>
          <w:sz w:val="22"/>
        </w:rPr>
        <w:t>WHEREAS, it is intended that (a) the Borrower will obtain the 2025 Refinancing Revolving Commitments, (b) the Borrower will obtain the Amendment No. 5 Revolving Commitment Increase (as defined below), which may be used for general corporate purposes of the Borrower and its Subsidiaries and to fund any working capital needs (including for capital expenditures, Permitted Acquisitions, Permitted investments, Restricted Payments and any other transactions not prohibited by the First Lien Loan Documents) and (c) the Borrower will pay fees and expenses incurred in connection therewith (the transactions described in this paragraph, collectively, the “</w:t>
      </w:r>
      <w:r>
        <w:rPr>
          <w:rFonts w:ascii="Times New Roman;sans-serif" w:hAnsi="Times New Roman;sans-serif"/>
          <w:b w:val="false"/>
          <w:color w:val="000000"/>
          <w:sz w:val="22"/>
          <w:u w:val="single"/>
        </w:rPr>
        <w:t>Amendment No. 5 Transactions</w:t>
      </w:r>
      <w:r>
        <w:rPr>
          <w:color w:val="000000"/>
        </w:rPr>
        <w:t>”</w:t>
      </w:r>
      <w:r>
        <w:rPr>
          <w:rFonts w:ascii="Times New Roman;sans-serif" w:hAnsi="Times New Roman;sans-serif"/>
          <w:b w:val="false"/>
          <w:color w:val="000000"/>
          <w:sz w:val="22"/>
        </w:rPr>
        <w:t>);</w:t>
      </w:r>
    </w:p>
    <w:p>
      <w:pPr>
        <w:pStyle w:val="TextBody"/>
        <w:bidi w:val="0"/>
        <w:spacing w:before="215" w:after="283"/>
        <w:jc w:val="left"/>
        <w:rPr/>
      </w:pPr>
      <w:r>
        <w:rPr/>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95"/>
        <w:jc w:val="both"/>
        <w:rPr>
          <w:rFonts w:ascii="Times New Roman;sans-serif" w:hAnsi="Times New Roman;sans-serif"/>
          <w:b w:val="false"/>
          <w:color w:val="000000"/>
          <w:sz w:val="22"/>
        </w:rPr>
      </w:pPr>
      <w:r>
        <w:rPr>
          <w:rFonts w:ascii="Times New Roman;sans-serif" w:hAnsi="Times New Roman;sans-serif"/>
          <w:b w:val="false"/>
          <w:color w:val="000000"/>
          <w:sz w:val="22"/>
        </w:rPr>
        <w:t>WHEREAS, subject to the terms and conditions of the Existing Credit Agreement, and pursuant to Section 2.20 of the Existing Credit Agreement, the Borrower has requested that (a) the Incremental Amendment No. 5 Revolving Lenders provide an Incremental Revolving Commitment Increase to the 2025 Refinancing Revolving Commitments in an aggregate principal amount of</w:t>
      </w:r>
    </w:p>
    <w:p>
      <w:pPr>
        <w:pStyle w:val="TextBody"/>
        <w:bidi w:val="0"/>
        <w:spacing w:lineRule="auto" w:line="288" w:before="1" w:after="283"/>
        <w:jc w:val="both"/>
        <w:rPr/>
      </w:pPr>
      <w:r>
        <w:rPr>
          <w:rFonts w:ascii="Times New Roman;sans-serif" w:hAnsi="Times New Roman;sans-serif"/>
          <w:b w:val="false"/>
          <w:color w:val="000000"/>
          <w:sz w:val="22"/>
        </w:rPr>
        <w:t>$176,250,000.00 (the “</w:t>
      </w:r>
      <w:r>
        <w:rPr>
          <w:rFonts w:ascii="Times New Roman;sans-serif" w:hAnsi="Times New Roman;sans-serif"/>
          <w:b w:val="false"/>
          <w:color w:val="000000"/>
          <w:sz w:val="22"/>
          <w:u w:val="single"/>
        </w:rPr>
        <w:t>Amendment No. 5 Revolving Commitment Increase</w:t>
      </w:r>
      <w:r>
        <w:rPr>
          <w:color w:val="000000"/>
        </w:rPr>
        <w:t>”</w:t>
      </w:r>
      <w:r>
        <w:rPr>
          <w:rFonts w:ascii="Times New Roman;sans-serif" w:hAnsi="Times New Roman;sans-serif"/>
          <w:b w:val="false"/>
          <w:color w:val="000000"/>
          <w:sz w:val="22"/>
        </w:rPr>
        <w:t>) and (b) the Existing Credit Agreement be amended in the manner provided for herein;</w:t>
      </w:r>
    </w:p>
    <w:p>
      <w:pPr>
        <w:pStyle w:val="TextBody"/>
        <w:bidi w:val="0"/>
        <w:spacing w:lineRule="auto" w:line="288" w:before="252" w:after="283"/>
        <w:ind w:left="0" w:right="0" w:firstLine="1439"/>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full amount of the Amendment No. 5 Revolving Commitment Increase shall be incurred pursuant to clause (II)(a) of the definition of “Incremental Cap” in accordance with Section 2.20(a) of the First Lien Credit Agreement;</w:t>
      </w:r>
    </w:p>
    <w:p>
      <w:pPr>
        <w:pStyle w:val="TextBody"/>
        <w:bidi w:val="0"/>
        <w:spacing w:lineRule="auto" w:line="288" w:before="252" w:after="283"/>
        <w:ind w:left="0" w:right="0" w:firstLine="1439"/>
        <w:jc w:val="both"/>
        <w:rPr>
          <w:rFonts w:ascii="Times New Roman;sans-serif" w:hAnsi="Times New Roman;sans-serif"/>
          <w:b w:val="false"/>
          <w:color w:val="000000"/>
          <w:sz w:val="22"/>
        </w:rPr>
      </w:pPr>
      <w:r>
        <w:rPr>
          <w:rFonts w:ascii="Times New Roman;sans-serif" w:hAnsi="Times New Roman;sans-serif"/>
          <w:b w:val="false"/>
          <w:color w:val="000000"/>
          <w:sz w:val="22"/>
        </w:rPr>
        <w:t>WHEREAS, (a) the 2025 Refinancing Revolving Lenders are willing to provide the 2025 Refinancing Revolving Commitments on the Amendment No. 5 Effective Date, (b) the Incremental Amendment No. 5 Revolving Lenders are willing to provide, immediately following the effectiveness of the 2025 Refinancing Revolving Commitments, the Amendment No. 5 Revolving Commitment Increase on the Amendment No. 5 Effective Date and (c) and the parties hereto wish to amend the Existing Credit Agreement on the terms and subject to the conditions set forth herein and in the Credit Agreement; and</w:t>
      </w:r>
    </w:p>
    <w:p>
      <w:pPr>
        <w:pStyle w:val="TextBody"/>
        <w:bidi w:val="0"/>
        <w:spacing w:before="0" w:after="0"/>
        <w:jc w:val="left"/>
        <w:rPr/>
      </w:pPr>
      <w:r>
        <w:rPr/>
      </w:r>
    </w:p>
    <w:p>
      <w:pPr>
        <w:pStyle w:val="TextBody"/>
        <w:bidi w:val="0"/>
        <w:spacing w:lineRule="auto" w:line="288" w:before="0" w:after="0"/>
        <w:ind w:left="0" w:right="0" w:firstLine="1439"/>
        <w:jc w:val="both"/>
        <w:rPr/>
      </w:pPr>
      <w:r>
        <w:rPr>
          <w:rFonts w:ascii="Times New Roman;sans-serif" w:hAnsi="Times New Roman;sans-serif"/>
          <w:b w:val="false"/>
          <w:color w:val="000000"/>
          <w:sz w:val="22"/>
        </w:rPr>
        <w:t>WHEREAS, J.P. Morgan Securities LLC, Citibank, N.A., Goldman Sachs Bank USA, Goldman Sachs Lending Partners LLC, RBC Capital Markets</w:t>
      </w:r>
      <w:hyperlink w:anchor="idd128984f650445ba1ea4c3ce6e0ca9b_1">
        <w:r>
          <w:rPr>
            <w:rStyle w:val="InternetLink"/>
            <w:rFonts w:ascii="Times New Roman;sans-serif" w:hAnsi="Times New Roman;sans-serif"/>
            <w:b w:val="false"/>
            <w:strike w:val="false"/>
            <w:dstrike w:val="false"/>
            <w:color w:val="000000"/>
            <w:sz w:val="14"/>
            <w:u w:val="none"/>
            <w:effect w:val="none"/>
          </w:rPr>
          <w:t>1,</w:t>
        </w:r>
      </w:hyperlink>
      <w:r>
        <w:rPr>
          <w:color w:val="000000"/>
        </w:rPr>
        <w:t xml:space="preserve"> </w:t>
      </w:r>
      <w:r>
        <w:rPr>
          <w:rFonts w:ascii="Times New Roman;sans-serif" w:hAnsi="Times New Roman;sans-serif"/>
          <w:b w:val="false"/>
          <w:color w:val="000000"/>
          <w:sz w:val="22"/>
        </w:rPr>
        <w:t>Barclays Bank PLC, Citizens Bank, N.A., KeyBanc Capital Markets Inc., Banco Santander, S.A., New York Branch, BNP Paribas Securities Corp. and Jefferies Finance LLC shall each act as a joint lead arranger and joint bookrunner in connection with this Amendment, the 2025 Refinancing Revolving Commitments and the Amendment No. 5 Revolving Commitment Increase (in such capacity, the “</w:t>
      </w:r>
      <w:r>
        <w:rPr>
          <w:rFonts w:ascii="Times New Roman;sans-serif" w:hAnsi="Times New Roman;sans-serif"/>
          <w:b w:val="false"/>
          <w:color w:val="000000"/>
          <w:sz w:val="22"/>
          <w:u w:val="single"/>
        </w:rPr>
        <w:t>Amendment No. 5 Arrangers</w:t>
      </w:r>
      <w:r>
        <w:rPr>
          <w:color w:val="000000"/>
        </w:rPr>
        <w:t>”</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88" w:before="0" w:after="0"/>
        <w:ind w:left="0" w:right="0" w:firstLine="1439"/>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mutual agreements herein contained and other good and valuable consideration, the sufficiency and receipt of which are hereby acknowledged, the parties hereto agree as follows:</w:t>
      </w:r>
    </w:p>
    <w:p>
      <w:pPr>
        <w:pStyle w:val="TextBody"/>
        <w:bidi w:val="0"/>
        <w:spacing w:lineRule="auto" w:line="280" w:before="240" w:after="283"/>
        <w:ind w:left="0" w:right="0" w:firstLine="1439"/>
        <w:jc w:val="both"/>
        <w:rPr/>
      </w:pPr>
      <w:r>
        <w:rPr>
          <w:rFonts w:ascii="Times New Roman;sans-serif" w:hAnsi="Times New Roman;sans-serif"/>
          <w:b w:val="false"/>
          <w:color w:val="000000"/>
          <w:sz w:val="22"/>
        </w:rPr>
        <w:t xml:space="preserve">SECTION 1. </w:t>
      </w:r>
      <w:r>
        <w:rPr>
          <w:rFonts w:ascii="Times New Roman;sans-serif" w:hAnsi="Times New Roman;sans-serif"/>
          <w:b/>
          <w:i/>
          <w:color w:val="000000"/>
          <w:sz w:val="22"/>
        </w:rPr>
        <w:t>Defined Terms; Interpretation; Etc</w:t>
      </w:r>
      <w:r>
        <w:rPr>
          <w:rFonts w:ascii="Times New Roman;sans-serif" w:hAnsi="Times New Roman;sans-serif"/>
          <w:b w:val="false"/>
          <w:color w:val="000000"/>
          <w:sz w:val="22"/>
        </w:rPr>
        <w:t>. Capitalized terms used and not defined herein shall have the meanings assigned to such terms in the Existing Credit Agreement. This Amendment is a “Refinancing Amendment”, an “Incremental Facility Amendment” and a “First Lien Loan Document”, each as defined in the Credit Agreement.</w:t>
      </w:r>
    </w:p>
    <w:p>
      <w:pPr>
        <w:pStyle w:val="TextBody"/>
        <w:bidi w:val="0"/>
        <w:spacing w:lineRule="auto" w:line="288" w:before="230" w:after="283"/>
        <w:ind w:left="0" w:right="0" w:firstLine="1439"/>
        <w:jc w:val="both"/>
        <w:rPr/>
      </w:pPr>
      <w:r>
        <w:rPr>
          <w:rFonts w:ascii="Times New Roman;sans-serif" w:hAnsi="Times New Roman;sans-serif"/>
          <w:b w:val="false"/>
          <w:color w:val="000000"/>
          <w:sz w:val="22"/>
        </w:rPr>
        <w:t xml:space="preserve">SECTION 2. </w:t>
      </w:r>
      <w:r>
        <w:rPr>
          <w:rFonts w:ascii="Times New Roman;sans-serif" w:hAnsi="Times New Roman;sans-serif"/>
          <w:b/>
          <w:i/>
          <w:color w:val="000000"/>
          <w:sz w:val="22"/>
        </w:rPr>
        <w:t>Amendments</w:t>
      </w:r>
      <w:r>
        <w:rPr>
          <w:rFonts w:ascii="Times New Roman;sans-serif" w:hAnsi="Times New Roman;sans-serif"/>
          <w:b w:val="false"/>
          <w:color w:val="000000"/>
          <w:sz w:val="22"/>
        </w:rPr>
        <w:t xml:space="preserve">. Each of the parties hereto agrees that, effective on the Amendment No. 5 Effective Date, the Existing Credit Agreement is hereby amended to delete the stricken text (indicated textually in the same manner as the following example: </w:t>
      </w:r>
      <w:r>
        <w:rPr>
          <w:rFonts w:ascii="Times New Roman;sans-serif" w:hAnsi="Times New Roman;sans-serif"/>
          <w:b w:val="false"/>
          <w:strike/>
          <w:color w:val="FF0000"/>
          <w:sz w:val="22"/>
        </w:rPr>
        <w:t>stricken text</w:t>
      </w:r>
      <w:r>
        <w:rPr>
          <w:rFonts w:ascii="Times New Roman;sans-serif" w:hAnsi="Times New Roman;sans-serif"/>
          <w:b w:val="false"/>
          <w:color w:val="000000"/>
          <w:sz w:val="22"/>
        </w:rPr>
        <w:t xml:space="preserve">) and to add the double- underlined text (indicated textually in the same manner as the following example: </w:t>
      </w:r>
      <w:r>
        <w:rPr>
          <w:rFonts w:ascii="Times New Roman;sans-serif" w:hAnsi="Times New Roman;sans-serif"/>
          <w:b w:val="false"/>
          <w:color w:val="0000FF"/>
          <w:sz w:val="22"/>
          <w:u w:val="single"/>
        </w:rPr>
        <w:t>double-underlined text</w:t>
      </w:r>
      <w:r>
        <w:rPr>
          <w:rFonts w:ascii="Times New Roman;sans-serif" w:hAnsi="Times New Roman;sans-serif"/>
          <w:b w:val="false"/>
          <w:color w:val="000000"/>
          <w:sz w:val="22"/>
        </w:rPr>
        <w:t xml:space="preserve">) as set forth in </w:t>
      </w:r>
      <w:r>
        <w:rPr>
          <w:rFonts w:ascii="Times New Roman;sans-serif" w:hAnsi="Times New Roman;sans-serif"/>
          <w:b w:val="false"/>
          <w:color w:val="000000"/>
          <w:sz w:val="22"/>
          <w:u w:val="single"/>
        </w:rPr>
        <w:t>Annex A</w:t>
      </w:r>
      <w:r>
        <w:rPr>
          <w:color w:val="000000"/>
        </w:rPr>
        <w:t xml:space="preserve"> </w:t>
      </w:r>
      <w:r>
        <w:rPr>
          <w:rFonts w:ascii="Times New Roman;sans-serif" w:hAnsi="Times New Roman;sans-serif"/>
          <w:b w:val="false"/>
          <w:color w:val="000000"/>
          <w:sz w:val="22"/>
        </w:rPr>
        <w:t xml:space="preserve">attached hereto. Except as expressly set forth in this Amendment, the 2025 Refinancing Revolving Commitments and the Incremental Amendment No. 5 Revolving Commitment Increase shall otherwise be subject to the provisions of the Credit Agreement and the other First Lien Loan Documents. Solely with respect to the Revolving Facility, Schedule 2.01 to the Credit Agreement shall be amended and restated in its entirety as set forth in </w:t>
      </w:r>
      <w:r>
        <w:rPr>
          <w:rFonts w:ascii="Times New Roman;sans-serif" w:hAnsi="Times New Roman;sans-serif"/>
          <w:b w:val="false"/>
          <w:color w:val="000000"/>
          <w:sz w:val="22"/>
          <w:u w:val="single"/>
        </w:rPr>
        <w:t>Annex B</w:t>
      </w:r>
      <w:r>
        <w:rPr>
          <w:color w:val="000000"/>
        </w:rPr>
        <w:t xml:space="preserve"> </w:t>
      </w:r>
      <w:r>
        <w:rPr>
          <w:rFonts w:ascii="Times New Roman;sans-serif" w:hAnsi="Times New Roman;sans-serif"/>
          <w:b w:val="false"/>
          <w:color w:val="000000"/>
          <w:sz w:val="22"/>
        </w:rPr>
        <w:t>attached hereto.</w:t>
      </w:r>
    </w:p>
    <w:p>
      <w:pPr>
        <w:pStyle w:val="TextBody"/>
        <w:bidi w:val="0"/>
        <w:spacing w:before="1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SECTION 3. </w:t>
      </w:r>
      <w:r>
        <w:rPr>
          <w:rFonts w:ascii="Times New Roman;sans-serif" w:hAnsi="Times New Roman;sans-serif"/>
          <w:b/>
          <w:i/>
          <w:color w:val="000000"/>
          <w:sz w:val="22"/>
        </w:rPr>
        <w:t>Refinancing Revolving Commitments</w:t>
      </w:r>
      <w:r>
        <w:rPr>
          <w:rFonts w:ascii="Times New Roman;sans-serif" w:hAnsi="Times New Roman;sans-serif"/>
          <w:b w:val="false"/>
          <w:color w:val="000000"/>
          <w:sz w:val="22"/>
        </w:rPr>
        <w:t>.</w:t>
      </w:r>
    </w:p>
    <w:p>
      <w:pPr>
        <w:pStyle w:val="TextBody"/>
        <w:bidi w:val="0"/>
        <w:spacing w:lineRule="auto" w:line="288" w:before="237"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(a)Each 2025 Refinancing Revolving Lender hereby agrees, severally and not jointly, to provide a portion of the 2025 Refinancing Revolving Commitments under the 2025 Refinancing Revolving Facility to</w:t>
      </w:r>
    </w:p>
    <w:p>
      <w:pPr>
        <w:pStyle w:val="TextBody"/>
        <w:bidi w:val="0"/>
        <w:spacing w:before="1" w:after="283"/>
        <w:jc w:val="left"/>
        <w:rPr/>
      </w:pPr>
      <w:r>
        <w:rPr/>
      </w:r>
    </w:p>
    <w:p>
      <w:pPr>
        <w:pStyle w:val="TextBody"/>
        <w:bidi w:val="0"/>
        <w:spacing w:lineRule="auto" w:line="288" w:before="99"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RBC Capital Markets is a marketing name for the capital markets activities of Royal Bank of Canada and its affiliates.</w: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3</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the Borrower on the Amendment No. 5 Effective Date in an aggregate principal amount equal to the amount set forth opposite such Amendment No. 5 Revolving Lender’s name on </w:t>
      </w:r>
      <w:r>
        <w:rPr>
          <w:rFonts w:ascii="Times New Roman;sans-serif" w:hAnsi="Times New Roman;sans-serif"/>
          <w:b w:val="false"/>
          <w:color w:val="000000"/>
          <w:sz w:val="22"/>
          <w:u w:val="single"/>
        </w:rPr>
        <w:t>Schedule I</w:t>
      </w:r>
      <w:r>
        <w:rPr>
          <w:color w:val="000000"/>
        </w:rPr>
        <w:t xml:space="preserve"> </w:t>
      </w:r>
      <w:r>
        <w:rPr>
          <w:rFonts w:ascii="Times New Roman;sans-serif" w:hAnsi="Times New Roman;sans-serif"/>
          <w:b w:val="false"/>
          <w:color w:val="000000"/>
          <w:sz w:val="22"/>
        </w:rPr>
        <w:t>attached hereto, on the terms set forth herein and in the Credit Agreement, and subject to the conditions set forth below. The 2025 Refinancing Revolving Commitments are “Other Revolving Commitments” as contemplated by Section 2.21 of the Credit Agreement and shall be deemed to be “Revolving Commitments” and “Credit Agreement Refinancing Indebtedness” as defined in the Credit Agreement for all purposes of the Credit Agreement and the other First Lien Loan Documents having terms and provisions identical to those applicable to the Revolving Commitments outstanding on the date hereof immediately prior to the Amendment No. 5 Effective Date (the “</w:t>
      </w:r>
      <w:r>
        <w:rPr>
          <w:rFonts w:ascii="Times New Roman;sans-serif" w:hAnsi="Times New Roman;sans-serif"/>
          <w:b w:val="false"/>
          <w:color w:val="000000"/>
          <w:sz w:val="22"/>
          <w:u w:val="single"/>
        </w:rPr>
        <w:t>Existing Revolving</w:t>
      </w:r>
      <w:r>
        <w:rPr>
          <w:color w:val="000000"/>
        </w:rPr>
        <w:t xml:space="preserve"> </w:t>
      </w:r>
      <w:r>
        <w:rPr>
          <w:rFonts w:ascii="Times New Roman;sans-serif" w:hAnsi="Times New Roman;sans-serif"/>
          <w:b w:val="false"/>
          <w:color w:val="000000"/>
          <w:sz w:val="22"/>
          <w:u w:val="single"/>
        </w:rPr>
        <w:t>Commitments</w:t>
      </w:r>
      <w:r>
        <w:rPr>
          <w:color w:val="000000"/>
        </w:rPr>
        <w:t>”</w:t>
      </w:r>
      <w:r>
        <w:rPr>
          <w:rFonts w:ascii="Times New Roman;sans-serif" w:hAnsi="Times New Roman;sans-serif"/>
          <w:b w:val="false"/>
          <w:color w:val="000000"/>
          <w:sz w:val="22"/>
        </w:rPr>
        <w:t>) except as otherwise set forth in this Amendment. Letters of Credit issued under the Existing Credit Agreement and outstanding immediately prior to the Amendment No. 5 Effective Date will remain outstanding under the 2025 Refinancing Revolving Facility.</w:t>
      </w:r>
    </w:p>
    <w:p>
      <w:pPr>
        <w:pStyle w:val="TextBody"/>
        <w:bidi w:val="0"/>
        <w:spacing w:lineRule="auto" w:line="288" w:before="24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(b)Any Revolving Loans outstanding as of the Amendment No. 5 Effective Date, together with any accrued interest and other amounts owing with respect thereto, shall be repaid or paid, as applicable, on the Amendment No. 5 Effective Date and any Existing Revolving Commitments outstanding as of the Amendment No. 5 Effective Date shall be terminated in full and replaced with the 2025 Refinancing Revolving Commitments (it being understood that the proceeds of Revolving Loans under the 2025 Refinancing Revolving Commitments may be used for such repayment and payment, as applicable); provided that, for the avoidance of doubt, the parties hereto agree that the notice requirements with respect to the prepayments under the Credit Agreement shall not apply to the transactions effected pursuant to this Section 3(b).</w:t>
      </w:r>
    </w:p>
    <w:p>
      <w:pPr>
        <w:pStyle w:val="TextBody"/>
        <w:bidi w:val="0"/>
        <w:spacing w:lineRule="auto" w:line="288" w:before="239"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(c)Each 2025 Refinancing Revolving Lender (i) confirms that a copy of the Credit Agreement and the other applicable First Lien Loan Documents, together with copies of the financial statements referred to therein and such other documents and information as it has deemed appropriate to make its own credit analysis and decision to enter into this Amendment and provide the 2025 Refinancing Revolving Commitments, have been made available to such 2025 Refinancing Revolving Lender; (ii) agrees that it will (together with any affiliates that it acts through as it deems appropriate), independently and without reliance upon the Administrative Agent, or any other Lender or agent and based on such documents and information as it shall deem appropriate at the time, continue to make its own credit decisions in taking or not taking action under the Credit Agreement or the other applicable First Lien Loan Documents, including this Amendment; (iii) appoints and authorizes the Administrative Agent and the Collateral Agent to take such action as agent on its behalf and to exercise such powers under the Credit Agreement and the other First Lien Loan Documents as are delegated to the Administrative Agent and the Collateral Agent, as the case may be, by the terms thereof, together with such powers as are reasonably incidental thereto; and (iv) acknowledges and agrees that on the Amendment No. 5 Effective Date (x) such 2025 Refinancing Revolving Lender shall be a “Lender” and an “Additional Revolving Lender” under, and for all purposes of, the Credit Agreement and the other </w: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4</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39"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First Lien Loan Documents, and shall be subject to and bound by the terms thereof, and shall perform all the obligations of and shall have all rights of a Lender and an Additional Revolving Lender thereunder and</w:t>
      </w:r>
    </w:p>
    <w:p>
      <w:pPr>
        <w:pStyle w:val="TextBody"/>
        <w:bidi w:val="0"/>
        <w:spacing w:lineRule="auto" w:line="288"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(y) such 2025 Refinancing Revolving Lender shall be an “Issuing Bank” under, and for all purposes of, the Credit Agreement and the other First Lien Loan Documents, and shall be subject to and bound by the terms thereof, and shall perform all the obligations and have all the rights of an Issuing Bank thereunder.</w:t>
      </w:r>
    </w:p>
    <w:p>
      <w:pPr>
        <w:pStyle w:val="TextBody"/>
        <w:bidi w:val="0"/>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(d)To the extent their respective consent is required under Section 9.04(b) of the Credit Agreement, each of the Administrative Agent, the Borrower, each Issuing Bank and the Swingline Lender hereby consents to the 2025 Refinancing Revolving Lenders.</w:t>
      </w:r>
    </w:p>
    <w:p>
      <w:pPr>
        <w:pStyle w:val="TextBody"/>
        <w:bidi w:val="0"/>
        <w:spacing w:lineRule="auto" w:line="288" w:before="241" w:after="283"/>
        <w:jc w:val="center"/>
        <w:rPr/>
      </w:pPr>
      <w:r>
        <w:rPr>
          <w:rFonts w:ascii="Times New Roman;sans-serif" w:hAnsi="Times New Roman;sans-serif"/>
          <w:b w:val="false"/>
          <w:color w:val="000000"/>
          <w:sz w:val="22"/>
        </w:rPr>
        <w:t xml:space="preserve">SECTION 4. </w:t>
      </w:r>
      <w:r>
        <w:rPr>
          <w:rFonts w:ascii="Times New Roman;sans-serif" w:hAnsi="Times New Roman;sans-serif"/>
          <w:b/>
          <w:i/>
          <w:color w:val="000000"/>
          <w:sz w:val="22"/>
        </w:rPr>
        <w:t>Incremental Revolving Commitment Increase</w:t>
      </w:r>
      <w:r>
        <w:rPr>
          <w:rFonts w:ascii="Times New Roman;sans-serif" w:hAnsi="Times New Roman;sans-serif"/>
          <w:b w:val="false"/>
          <w:color w:val="000000"/>
          <w:sz w:val="22"/>
        </w:rPr>
        <w:t>.</w:t>
      </w:r>
    </w:p>
    <w:p>
      <w:pPr>
        <w:pStyle w:val="TextBody"/>
        <w:bidi w:val="0"/>
        <w:spacing w:lineRule="auto" w:line="288" w:before="239" w:after="283"/>
        <w:ind w:left="0" w:right="0" w:firstLine="720"/>
        <w:jc w:val="both"/>
        <w:rPr/>
      </w:pPr>
      <w:r>
        <w:rPr>
          <w:rFonts w:ascii="Times New Roman;sans-serif" w:hAnsi="Times New Roman;sans-serif"/>
          <w:b w:val="false"/>
          <w:color w:val="000000"/>
          <w:sz w:val="22"/>
        </w:rPr>
        <w:t xml:space="preserve">(a)Each Incremental Amendment No. 5 Revolving Lender hereby agrees, severally and not jointly, to provide, immediately following the effectiveness of the 2025 Refinancing Revolving Commitments, a portion of the Amendment No. 5 Revolving Commitment Increase to the Borrower on the Amendment No. 5 Effective Date, in an aggregate principal amount equal to the amount set forth opposite such Amendment No. 5 Revolving Lender’s name on </w:t>
      </w:r>
      <w:r>
        <w:rPr>
          <w:rFonts w:ascii="Times New Roman;sans-serif" w:hAnsi="Times New Roman;sans-serif"/>
          <w:b w:val="false"/>
          <w:color w:val="000000"/>
          <w:sz w:val="22"/>
          <w:u w:val="single"/>
        </w:rPr>
        <w:t>Schedule I</w:t>
      </w:r>
      <w:r>
        <w:rPr>
          <w:color w:val="000000"/>
        </w:rPr>
        <w:t xml:space="preserve"> </w:t>
      </w:r>
      <w:r>
        <w:rPr>
          <w:rFonts w:ascii="Times New Roman;sans-serif" w:hAnsi="Times New Roman;sans-serif"/>
          <w:b w:val="false"/>
          <w:color w:val="000000"/>
          <w:sz w:val="22"/>
        </w:rPr>
        <w:t>attached hereto, on the terms set forth herein and in the Credit Agreement and subject to the conditions set forth below. The Amendment No. 5 Revolving Commitment Increase is an Incremental Revolving Commitment Increase as contemplated by Section 2.20 of the Credit Agreement and shall be deemed to be an “Incremental Revolving Commitment Increase” to the 2025 Refinancing Revolving Facility as defined in the Credit Agreement for all purposes of the Credit Agreement and the other First Lien Loan Documents constituting the same Class as, and having terms and provisions identical to those applicable to, the 2025 Refinancing Revolving Commitments under the Credit Agreement immediately prior to the effectiveness of such Incremental Revolving Commitment Increase on the Amendment No. 5 Effective Date.</w:t>
      </w:r>
    </w:p>
    <w:p>
      <w:pPr>
        <w:pStyle w:val="TextBody"/>
        <w:bidi w:val="0"/>
        <w:spacing w:lineRule="auto" w:line="288" w:before="215" w:after="283"/>
        <w:ind w:left="0" w:right="0" w:firstLine="720"/>
        <w:jc w:val="both"/>
        <w:rPr/>
      </w:pPr>
      <w:r>
        <w:rPr>
          <w:rFonts w:ascii="Times New Roman;sans-serif" w:hAnsi="Times New Roman;sans-serif"/>
          <w:b w:val="false"/>
          <w:color w:val="000000"/>
          <w:sz w:val="22"/>
        </w:rPr>
        <w:t xml:space="preserve">(b)On the effectiveness of the Amendment No. 5 Revolving Commitment Increase, each existing Revolving Lender immediately prior thereto will automatically and without further act be deemed to have assigned to each Incremental Amendment No. 5 Revolving Lender, and each such Incremental Amendment No. 5 Revolving Lender will automatically and without further act be deemed to have assumed, a portion of such existing Revolving Lender’s participations under the Credit Agreement in outstanding Letters of Credit such that, after giving effect to such Amendment No. 5 Revolving Commitment Increase and each such deemed assignment and assumption of participations, (i) each such existing Revolving Lender and Incremental Amendment No. 5 Revolving Lender holds a percentage of the aggregate outstanding participations in Letters of Credit in accordance with its Applicable Percentage and (ii) each such existing Revolving Lender’s and Incremental Amendment No. 5 Revolving Lender’s LC Commitment shall be an amount equal to the amount set forth opposite such existing Revolving Lender’s name on </w:t>
      </w:r>
      <w:r>
        <w:rPr>
          <w:rFonts w:ascii="Times New Roman;sans-serif" w:hAnsi="Times New Roman;sans-serif"/>
          <w:b w:val="false"/>
          <w:color w:val="000000"/>
          <w:sz w:val="22"/>
          <w:u w:val="single"/>
        </w:rPr>
        <w:t>Schedule I</w:t>
      </w:r>
      <w:r>
        <w:rPr>
          <w:color w:val="000000"/>
        </w:rPr>
        <w:t xml:space="preserve"> </w:t>
      </w:r>
      <w:r>
        <w:rPr>
          <w:rFonts w:ascii="Times New Roman;sans-serif" w:hAnsi="Times New Roman;sans-serif"/>
          <w:b w:val="false"/>
          <w:color w:val="000000"/>
          <w:sz w:val="22"/>
        </w:rPr>
        <w:t xml:space="preserve">attached 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for avoidance of doubt, the parties hereto agree that </w: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5</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15"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minimum borrowing and prepayment requirements in Credit Agreement shall not apply to the transactions effected pursuant to this Section 4(b).</w:t>
      </w:r>
    </w:p>
    <w:p>
      <w:pPr>
        <w:pStyle w:val="TextBody"/>
        <w:bidi w:val="0"/>
        <w:spacing w:lineRule="atLeast" w:line="252" w:before="240" w:after="283"/>
        <w:ind w:left="0" w:right="0" w:hanging="352"/>
        <w:jc w:val="both"/>
        <w:rPr>
          <w:rFonts w:ascii="Times New Roman;sans-serif" w:hAnsi="Times New Roman;sans-serif"/>
          <w:b w:val="false"/>
          <w:color w:val="000000"/>
          <w:sz w:val="22"/>
        </w:rPr>
      </w:pPr>
      <w:r>
        <w:rPr>
          <w:rFonts w:ascii="Times New Roman;sans-serif" w:hAnsi="Times New Roman;sans-serif"/>
          <w:b w:val="false"/>
          <w:color w:val="000000"/>
          <w:sz w:val="22"/>
        </w:rPr>
        <w:t>(c)Each Incremental Amendment No. 5 Revolving Lender</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confirms that a copy of the Credit Agreement and the other applicable First Lien Loan Documents, together with copies of the financial statements referred to therein and such other documents and information as it has deemed appropriate to make its own credit analysis and decision to enter into this Amendment and provide the Amendment No. 5 Revolving Commitment Increase, have been made available to such Incremental Amendment No. 5 Revolving Lender; (ii) agrees that it will (together with any affiliates that it acts through as it deems appropriate), independently and without reliance upon the Administrative Agent, the Amendment No. 5 Arrangers or any other Lender or agent and based on such documents and information as it shall deem appropriate at the time, continue to make its own credit decisions in taking or not taking action under the Credit Agreement or the other applicable First Lien Loan Documents, including this Amendment; (iii) appoints and authorizes the Administrative Agent and the Collateral Agent to take such action as agent on its behalf and to exercise such powers under the Credit Agreement and the other First Lien Loan Documents as are delegated to the Administrative Agent and the Collateral Agent, as the case may be, by the terms thereof, together with such powers as are reasonably incidental thereto; and (iv) acknowledges and agrees that on the Amendment No. 5 Effective Date such Incremental Amendment Revolving Lender shall be a “Lender” and an “Additional Revolving Lender” under, and for all purposes of, the Credit Agreement and the other First Lien Loan Documents, and shall be subject to and bound by the terms thereof, and shall perform all the obligations of and shall have all rights of a Lender and an Additional Revolving Lender thereunder.</w:t>
      </w:r>
    </w:p>
    <w:p>
      <w:pPr>
        <w:pStyle w:val="TextBody"/>
        <w:bidi w:val="0"/>
        <w:spacing w:lineRule="auto" w:line="288" w:before="242" w:after="283"/>
        <w:ind w:left="0" w:right="0" w:firstLine="1439"/>
        <w:jc w:val="both"/>
        <w:rPr/>
      </w:pPr>
      <w:r>
        <w:rPr>
          <w:rFonts w:ascii="Times New Roman;sans-serif" w:hAnsi="Times New Roman;sans-serif"/>
          <w:b w:val="false"/>
          <w:color w:val="000000"/>
          <w:sz w:val="22"/>
        </w:rPr>
        <w:t xml:space="preserve">SECTION 5. </w:t>
      </w:r>
      <w:r>
        <w:rPr>
          <w:rFonts w:ascii="Times New Roman;sans-serif" w:hAnsi="Times New Roman;sans-serif"/>
          <w:b/>
          <w:i/>
          <w:color w:val="000000"/>
          <w:sz w:val="22"/>
        </w:rPr>
        <w:t>Type of Amendments; Notice</w:t>
      </w:r>
      <w:r>
        <w:rPr>
          <w:rFonts w:ascii="Times New Roman;sans-serif" w:hAnsi="Times New Roman;sans-serif"/>
          <w:b w:val="false"/>
          <w:color w:val="000000"/>
          <w:sz w:val="22"/>
        </w:rPr>
        <w:t>. The Borrower, the Administrative Agent and the Issuing Banks hereby agree that all amendments set forth herein are, in the reasonable opinion of the Administrative Agent, the Borrower and the Issuing Banks, necessary to effectuate the provisions of Section</w:t>
      </w:r>
    </w:p>
    <w:p>
      <w:pPr>
        <w:pStyle w:val="TextBody"/>
        <w:bidi w:val="0"/>
        <w:spacing w:lineRule="auto" w:line="28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2.20 and Section 2.21 of the Credit Agreement. The parties also agree that this Amendment shall constitute notice to each Lender by the Administrative Agent as required by Section 2.20, Section 2.21 and 2.24(a) of the Credit Agreement.</w:t>
      </w:r>
    </w:p>
    <w:p>
      <w:pPr>
        <w:pStyle w:val="TextBody"/>
        <w:bidi w:val="0"/>
        <w:spacing w:lineRule="auto" w:line="288" w:before="231" w:after="283"/>
        <w:ind w:left="0" w:right="0" w:firstLine="1439"/>
        <w:jc w:val="both"/>
        <w:rPr/>
      </w:pPr>
      <w:r>
        <w:rPr>
          <w:rFonts w:ascii="Times New Roman;sans-serif" w:hAnsi="Times New Roman;sans-serif"/>
          <w:b w:val="false"/>
          <w:color w:val="000000"/>
          <w:sz w:val="22"/>
        </w:rPr>
        <w:t xml:space="preserve">SECTION 6. </w:t>
      </w:r>
      <w:r>
        <w:rPr>
          <w:rFonts w:ascii="Times New Roman;sans-serif" w:hAnsi="Times New Roman;sans-serif"/>
          <w:b/>
          <w:i/>
          <w:color w:val="000000"/>
          <w:sz w:val="22"/>
        </w:rPr>
        <w:t>Conditions to the Effectiveness of the 2025 Refinancing Revolving Commitments and Amendment No. 5 Revolving Commitment Increase</w:t>
      </w:r>
      <w:r>
        <w:rPr>
          <w:rFonts w:ascii="Times New Roman;sans-serif" w:hAnsi="Times New Roman;sans-serif"/>
          <w:b w:val="false"/>
          <w:color w:val="000000"/>
          <w:sz w:val="22"/>
        </w:rPr>
        <w:t>. This Amendment, and each 2025 Refinancing Revolving Lender and Incremental Amendment No. 5 Revolving Lender’s obligation to provide the 2025 Refinancing Revolving Commitments and Amendment No. 5 Revolving Commitment Increase pursuant to this Amendment, shall become effective as of the date on which the following conditions precedent are satisfied or waived by the Refinancing Revolving Lenders (such date, the “</w:t>
      </w:r>
      <w:r>
        <w:rPr>
          <w:rFonts w:ascii="Times New Roman;sans-serif" w:hAnsi="Times New Roman;sans-serif"/>
          <w:b w:val="false"/>
          <w:color w:val="000000"/>
          <w:sz w:val="22"/>
          <w:u w:val="single"/>
        </w:rPr>
        <w:t>Amendment No. 5 Effective Date</w:t>
      </w:r>
      <w:r>
        <w:rPr>
          <w:color w:val="000000"/>
        </w:rPr>
        <w:t>”</w:t>
      </w:r>
      <w:r>
        <w:rPr>
          <w:rFonts w:ascii="Times New Roman;sans-serif" w:hAnsi="Times New Roman;sans-serif"/>
          <w:b w:val="false"/>
          <w:color w:val="000000"/>
          <w:sz w:val="22"/>
        </w:rPr>
        <w:t>):</w:t>
      </w:r>
    </w:p>
    <w:p>
      <w:pPr>
        <w:pStyle w:val="TextBody"/>
        <w:bidi w:val="0"/>
        <w:spacing w:lineRule="auto" w:line="288" w:before="215" w:after="283"/>
        <w:jc w:val="both"/>
        <w:rPr>
          <w:rFonts w:ascii="Times New Roman;sans-serif" w:hAnsi="Times New Roman;sans-serif"/>
          <w:b w:val="false"/>
          <w:color w:val="000000"/>
          <w:sz w:val="22"/>
        </w:rPr>
      </w:pPr>
      <w:r>
        <w:rPr>
          <w:rFonts w:ascii="Times New Roman;sans-serif" w:hAnsi="Times New Roman;sans-serif"/>
          <w:b w:val="false"/>
          <w:color w:val="000000"/>
          <w:sz w:val="22"/>
        </w:rPr>
        <w:t>(a)The Administrative Agent (or its counsel) shall have received from Holdings, the Borrower, each other Loan Party and each Amendment No. 5 Revolving Lender and Issuing Bank and the Swingline Lender either (i) a counterpart of this Amendment signed on behalf of such party or (ii) written evidence satisfactory to the Administrative Agent (which may include facsimile or other electronic transmission of a signed counterpart of this Amendment) that such party has signed a counterpart of this Amendment.</w: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6</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92"/>
        <w:jc w:val="both"/>
        <w:rPr>
          <w:rFonts w:ascii="Times New Roman;sans-serif" w:hAnsi="Times New Roman;sans-serif"/>
          <w:b w:val="false"/>
          <w:color w:val="000000"/>
          <w:sz w:val="22"/>
        </w:rPr>
      </w:pPr>
      <w:r>
        <w:rPr>
          <w:rFonts w:ascii="Times New Roman;sans-serif" w:hAnsi="Times New Roman;sans-serif"/>
          <w:b w:val="false"/>
          <w:color w:val="000000"/>
          <w:sz w:val="22"/>
        </w:rPr>
        <w:t>(b)The Administrative Agent shall have received a written opinion (addressed to the Administrative Agent, each Amendment No. 5 Revolving Lender, the Issuing Banks and the Swingline Lender and dated the Amendment No. 5 Effective Date) of each of (i) Cleary Gottlieb Steen &amp; Hamilton LLP, New York counsel for the Loan Parties and (ii) Richards, Layton &amp; Finger, P.A., Delaware counsel for the Loan Parties, in each case in form and substance reasonably satisfactory to the Administrative Agent.</w:t>
      </w:r>
    </w:p>
    <w:p>
      <w:pPr>
        <w:pStyle w:val="TextBody"/>
        <w:bidi w:val="0"/>
        <w:spacing w:lineRule="auto" w:line="288" w:before="241" w:after="283"/>
        <w:ind w:left="0" w:right="0" w:hanging="92"/>
        <w:jc w:val="both"/>
        <w:rPr>
          <w:rFonts w:ascii="Times New Roman;sans-serif" w:hAnsi="Times New Roman;sans-serif"/>
          <w:b w:val="false"/>
          <w:color w:val="000000"/>
          <w:sz w:val="22"/>
        </w:rPr>
      </w:pPr>
      <w:r>
        <w:rPr>
          <w:rFonts w:ascii="Times New Roman;sans-serif" w:hAnsi="Times New Roman;sans-serif"/>
          <w:b w:val="false"/>
          <w:color w:val="000000"/>
          <w:sz w:val="22"/>
        </w:rPr>
        <w:t>(c)The Administrative Agent shall have received a certificate of each Loan Party, dated the Amendment No. 5 Effective Date, in form and substance reasonably satisfactory to the Administrative Agent, executed by any Responsible Officer of such Loan Party and including or attaching the documents or certifications, as applicable, referred to in paragraph (d) of this Section below.</w:t>
      </w:r>
    </w:p>
    <w:p>
      <w:pPr>
        <w:pStyle w:val="TextBody"/>
        <w:bidi w:val="0"/>
        <w:spacing w:lineRule="auto" w:line="288" w:before="239" w:after="283"/>
        <w:ind w:left="0" w:right="0" w:hanging="92"/>
        <w:jc w:val="both"/>
        <w:rPr>
          <w:rFonts w:ascii="Times New Roman;sans-serif" w:hAnsi="Times New Roman;sans-serif"/>
          <w:b w:val="false"/>
          <w:color w:val="000000"/>
          <w:sz w:val="22"/>
        </w:rPr>
      </w:pPr>
      <w:r>
        <w:rPr>
          <w:rFonts w:ascii="Times New Roman;sans-serif" w:hAnsi="Times New Roman;sans-serif"/>
          <w:b w:val="false"/>
          <w:color w:val="000000"/>
          <w:sz w:val="22"/>
        </w:rPr>
        <w:t>(d)The Administrative Agent shall have received (i) as to each Loan Party, either (x) a copy of each Organizational Document of such Loan Party certified, to the extent applicable, as of a recent date by the applicable Governmental Authority or (y) written certification by such Loan Party’s secretary, assistant secretary or other Responsible Officer that such Loan Party’s Organizational Documents most recently certified and delivered to the Administrative Agent prior to the Amendment No. 5 Effective Date pursuant to the First Lien Loan Documents remain in full force and effect on the Amendment No. 5 Effective Date without modification or amendment since such original delivery, (ii) as to each Loan Party, either</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(x) signature and incumbency certificates of the Responsible Officers of such Loan Party executing the First Lien Loan Documents to which it is a party or (y) written certification by such Loan Party’s secretary, assistant secretary or other Responsible Officer that such Loan Party’s signature and incumbency certificates most recently delivered to the Administrative Agent prior to the Amendment No. 5 Effective Date pursuant to the First Lien Loan Documents remain true and correct as of the Amendment No. 5 Effective Date, (iii) copies of resolutions of the board of directors and/or similar governing bodies of each Loan Party approving and authorizing the execution, delivery and performance of this Amendment, certified as of the Amendment No. 5 Effective Date by a secretary, an assistant secretary or a Responsible Officer of such Loan Party as being in full force and effect without modification or amendment, and (iv) a good standing certificate (to the extent such concept exists) from the applicable Governmental Authority of each Loan Party’s jurisdiction of incorporation, organization or formation as of a reasonably recent date.</w:t>
      </w:r>
    </w:p>
    <w:p>
      <w:pPr>
        <w:pStyle w:val="TextBody"/>
        <w:bidi w:val="0"/>
        <w:spacing w:lineRule="auto" w:line="288" w:before="215" w:after="283"/>
        <w:ind w:left="0" w:right="0" w:hanging="92"/>
        <w:jc w:val="both"/>
        <w:rPr/>
      </w:pPr>
      <w:r>
        <w:rPr>
          <w:rFonts w:ascii="Times New Roman;sans-serif" w:hAnsi="Times New Roman;sans-serif"/>
          <w:b w:val="false"/>
          <w:color w:val="000000"/>
          <w:sz w:val="22"/>
        </w:rPr>
        <w:t xml:space="preserve">(e)The Administrative Agent shall have received a certificate from the chief financial officer of the Borrower certifying as to the solvency of the Borrower and its Subsidiaries on a consolidated basis after giving effect to the Amendment No. 5 Transactions, substantially in the form of </w:t>
      </w:r>
      <w:r>
        <w:rPr>
          <w:rFonts w:ascii="Times New Roman;sans-serif" w:hAnsi="Times New Roman;sans-serif"/>
          <w:b w:val="false"/>
          <w:color w:val="000000"/>
          <w:sz w:val="22"/>
          <w:u w:val="single"/>
        </w:rPr>
        <w:t>Exhibit P</w:t>
      </w:r>
      <w:r>
        <w:rPr>
          <w:color w:val="000000"/>
        </w:rPr>
        <w:t xml:space="preserve"> </w:t>
      </w:r>
      <w:r>
        <w:rPr>
          <w:rFonts w:ascii="Times New Roman;sans-serif" w:hAnsi="Times New Roman;sans-serif"/>
          <w:b w:val="false"/>
          <w:color w:val="000000"/>
          <w:sz w:val="22"/>
        </w:rPr>
        <w:t>of the Credit Agreement.</w:t>
      </w:r>
    </w:p>
    <w:p>
      <w:pPr>
        <w:pStyle w:val="TextBody"/>
        <w:bidi w:val="0"/>
        <w:spacing w:lineRule="auto" w:line="280" w:before="240" w:after="283"/>
        <w:ind w:left="0" w:right="0" w:hanging="92"/>
        <w:jc w:val="both"/>
        <w:rPr>
          <w:rFonts w:ascii="Times New Roman;sans-serif" w:hAnsi="Times New Roman;sans-serif"/>
          <w:b w:val="false"/>
          <w:color w:val="000000"/>
          <w:sz w:val="22"/>
        </w:rPr>
      </w:pPr>
      <w:r>
        <w:rPr>
          <w:rFonts w:ascii="Times New Roman;sans-serif" w:hAnsi="Times New Roman;sans-serif"/>
          <w:b w:val="false"/>
          <w:color w:val="000000"/>
          <w:sz w:val="22"/>
        </w:rPr>
        <w:t>(f)The Administrative Agent shall have received for the account of the Revolving Lenders all fees required to be paid by the Borrower as may be agreed in writing.</w: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7</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32" w:after="283"/>
        <w:ind w:left="0" w:right="0" w:hanging="92"/>
        <w:jc w:val="both"/>
        <w:rPr>
          <w:rFonts w:ascii="Times New Roman;sans-serif" w:hAnsi="Times New Roman;sans-serif"/>
          <w:b w:val="false"/>
          <w:color w:val="000000"/>
          <w:sz w:val="22"/>
        </w:rPr>
      </w:pPr>
      <w:r>
        <w:rPr>
          <w:rFonts w:ascii="Times New Roman;sans-serif" w:hAnsi="Times New Roman;sans-serif"/>
          <w:b w:val="false"/>
          <w:color w:val="000000"/>
          <w:sz w:val="22"/>
        </w:rPr>
        <w:t>(g)The Borrower shall have paid, to the extent invoiced at least three Business Days prior to the Amendment No. 5 Effective Date, all reasonable and documented out-of-pocket expenses (including reasonable and documented fees, charges and disbursements of counsel (subject to Section 9 below)) required to be reimbursed or paid on or prior to the Amendment No. 5 Effective Date.</w:t>
      </w:r>
    </w:p>
    <w:p>
      <w:pPr>
        <w:pStyle w:val="TextBody"/>
        <w:bidi w:val="0"/>
        <w:spacing w:lineRule="auto" w:line="283" w:before="240" w:after="283"/>
        <w:ind w:left="0" w:right="0" w:hanging="92"/>
        <w:jc w:val="both"/>
        <w:rPr>
          <w:rFonts w:ascii="Times New Roman;sans-serif" w:hAnsi="Times New Roman;sans-serif"/>
          <w:b w:val="false"/>
          <w:color w:val="000000"/>
          <w:sz w:val="22"/>
        </w:rPr>
      </w:pPr>
      <w:r>
        <w:rPr>
          <w:rFonts w:ascii="Times New Roman;sans-serif" w:hAnsi="Times New Roman;sans-serif"/>
          <w:b w:val="false"/>
          <w:color w:val="000000"/>
          <w:sz w:val="22"/>
        </w:rPr>
        <w:t>(h)Each of the representations set forth in Section 7 of this Amendment shall be true and correct.</w:t>
      </w:r>
    </w:p>
    <w:p>
      <w:pPr>
        <w:pStyle w:val="TextBody"/>
        <w:bidi w:val="0"/>
        <w:spacing w:lineRule="auto" w:line="288" w:before="230" w:after="283"/>
        <w:ind w:left="0" w:right="0" w:hanging="92"/>
        <w:jc w:val="both"/>
        <w:rPr>
          <w:rFonts w:ascii="Times New Roman;sans-serif" w:hAnsi="Times New Roman;sans-serif"/>
          <w:b w:val="false"/>
          <w:color w:val="000000"/>
          <w:sz w:val="22"/>
        </w:rPr>
      </w:pPr>
      <w:r>
        <w:rPr>
          <w:rFonts w:ascii="Times New Roman;sans-serif" w:hAnsi="Times New Roman;sans-serif"/>
          <w:b w:val="false"/>
          <w:color w:val="000000"/>
          <w:sz w:val="22"/>
        </w:rPr>
        <w:t>(i)The Administrative Agent shall have received, at least three Business Days prior to the Amendment No. 5 Effective Date, all documentation and other information about the Borrower and the other Loan Parties as shall have been reasonably requested in writing at least ten Business Days prior to the Amendment No. 5 Effective Date by the Administrative Agent that they shall have reasonably determined is required by regulatory authorities under applicable “know your customer” and anti-money laundering rules and regulations, including without limitation the USA PATRIOT Act.</w:t>
      </w:r>
    </w:p>
    <w:p>
      <w:pPr>
        <w:pStyle w:val="TextBody"/>
        <w:bidi w:val="0"/>
        <w:spacing w:lineRule="auto" w:line="288" w:before="242" w:after="283"/>
        <w:ind w:left="0" w:right="0" w:firstLine="719"/>
        <w:jc w:val="left"/>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shall notify Holdings, the Borrower and the Lenders of the Amendment No. 5 Effective Date, and such notice shall be conclusive and binding.</w:t>
      </w:r>
    </w:p>
    <w:p>
      <w:pPr>
        <w:pStyle w:val="TextBody"/>
        <w:bidi w:val="0"/>
        <w:spacing w:lineRule="auto" w:line="288" w:before="238" w:after="283"/>
        <w:ind w:left="0" w:right="0" w:firstLine="1439"/>
        <w:jc w:val="both"/>
        <w:rPr/>
      </w:pPr>
      <w:r>
        <w:rPr>
          <w:rFonts w:ascii="Times New Roman;sans-serif" w:hAnsi="Times New Roman;sans-serif"/>
          <w:b w:val="false"/>
          <w:color w:val="000000"/>
          <w:sz w:val="22"/>
        </w:rPr>
        <w:t xml:space="preserve">SECTION 7. </w:t>
      </w:r>
      <w:r>
        <w:rPr>
          <w:rFonts w:ascii="Times New Roman;sans-serif" w:hAnsi="Times New Roman;sans-serif"/>
          <w:b/>
          <w:i/>
          <w:color w:val="000000"/>
          <w:sz w:val="22"/>
        </w:rPr>
        <w:t>Representations and Warranties</w:t>
      </w:r>
      <w:r>
        <w:rPr>
          <w:rFonts w:ascii="Times New Roman;sans-serif" w:hAnsi="Times New Roman;sans-serif"/>
          <w:b w:val="false"/>
          <w:color w:val="000000"/>
          <w:sz w:val="22"/>
        </w:rPr>
        <w:t>. The Borrower hereby represents and warrants that after giving effect to this Amendment, (i) no Event of Default has occurred and is continuing,</w:t>
      </w:r>
    </w:p>
    <w:p>
      <w:pPr>
        <w:pStyle w:val="TextBody"/>
        <w:bidi w:val="0"/>
        <w:spacing w:lineRule="auto" w:line="288" w:before="1" w:after="283"/>
        <w:jc w:val="both"/>
        <w:rPr/>
      </w:pPr>
      <w:r>
        <w:rPr>
          <w:rFonts w:ascii="Times New Roman;sans-serif" w:hAnsi="Times New Roman;sans-serif"/>
          <w:b w:val="false"/>
          <w:color w:val="000000"/>
          <w:sz w:val="22"/>
        </w:rPr>
        <w:t xml:space="preserve">(ii) the representations and warranties of each Loan Party set forth in the First Lien Loan Documents are true and correct in all material respects on and as of the Amendment No. 5 Effective Date; provided that, in each case, to the extent that such representations and warranties specifically refer to an earlier date, they are true and correct in all material respects as of such earlier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further that, in each case, any representation and warranty that is qualified as to “materiality,” “Material Adverse Effect” or similar language is true and correct in all respects on the Amendment No. 5 Effective Date or on such earlier date, as the case may be and (iii) the Borrower is in Pro Forma Compliance with the Financial Performance Covenant for the Test Period then last ended.</w:t>
      </w:r>
    </w:p>
    <w:p>
      <w:pPr>
        <w:pStyle w:val="TextBody"/>
        <w:bidi w:val="0"/>
        <w:spacing w:lineRule="auto" w:line="288" w:before="239" w:after="283"/>
        <w:ind w:left="0" w:right="0" w:firstLine="1439"/>
        <w:jc w:val="both"/>
        <w:rPr/>
      </w:pPr>
      <w:r>
        <w:rPr>
          <w:rFonts w:ascii="Times New Roman;sans-serif" w:hAnsi="Times New Roman;sans-serif"/>
          <w:b w:val="false"/>
          <w:color w:val="000000"/>
          <w:sz w:val="22"/>
        </w:rPr>
        <w:t xml:space="preserve">SECTION 8. </w:t>
      </w:r>
      <w:r>
        <w:rPr>
          <w:rFonts w:ascii="Times New Roman;sans-serif" w:hAnsi="Times New Roman;sans-serif"/>
          <w:b/>
          <w:i/>
          <w:color w:val="000000"/>
          <w:sz w:val="22"/>
        </w:rPr>
        <w:t>Reaffirmation of Guarantees and Security Interests</w:t>
      </w:r>
      <w:r>
        <w:rPr>
          <w:rFonts w:ascii="Times New Roman;sans-serif" w:hAnsi="Times New Roman;sans-serif"/>
          <w:b w:val="false"/>
          <w:color w:val="000000"/>
          <w:sz w:val="22"/>
        </w:rPr>
        <w:t>. Each Loan Party hereby acknowledges its receipt of a copy of this Amendment and its review of the terms and conditions hereof and consents to the terms and conditions of this Amendment and the transactions contemplated hereby, including any extension of credit in the form of the Amendment No. 5 Revolving Commitment Increase and the 2025 Refinancing Revolving Facility. Each Loan Party hereby (a) affirms and confirms its guarantees, pledges, grants and other undertakings under the Credit Agreement and the other First Lien Loan Documents to which it is a party, (b) agrees that (i) each First Lien Loan Document to which it is a party shall continue to be in full force and effect and (ii) all guarantees, pledges, grants and other undertakings thereunder shall continue to be in full force and effect and shall accrue to the benefit of the Secured Parties, including the 2025 Refinancing Revolving Lenders and the Incremental Amendment No. 5 Revolving Lenders, and (c) acknowledges that from and after the date hereof, all obligations in respect of the Amendment No. 5 Revolving Commitment Increase and the 2025 Refinancing Revolving Facility from time to time outstanding shall be deemed to be Secured Obligations.</w:t>
      </w:r>
    </w:p>
    <w:p>
      <w:pPr>
        <w:pStyle w:val="TextBody"/>
        <w:bidi w:val="0"/>
        <w:spacing w:lineRule="auto" w:line="288" w:before="240" w:after="283"/>
        <w:ind w:left="0" w:right="0" w:firstLine="1439"/>
        <w:jc w:val="both"/>
        <w:rPr/>
      </w:pPr>
      <w:r>
        <w:rPr>
          <w:rFonts w:ascii="Times New Roman;sans-serif" w:hAnsi="Times New Roman;sans-serif"/>
          <w:b w:val="false"/>
          <w:color w:val="000000"/>
          <w:sz w:val="22"/>
        </w:rPr>
        <w:t xml:space="preserve">SECTION 9. </w:t>
      </w:r>
      <w:r>
        <w:rPr>
          <w:rFonts w:ascii="Times New Roman;sans-serif" w:hAnsi="Times New Roman;sans-serif"/>
          <w:b/>
          <w:i/>
          <w:color w:val="000000"/>
          <w:sz w:val="22"/>
        </w:rPr>
        <w:t>Expenses; Indemnity; Damage Waiver</w:t>
      </w:r>
      <w:r>
        <w:rPr>
          <w:rFonts w:ascii="Times New Roman;sans-serif" w:hAnsi="Times New Roman;sans-serif"/>
          <w:b w:val="false"/>
          <w:color w:val="000000"/>
          <w:sz w:val="22"/>
        </w:rPr>
        <w:t xml:space="preserve">. Sections 9.03(a), (b), (d), (e), (f) and (g) of the Credit Agreement are hereby incorporated,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by reference as if such Sections were set forth in full herein; provided that, notwithstanding anything else therein, such expense reimbursement provisions of Section 9.03(a) of the Credit Agreement shall only apply as provided hereinabove if the Amendment No. 5 Effective Date occurs.</w: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8</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3" w:after="283"/>
        <w:jc w:val="left"/>
        <w:rPr/>
      </w:pPr>
      <w:r>
        <w:rPr>
          <w:rFonts w:ascii="Times New Roman;sans-serif" w:hAnsi="Times New Roman;sans-serif"/>
          <w:b w:val="false"/>
          <w:color w:val="000000"/>
          <w:sz w:val="22"/>
        </w:rPr>
        <w:t xml:space="preserve">SECTION 10. </w:t>
      </w:r>
      <w:r>
        <w:rPr>
          <w:rFonts w:ascii="Times New Roman;sans-serif" w:hAnsi="Times New Roman;sans-serif"/>
          <w:b/>
          <w:i/>
          <w:color w:val="000000"/>
          <w:sz w:val="22"/>
        </w:rPr>
        <w:t>Miscellaneous</w:t>
      </w:r>
      <w:r>
        <w:rPr>
          <w:rFonts w:ascii="Times New Roman;sans-serif" w:hAnsi="Times New Roman;sans-serif"/>
          <w:b w:val="false"/>
          <w:color w:val="000000"/>
          <w:sz w:val="22"/>
        </w:rPr>
        <w:t>.</w:t>
      </w:r>
    </w:p>
    <w:p>
      <w:pPr>
        <w:pStyle w:val="TextBody"/>
        <w:bidi w:val="0"/>
        <w:spacing w:lineRule="auto" w:line="288" w:before="236" w:after="283"/>
        <w:ind w:left="0" w:right="0" w:firstLine="720"/>
        <w:jc w:val="both"/>
        <w:rPr/>
      </w:pPr>
      <w:r>
        <w:rPr>
          <w:rFonts w:ascii="Times New Roman;sans-serif" w:hAnsi="Times New Roman;sans-serif"/>
          <w:b w:val="false"/>
          <w:color w:val="000000"/>
          <w:sz w:val="22"/>
        </w:rPr>
        <w:t>(a)</w:t>
      </w:r>
      <w:r>
        <w:rPr>
          <w:rFonts w:ascii="Times New Roman;sans-serif" w:hAnsi="Times New Roman;sans-serif"/>
          <w:b/>
          <w:i/>
          <w:color w:val="000000"/>
          <w:sz w:val="22"/>
        </w:rPr>
        <w:t>Notice</w:t>
      </w:r>
      <w:r>
        <w:rPr>
          <w:rFonts w:ascii="Times New Roman;sans-serif" w:hAnsi="Times New Roman;sans-serif"/>
          <w:b w:val="false"/>
          <w:color w:val="000000"/>
          <w:sz w:val="22"/>
        </w:rPr>
        <w:t>. For purposes of the Credit Agreement, the initial notice address of each Amendment No. 5 Revolving Lender shall be as set forth below its signature below.</w:t>
      </w:r>
    </w:p>
    <w:p>
      <w:pPr>
        <w:pStyle w:val="TextBody"/>
        <w:bidi w:val="0"/>
        <w:spacing w:lineRule="auto" w:line="288" w:before="240" w:after="283"/>
        <w:ind w:left="0" w:right="0" w:firstLine="808"/>
        <w:jc w:val="both"/>
        <w:rPr/>
      </w:pPr>
      <w:r>
        <w:rPr>
          <w:rFonts w:ascii="Times New Roman;sans-serif" w:hAnsi="Times New Roman;sans-serif"/>
          <w:b w:val="false"/>
          <w:color w:val="000000"/>
          <w:sz w:val="22"/>
        </w:rPr>
        <w:t>(b)</w:t>
      </w:r>
      <w:r>
        <w:rPr>
          <w:rFonts w:ascii="Times New Roman;sans-serif" w:hAnsi="Times New Roman;sans-serif"/>
          <w:b/>
          <w:i/>
          <w:color w:val="000000"/>
          <w:sz w:val="22"/>
        </w:rPr>
        <w:t>Tax Forms</w:t>
      </w:r>
      <w:r>
        <w:rPr>
          <w:rFonts w:ascii="Times New Roman;sans-serif" w:hAnsi="Times New Roman;sans-serif"/>
          <w:b w:val="false"/>
          <w:color w:val="000000"/>
          <w:sz w:val="22"/>
        </w:rPr>
        <w:t>. Each Amendment No. 5 Revolving Lender shall have delivered to the Administrative Agent and the Borrower such forms, certificates or other evidence with respect to United States federal income tax withholding matters as such Amendment No. 5 Revolving Lender may be required to deliver to the Administrative Agent and the Borrower pursuant to Section 2.17(f) of the Credit Agreement.</w:t>
      </w:r>
    </w:p>
    <w:p>
      <w:pPr>
        <w:pStyle w:val="TextBody"/>
        <w:bidi w:val="0"/>
        <w:spacing w:lineRule="auto" w:line="280" w:before="242" w:after="283"/>
        <w:ind w:left="0" w:right="0" w:firstLine="808"/>
        <w:jc w:val="both"/>
        <w:rPr/>
      </w:pPr>
      <w:r>
        <w:rPr>
          <w:rFonts w:ascii="Times New Roman;sans-serif" w:hAnsi="Times New Roman;sans-serif"/>
          <w:b w:val="false"/>
          <w:color w:val="000000"/>
          <w:sz w:val="22"/>
        </w:rPr>
        <w:t>(c)</w:t>
      </w:r>
      <w:r>
        <w:rPr>
          <w:rFonts w:ascii="Times New Roman;sans-serif" w:hAnsi="Times New Roman;sans-serif"/>
          <w:b/>
          <w:i/>
          <w:color w:val="000000"/>
          <w:sz w:val="22"/>
        </w:rPr>
        <w:t>Amendment, Modification and Waiver</w:t>
      </w:r>
      <w:r>
        <w:rPr>
          <w:rFonts w:ascii="Times New Roman;sans-serif" w:hAnsi="Times New Roman;sans-serif"/>
          <w:b w:val="false"/>
          <w:color w:val="000000"/>
          <w:sz w:val="22"/>
        </w:rPr>
        <w:t>. This Amendment may not be amended nor may any provision hereof be waived except pursuant to a writing signed by each of the parties hereto.</w:t>
      </w:r>
    </w:p>
    <w:p>
      <w:pPr>
        <w:pStyle w:val="TextBody"/>
        <w:bidi w:val="0"/>
        <w:spacing w:lineRule="auto" w:line="288" w:before="231" w:after="283"/>
        <w:ind w:left="0" w:right="0" w:firstLine="808"/>
        <w:jc w:val="both"/>
        <w:rPr/>
      </w:pPr>
      <w:r>
        <w:rPr>
          <w:rFonts w:ascii="Times New Roman;sans-serif" w:hAnsi="Times New Roman;sans-serif"/>
          <w:b w:val="false"/>
          <w:color w:val="000000"/>
          <w:sz w:val="22"/>
        </w:rPr>
        <w:t>(d)</w:t>
      </w:r>
      <w:r>
        <w:rPr>
          <w:rFonts w:ascii="Times New Roman;sans-serif" w:hAnsi="Times New Roman;sans-serif"/>
          <w:b/>
          <w:i/>
          <w:color w:val="000000"/>
          <w:sz w:val="22"/>
        </w:rPr>
        <w:t>Entire Agreement</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Amendment, the Credit Agreement and the other First Lien Loan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pStyle w:val="TextBody"/>
        <w:bidi w:val="0"/>
        <w:spacing w:lineRule="auto" w:line="288" w:before="242" w:after="283"/>
        <w:ind w:left="0" w:right="0" w:firstLine="808"/>
        <w:jc w:val="both"/>
        <w:rPr/>
      </w:pPr>
      <w:r>
        <w:rPr>
          <w:rFonts w:ascii="Times New Roman;sans-serif" w:hAnsi="Times New Roman;sans-serif"/>
          <w:b w:val="false"/>
          <w:color w:val="000000"/>
          <w:sz w:val="22"/>
        </w:rPr>
        <w:t>(e)</w:t>
      </w:r>
      <w:r>
        <w:rPr>
          <w:rFonts w:ascii="Times New Roman;sans-serif" w:hAnsi="Times New Roman;sans-serif"/>
          <w:b/>
          <w:i/>
          <w:color w:val="000000"/>
          <w:sz w:val="22"/>
        </w:rPr>
        <w:t xml:space="preserve">Governing Law. </w:t>
      </w:r>
      <w:r>
        <w:rPr>
          <w:rFonts w:ascii="Times New Roman;sans-serif" w:hAnsi="Times New Roman;sans-serif"/>
          <w:b w:val="false"/>
          <w:color w:val="000000"/>
          <w:sz w:val="22"/>
        </w:rPr>
        <w:t>This Amendment shall be construed in accordance with and governed by the laws of the State of New York.</w:t>
      </w:r>
    </w:p>
    <w:p>
      <w:pPr>
        <w:pStyle w:val="TextBody"/>
        <w:bidi w:val="0"/>
        <w:spacing w:lineRule="auto" w:line="280" w:before="238" w:after="283"/>
        <w:ind w:left="0" w:right="0" w:firstLine="808"/>
        <w:jc w:val="both"/>
        <w:rPr/>
      </w:pPr>
      <w:r>
        <w:rPr>
          <w:rFonts w:ascii="Times New Roman;sans-serif" w:hAnsi="Times New Roman;sans-serif"/>
          <w:b w:val="false"/>
          <w:color w:val="000000"/>
          <w:sz w:val="22"/>
        </w:rPr>
        <w:t>(f)</w:t>
      </w:r>
      <w:r>
        <w:rPr>
          <w:rFonts w:ascii="Times New Roman;sans-serif" w:hAnsi="Times New Roman;sans-serif"/>
          <w:b/>
          <w:i/>
          <w:color w:val="000000"/>
          <w:sz w:val="22"/>
        </w:rPr>
        <w:t xml:space="preserve">Jurisdiction. </w:t>
      </w:r>
      <w:r>
        <w:rPr>
          <w:rFonts w:ascii="Times New Roman;sans-serif" w:hAnsi="Times New Roman;sans-serif"/>
          <w:b w:val="false"/>
          <w:color w:val="000000"/>
          <w:sz w:val="22"/>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First Lien Loan Document shall affect any right that the Administrative Agent, any Revolving Lender, the Issuing Banks or the Swingline Lender may otherwise have to bring any action or proceeding relating to this Amendment against Holdings or the Borrower or their respective properties in the courts of any jurisdiction.</w:t>
      </w:r>
    </w:p>
    <w:p>
      <w:pPr>
        <w:pStyle w:val="TextBody"/>
        <w:bidi w:val="0"/>
        <w:spacing w:lineRule="auto" w:line="288" w:before="232" w:after="283"/>
        <w:ind w:left="0" w:right="0" w:firstLine="808"/>
        <w:jc w:val="both"/>
        <w:rPr/>
      </w:pPr>
      <w:r>
        <w:rPr>
          <w:rFonts w:ascii="Times New Roman;sans-serif" w:hAnsi="Times New Roman;sans-serif"/>
          <w:b w:val="false"/>
          <w:color w:val="000000"/>
          <w:sz w:val="22"/>
        </w:rPr>
        <w:t>(g)</w:t>
      </w:r>
      <w:r>
        <w:rPr>
          <w:rFonts w:ascii="Times New Roman;sans-serif" w:hAnsi="Times New Roman;sans-serif"/>
          <w:b/>
          <w:i/>
          <w:color w:val="000000"/>
          <w:sz w:val="22"/>
        </w:rPr>
        <w:t>Waiver of Objection to Venue and Forum Non Conveniens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Each party hereto hereby irrevocably and unconditionally waives, to the fullest extent it may legally and effectively do so, any objection that it may now or hereafter have to the laying of venue of any suit, action or proceeding arising out of or relating to this Amendment in any court referred to in Section 10(f) above. Each of the parties hereto hereby irrevocably waives, to the fullest extent permitted by law, the defense of an </w: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9</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32"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inconvenient forum to the maintenance of such action or proceeding in any such court.</w:t>
      </w:r>
    </w:p>
    <w:p>
      <w:pPr>
        <w:pStyle w:val="TextBody"/>
        <w:bidi w:val="0"/>
        <w:spacing w:lineRule="auto" w:line="288" w:before="241" w:after="283"/>
        <w:ind w:left="0" w:right="0" w:firstLine="808"/>
        <w:jc w:val="both"/>
        <w:rPr/>
      </w:pPr>
      <w:r>
        <w:rPr>
          <w:rFonts w:ascii="Times New Roman;sans-serif" w:hAnsi="Times New Roman;sans-serif"/>
          <w:b w:val="false"/>
          <w:color w:val="000000"/>
          <w:sz w:val="22"/>
        </w:rPr>
        <w:t>(h)</w:t>
      </w:r>
      <w:r>
        <w:rPr>
          <w:rFonts w:ascii="Times New Roman;sans-serif" w:hAnsi="Times New Roman;sans-serif"/>
          <w:b/>
          <w:i/>
          <w:color w:val="000000"/>
          <w:sz w:val="22"/>
        </w:rPr>
        <w:t xml:space="preserve">Consent to Service of Process. </w:t>
      </w:r>
      <w:r>
        <w:rPr>
          <w:rFonts w:ascii="Times New Roman;sans-serif" w:hAnsi="Times New Roman;sans-serif"/>
          <w:b w:val="false"/>
          <w:color w:val="000000"/>
          <w:sz w:val="22"/>
        </w:rPr>
        <w:t>Each party to this Amendment irrevocably consents to service of process in the manner provided for notices in Section 9.01 of the Credit Agreement. Nothing in any First Lien Loan Document will affect the right of any party to this Amendment to serve process in any other manner permitted by law.</w:t>
      </w:r>
    </w:p>
    <w:p>
      <w:pPr>
        <w:pStyle w:val="TextBody"/>
        <w:bidi w:val="0"/>
        <w:spacing w:lineRule="auto" w:line="288" w:before="240" w:after="283"/>
        <w:ind w:left="0" w:right="0" w:firstLine="808"/>
        <w:jc w:val="both"/>
        <w:rPr/>
      </w:pPr>
      <w:r>
        <w:rPr>
          <w:rFonts w:ascii="Times New Roman;sans-serif" w:hAnsi="Times New Roman;sans-serif"/>
          <w:b w:val="false"/>
          <w:color w:val="000000"/>
          <w:sz w:val="22"/>
        </w:rPr>
        <w:t>(i)</w:t>
      </w:r>
      <w:r>
        <w:rPr>
          <w:rFonts w:ascii="Times New Roman;sans-serif" w:hAnsi="Times New Roman;sans-serif"/>
          <w:b/>
          <w:i/>
          <w:color w:val="000000"/>
          <w:sz w:val="22"/>
        </w:rPr>
        <w:t>WAIVER OF JURY TRIAL</w:t>
      </w:r>
      <w:r>
        <w:rPr>
          <w:rFonts w:ascii="Times New Roman;sans-serif" w:hAnsi="Times New Roman;sans-serif"/>
          <w:b/>
          <w:color w:val="000000"/>
          <w:sz w:val="22"/>
        </w:rPr>
        <w:t>. EACH PARTY HERETO HEREBY WAIVES, TO THE FULLEST EXTENT PERMITTED BY APPLICABLE LAW, ANY RIGHT IT MAY HAVE TO A TRIAL BY JURY IN ANY LEGAL PROCEEDING DIRECTLY OR INDIRECTLY ARISING OUT OF OR RELATING TO THIS AMENDMENT OR THE AMENDMENT NO. 5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pStyle w:val="TextBody"/>
        <w:bidi w:val="0"/>
        <w:spacing w:lineRule="auto" w:line="288" w:before="240" w:after="283"/>
        <w:ind w:left="0" w:right="0" w:firstLine="808"/>
        <w:jc w:val="both"/>
        <w:rPr/>
      </w:pPr>
      <w:r>
        <w:rPr>
          <w:rFonts w:ascii="Times New Roman;sans-serif" w:hAnsi="Times New Roman;sans-serif"/>
          <w:b w:val="false"/>
          <w:color w:val="000000"/>
          <w:sz w:val="22"/>
        </w:rPr>
        <w:t>(j)</w:t>
      </w:r>
      <w:r>
        <w:rPr>
          <w:rFonts w:ascii="Times New Roman;sans-serif" w:hAnsi="Times New Roman;sans-serif"/>
          <w:b/>
          <w:i/>
          <w:color w:val="000000"/>
          <w:sz w:val="22"/>
        </w:rPr>
        <w:t>Severability</w:t>
      </w:r>
      <w:r>
        <w:rPr>
          <w:rFonts w:ascii="Times New Roman;sans-serif" w:hAnsi="Times New Roman;sans-serif"/>
          <w:b w:val="false"/>
          <w:color w:val="000000"/>
          <w:sz w:val="22"/>
        </w:rPr>
        <w:t>.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pStyle w:val="TextBody"/>
        <w:bidi w:val="0"/>
        <w:spacing w:lineRule="auto" w:line="288" w:before="215" w:after="283"/>
        <w:ind w:left="0" w:right="0" w:firstLine="808"/>
        <w:jc w:val="both"/>
        <w:rPr/>
      </w:pPr>
      <w:r>
        <w:rPr>
          <w:rFonts w:ascii="Times New Roman;sans-serif" w:hAnsi="Times New Roman;sans-serif"/>
          <w:b w:val="false"/>
          <w:color w:val="000000"/>
          <w:sz w:val="22"/>
        </w:rPr>
        <w:t>(k)</w:t>
      </w:r>
      <w:r>
        <w:rPr>
          <w:rFonts w:ascii="Times New Roman;sans-serif" w:hAnsi="Times New Roman;sans-serif"/>
          <w:b/>
          <w:i/>
          <w:color w:val="000000"/>
          <w:sz w:val="22"/>
        </w:rPr>
        <w:t>Counterparts</w:t>
      </w:r>
      <w:r>
        <w:rPr>
          <w:rFonts w:ascii="Times New Roman;sans-serif" w:hAnsi="Times New Roman;sans-serif"/>
          <w:b w:val="false"/>
          <w:color w:val="000000"/>
          <w:sz w:val="22"/>
        </w:rPr>
        <w:t>. This Amendment may be executed in counterparts, each of which shall be deemed to be an original, but all of which shall constitute one and the same agreement. Delivery of an executed counterpart of a signature page of this Amendment by facsimile or electronic transmission shall be as effective as delivery of a manually executed counterpart hereof.</w:t>
      </w:r>
    </w:p>
    <w:p>
      <w:pPr>
        <w:pStyle w:val="TextBody"/>
        <w:bidi w:val="0"/>
        <w:spacing w:lineRule="auto" w:line="288" w:before="240" w:after="283"/>
        <w:ind w:left="0" w:right="0" w:firstLine="808"/>
        <w:jc w:val="both"/>
        <w:rPr/>
      </w:pPr>
      <w:r>
        <w:rPr>
          <w:rFonts w:ascii="Times New Roman;sans-serif" w:hAnsi="Times New Roman;sans-serif"/>
          <w:b w:val="false"/>
          <w:color w:val="000000"/>
          <w:sz w:val="22"/>
        </w:rPr>
        <w:t>(l)</w:t>
      </w:r>
      <w:r>
        <w:rPr>
          <w:rFonts w:ascii="Times New Roman;sans-serif" w:hAnsi="Times New Roman;sans-serif"/>
          <w:b/>
          <w:i/>
          <w:color w:val="000000"/>
          <w:sz w:val="22"/>
        </w:rPr>
        <w:t>Headings</w:t>
      </w:r>
      <w:r>
        <w:rPr>
          <w:rFonts w:ascii="Times New Roman;sans-serif" w:hAnsi="Times New Roman;sans-serif"/>
          <w:b w:val="false"/>
          <w:color w:val="000000"/>
          <w:sz w:val="22"/>
        </w:rPr>
        <w:t>. The headings of this Amendment are for purposes of reference only and shall not limit or otherwise affect the meaning hereof.</w:t>
      </w:r>
    </w:p>
    <w:p>
      <w:pPr>
        <w:pStyle w:val="TextBody"/>
        <w:bidi w:val="0"/>
        <w:spacing w:lineRule="auto" w:line="288" w:before="241" w:after="283"/>
        <w:ind w:left="0" w:right="0" w:firstLine="808"/>
        <w:jc w:val="both"/>
        <w:rPr/>
      </w:pPr>
      <w:r>
        <w:rPr>
          <w:rFonts w:ascii="Times New Roman;sans-serif" w:hAnsi="Times New Roman;sans-serif"/>
          <w:b w:val="false"/>
          <w:color w:val="000000"/>
          <w:sz w:val="22"/>
        </w:rPr>
        <w:t>(m)</w:t>
      </w:r>
      <w:r>
        <w:rPr>
          <w:rFonts w:ascii="Times New Roman;sans-serif" w:hAnsi="Times New Roman;sans-serif"/>
          <w:b/>
          <w:i/>
          <w:color w:val="000000"/>
          <w:sz w:val="22"/>
        </w:rPr>
        <w:t>Continued Effectiveness</w:t>
      </w:r>
      <w:r>
        <w:rPr>
          <w:rFonts w:ascii="Times New Roman;sans-serif" w:hAnsi="Times New Roman;sans-serif"/>
          <w:b w:val="false"/>
          <w:color w:val="000000"/>
          <w:sz w:val="22"/>
        </w:rPr>
        <w:t xml:space="preserve">. Notwithstanding anything contained herein, the terms of this Amendment are not intended to and do not serve to effect a novation as to the Existing Credit Agreement. The parties hereto expressly do not intend to extinguish the Existing Credit Agreement. Instead, it is the express intention of the parties hereto to reaffirm the indebtedness created under the Existing Credit Agreement </w: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10</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1" w:after="283"/>
        <w:jc w:val="both"/>
        <w:rPr>
          <w:rFonts w:ascii="Times New Roman;sans-serif" w:hAnsi="Times New Roman;sans-serif"/>
          <w:b w:val="false"/>
          <w:color w:val="000000"/>
          <w:sz w:val="22"/>
        </w:rPr>
      </w:pPr>
      <w:r>
        <w:rPr>
          <w:rFonts w:ascii="Times New Roman;sans-serif" w:hAnsi="Times New Roman;sans-serif"/>
          <w:b w:val="false"/>
          <w:color w:val="000000"/>
          <w:sz w:val="22"/>
        </w:rPr>
        <w:t>which is secured by the Collateral and the Liens and guarantees thereunder. The Credit Agreement and each of the First Lien Loan Documents remain in full force and effect.</w:t>
      </w:r>
    </w:p>
    <w:p>
      <w:pPr>
        <w:pStyle w:val="TextBody"/>
        <w:bidi w:val="0"/>
        <w:spacing w:lineRule="auto" w:line="288" w:before="215" w:after="283"/>
        <w:ind w:left="0" w:right="0" w:firstLine="808"/>
        <w:jc w:val="both"/>
        <w:rPr/>
      </w:pPr>
      <w:r>
        <w:rPr>
          <w:rFonts w:ascii="Times New Roman;sans-serif" w:hAnsi="Times New Roman;sans-serif"/>
          <w:b w:val="false"/>
          <w:color w:val="000000"/>
          <w:sz w:val="22"/>
        </w:rPr>
        <w:t>(n)</w:t>
      </w:r>
      <w:r>
        <w:rPr>
          <w:rFonts w:ascii="Times New Roman;sans-serif" w:hAnsi="Times New Roman;sans-serif"/>
          <w:b/>
          <w:i/>
          <w:color w:val="000000"/>
          <w:sz w:val="22"/>
        </w:rPr>
        <w:t>Electronic Signatures</w:t>
      </w:r>
      <w:r>
        <w:rPr>
          <w:rFonts w:ascii="Times New Roman;sans-serif" w:hAnsi="Times New Roman;sans-serif"/>
          <w:b w:val="false"/>
          <w:color w:val="000000"/>
          <w:sz w:val="22"/>
        </w:rPr>
        <w:t>. Delivery of an executed counterpart of a signature page of this Amendment, that is an Electronic Signature (as defined below)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(including the Amendment No. 5 Revolving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(including the Amendment No. 5 Revolving Lenders),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(including the Amendment No. 5 Revolving Lenders), and the Borrower, Electronic Signatures transmitted by telecopy, emailed pdf. or any other electronic means that reproduces an image of an actual executed signature page and/or any electronic images of this Amendment, any other First Lien Loan Document and/or any other document signed in connection with this Amendment and the transactions contemplated thereby, shall have the same legal effect, validity and enforceability as any paper original, and (ii) waives any argument, defense or right to contest the legal effect, validity or enforceability of this Amendment, any other First Lien Loan Document and/or any Ancillary Document based solely on the lack of paper original copies of this Amendment, such other First Lien Loan Document and/or such Ancillary Document, respectively, including with respect to any signature pages thereto. “</w:t>
      </w:r>
      <w:r>
        <w:rPr>
          <w:rFonts w:ascii="Times New Roman;sans-serif" w:hAnsi="Times New Roman;sans-serif"/>
          <w:b w:val="false"/>
          <w:color w:val="000000"/>
          <w:sz w:val="22"/>
          <w:u w:val="single"/>
        </w:rPr>
        <w:t>Electronic Signature</w:t>
      </w:r>
      <w:r>
        <w:rPr>
          <w:color w:val="000000"/>
        </w:rPr>
        <w:t xml:space="preserve">” </w:t>
      </w:r>
      <w:r>
        <w:rPr>
          <w:rFonts w:ascii="Times New Roman;sans-serif" w:hAnsi="Times New Roman;sans-serif"/>
          <w:b w:val="false"/>
          <w:color w:val="000000"/>
          <w:sz w:val="22"/>
        </w:rPr>
        <w:t>means an electronic sound, symbol, or process attached to, or associated with, a contract or other record and adopted by a Person with the intent to sign, authenticate or accept such contract or record.</w: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11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15" w:after="283"/>
        <w:jc w:val="both"/>
        <w:rPr/>
      </w:pPr>
      <w:r>
        <w:rPr/>
      </w:r>
    </w:p>
    <w:p>
      <w:pPr>
        <w:pStyle w:val="TextBody"/>
        <w:bidi w:val="0"/>
        <w:spacing w:lineRule="auto" w:line="288" w:before="242" w:after="283"/>
        <w:jc w:val="left"/>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this page intentionally left blank</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Amendment to be duly executed by their respective authorized officers as of the day and year first above written.</w:t>
      </w:r>
    </w:p>
    <w:p>
      <w:pPr>
        <w:pStyle w:val="TextBody"/>
        <w:bidi w:val="0"/>
        <w:spacing w:before="227" w:after="283"/>
        <w:jc w:val="left"/>
        <w:rPr/>
      </w:pPr>
      <w:r>
        <w:rPr/>
      </w:r>
    </w:p>
    <w:tbl>
      <w:tblPr>
        <w:tblW w:w="4064" w:type="dxa"/>
        <w:jc w:val="left"/>
        <w:tblInd w:w="0" w:type="dxa"/>
        <w:tblLayout w:type="fixed"/>
        <w:tblCellMar>
          <w:top w:w="28" w:type="dxa"/>
          <w:left w:w="28" w:type="dxa"/>
          <w:bottom w:w="28" w:type="dxa"/>
          <w:right w:w="28" w:type="dxa"/>
        </w:tblCellMar>
      </w:tblPr>
      <w:tblGrid>
        <w:gridCol w:w="1301"/>
        <w:gridCol w:w="1144"/>
        <w:gridCol w:w="1619"/>
      </w:tblGrid>
      <w:tr>
        <w:trPr/>
        <w:tc>
          <w:tcPr>
            <w:tcW w:w="130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SOTERA HEALTH HOLDINGS, LLC,</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Borrower</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Jason C. Peterson</w:t>
            </w:r>
          </w:p>
        </w:tc>
      </w:tr>
      <w:tr>
        <w:trPr/>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Name: Jason C. Peterson</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Vice President and Treasurer</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SOTERA HEALTH COMPANY,</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Holdings</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Jonathan M. Lyons</w:t>
            </w:r>
          </w:p>
        </w:tc>
      </w:tr>
      <w:tr>
        <w:trPr/>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Name: Jonathan M. Lyons</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Senior Vice President and Chief</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Financial Officer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164" w:type="dxa"/>
        <w:jc w:val="left"/>
        <w:tblInd w:w="0" w:type="dxa"/>
        <w:tblLayout w:type="fixed"/>
        <w:tblCellMar>
          <w:top w:w="28" w:type="dxa"/>
          <w:left w:w="28" w:type="dxa"/>
          <w:bottom w:w="28" w:type="dxa"/>
          <w:right w:w="28" w:type="dxa"/>
        </w:tblCellMar>
      </w:tblPr>
      <w:tblGrid>
        <w:gridCol w:w="1974"/>
        <w:gridCol w:w="1734"/>
        <w:gridCol w:w="2456"/>
      </w:tblGrid>
      <w:tr>
        <w:trPr/>
        <w:tc>
          <w:tcPr>
            <w:tcW w:w="197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With respect only to Section 8 and Section 10:</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SOTERA HEALTH LLC</w:t>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Jonathan M. Lyons</w:t>
            </w:r>
          </w:p>
        </w:tc>
      </w:tr>
      <w:tr>
        <w:trPr/>
        <w:tc>
          <w:tcPr>
            <w:tcW w:w="6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Name: Jonathan M. Lyons</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Senior Vice President and Chief</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Financial Officer</w:t>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STERIGENICS U.S., LLC</w:t>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Jason C. Peterson</w:t>
            </w:r>
          </w:p>
        </w:tc>
      </w:tr>
      <w:tr>
        <w:trPr/>
        <w:tc>
          <w:tcPr>
            <w:tcW w:w="6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Name: Jason C. Peterson</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Vice President and Treasurer</w:t>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NELSON LABORATORIES, LLC</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NELSON LABORATORIES HOLDINGS, LLC</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NELSON LABORATORIES FAIRFIELD HOLDINGS, LLC</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NELSON LABORATORIES BOZEMAN, LLC</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REGULATORY COMPLIANCE ASSOCIATES INC.</w:t>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Joseph A. Shrawder</w:t>
            </w:r>
          </w:p>
        </w:tc>
      </w:tr>
      <w:tr>
        <w:trPr/>
        <w:tc>
          <w:tcPr>
            <w:tcW w:w="6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Joseph A. Shrawder</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President</w:t>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SOTERA HEALTH SERVICES, LLC</w:t>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Jason C. Peterson</w:t>
            </w:r>
          </w:p>
        </w:tc>
      </w:tr>
      <w:tr>
        <w:trPr/>
        <w:tc>
          <w:tcPr>
            <w:tcW w:w="6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Jason C. Peterson</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 and Treasurer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899" w:type="dxa"/>
        <w:jc w:val="left"/>
        <w:tblInd w:w="0" w:type="dxa"/>
        <w:tblLayout w:type="fixed"/>
        <w:tblCellMar>
          <w:top w:w="28" w:type="dxa"/>
          <w:left w:w="28" w:type="dxa"/>
          <w:bottom w:w="28" w:type="dxa"/>
          <w:right w:w="28" w:type="dxa"/>
        </w:tblCellMar>
      </w:tblPr>
      <w:tblGrid>
        <w:gridCol w:w="2210"/>
        <w:gridCol w:w="1941"/>
        <w:gridCol w:w="2748"/>
      </w:tblGrid>
      <w:tr>
        <w:trPr/>
        <w:tc>
          <w:tcPr>
            <w:tcW w:w="2210"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STERIGENICS RADIATION TECHNOLOGIES HOLDINGS, LLC</w:t>
            </w:r>
          </w:p>
        </w:tc>
      </w:tr>
      <w:tr>
        <w:trPr/>
        <w:tc>
          <w:tcPr>
            <w:tcW w:w="6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STERIGENICS RADIATION TECHNOLOGIES, LLC</w:t>
            </w:r>
          </w:p>
        </w:tc>
      </w:tr>
      <w:tr>
        <w:trPr/>
        <w:tc>
          <w:tcPr>
            <w:tcW w:w="6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STERIGENICS RADIATION TECHNOLOGIES IN, INC.</w:t>
            </w:r>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Alan Crompton</w:t>
            </w:r>
          </w:p>
        </w:tc>
      </w:tr>
      <w:tr>
        <w:trPr/>
        <w:tc>
          <w:tcPr>
            <w:tcW w:w="6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Name: Alan Crompton</w:t>
            </w:r>
          </w:p>
        </w:tc>
      </w:tr>
      <w:tr>
        <w:trPr/>
        <w:tc>
          <w:tcPr>
            <w:tcW w:w="6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Vice President, Treasurer and Secretary</w:t>
            </w:r>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NELSON LABORATORIES FAIRFIELD, INC.</w:t>
            </w:r>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Joseph A. Shrawder</w:t>
            </w:r>
          </w:p>
        </w:tc>
      </w:tr>
      <w:tr>
        <w:trPr/>
        <w:tc>
          <w:tcPr>
            <w:tcW w:w="6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Name: Joseph A. Shrawder</w:t>
            </w:r>
          </w:p>
        </w:tc>
      </w:tr>
      <w:tr>
        <w:trPr/>
        <w:tc>
          <w:tcPr>
            <w:tcW w:w="6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President and Chief Executive Officer</w:t>
            </w:r>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75" w:type="dxa"/>
        <w:jc w:val="left"/>
        <w:tblInd w:w="0" w:type="dxa"/>
        <w:tblLayout w:type="fixed"/>
        <w:tblCellMar>
          <w:top w:w="28" w:type="dxa"/>
          <w:left w:w="28" w:type="dxa"/>
          <w:bottom w:w="28" w:type="dxa"/>
          <w:right w:w="28" w:type="dxa"/>
        </w:tblCellMar>
      </w:tblPr>
      <w:tblGrid>
        <w:gridCol w:w="1658"/>
        <w:gridCol w:w="1455"/>
        <w:gridCol w:w="2062"/>
      </w:tblGrid>
      <w:tr>
        <w:trPr/>
        <w:tc>
          <w:tcPr>
            <w:tcW w:w="1658"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2"/>
              </w:rPr>
              <w:t xml:space="preserve">JPMORGAN CHASE BANK, N.A., </w:t>
            </w:r>
            <w:r>
              <w:rPr>
                <w:rFonts w:ascii="Times New Roman;sans-serif" w:hAnsi="Times New Roman;sans-serif"/>
                <w:b w:val="false"/>
                <w:color w:val="000000"/>
                <w:sz w:val="22"/>
              </w:rPr>
              <w:t>as</w:t>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Agent, a 2025 Refinancing Revolving</w:t>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Lender, an Incremental Amendment No. 5 Revolving</w:t>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Lender, Swingline Lender and Issuing Bank</w:t>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Marcelo Nicolás Osovi Conti</w:t>
            </w:r>
          </w:p>
        </w:tc>
      </w:tr>
      <w:tr>
        <w:trPr/>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Name: Marcelo Nicolás Osovi Conti</w:t>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34" w:type="dxa"/>
        <w:jc w:val="left"/>
        <w:tblInd w:w="0" w:type="dxa"/>
        <w:tblLayout w:type="fixed"/>
        <w:tblCellMar>
          <w:top w:w="28" w:type="dxa"/>
          <w:left w:w="28" w:type="dxa"/>
          <w:bottom w:w="28" w:type="dxa"/>
          <w:right w:w="28" w:type="dxa"/>
        </w:tblCellMar>
      </w:tblPr>
      <w:tblGrid>
        <w:gridCol w:w="1675"/>
        <w:gridCol w:w="1471"/>
        <w:gridCol w:w="2088"/>
      </w:tblGrid>
      <w:tr>
        <w:trPr/>
        <w:tc>
          <w:tcPr>
            <w:tcW w:w="167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CITIBANK, N.A.,</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2025 Refinancing Revolving Lender, an</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Incremental Amendment No. 5 Revolving Lender and</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an Issuing Bank</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/s/ Ioannis Theocharis </w:t>
            </w:r>
          </w:p>
        </w:tc>
      </w:tr>
      <w:tr>
        <w:trPr/>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 xml:space="preserve">Name: Ioannis Theocharis </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35" w:type="dxa"/>
        <w:jc w:val="left"/>
        <w:tblInd w:w="0" w:type="dxa"/>
        <w:tblLayout w:type="fixed"/>
        <w:tblCellMar>
          <w:top w:w="28" w:type="dxa"/>
          <w:left w:w="28" w:type="dxa"/>
          <w:bottom w:w="28" w:type="dxa"/>
          <w:right w:w="28" w:type="dxa"/>
        </w:tblCellMar>
      </w:tblPr>
      <w:tblGrid>
        <w:gridCol w:w="1677"/>
        <w:gridCol w:w="1473"/>
        <w:gridCol w:w="2085"/>
      </w:tblGrid>
      <w:tr>
        <w:trPr/>
        <w:tc>
          <w:tcPr>
            <w:tcW w:w="167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GOLDMAN SACHS BANK USA,</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2025 Refinancing Revolving Lender, an</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Incremental Amendment No. 5 Revolving Lender and</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an Issuing Bank</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Nicholas Merino</w:t>
            </w:r>
          </w:p>
        </w:tc>
      </w:tr>
      <w:tr>
        <w:trPr/>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Name: Nicholas Merino</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Authorized Signatory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4" w:after="283"/>
        <w:jc w:val="left"/>
        <w:rPr/>
      </w:pPr>
      <w:r>
        <w:rPr/>
      </w:r>
    </w:p>
    <w:tbl>
      <w:tblPr>
        <w:tblW w:w="5235" w:type="dxa"/>
        <w:jc w:val="left"/>
        <w:tblInd w:w="0" w:type="dxa"/>
        <w:tblLayout w:type="fixed"/>
        <w:tblCellMar>
          <w:top w:w="28" w:type="dxa"/>
          <w:left w:w="28" w:type="dxa"/>
          <w:bottom w:w="28" w:type="dxa"/>
          <w:right w:w="28" w:type="dxa"/>
        </w:tblCellMar>
      </w:tblPr>
      <w:tblGrid>
        <w:gridCol w:w="1676"/>
        <w:gridCol w:w="1474"/>
        <w:gridCol w:w="2085"/>
      </w:tblGrid>
      <w:tr>
        <w:trPr/>
        <w:tc>
          <w:tcPr>
            <w:tcW w:w="167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GOLDMAN SACHS LENDING PARTNERS LLC,</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2025 Refinancing Revolving Lender, an</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Incremental Amendment No. 5 Revolving Lender and</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an Issuing Bank</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Nick Merino</w:t>
            </w:r>
          </w:p>
        </w:tc>
      </w:tr>
      <w:tr>
        <w:trPr/>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Name: Nick Merino</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Authorized Signatory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35" w:type="dxa"/>
        <w:jc w:val="left"/>
        <w:tblInd w:w="0" w:type="dxa"/>
        <w:tblLayout w:type="fixed"/>
        <w:tblCellMar>
          <w:top w:w="28" w:type="dxa"/>
          <w:left w:w="28" w:type="dxa"/>
          <w:bottom w:w="28" w:type="dxa"/>
          <w:right w:w="28" w:type="dxa"/>
        </w:tblCellMar>
      </w:tblPr>
      <w:tblGrid>
        <w:gridCol w:w="1674"/>
        <w:gridCol w:w="1473"/>
        <w:gridCol w:w="2088"/>
      </w:tblGrid>
      <w:tr>
        <w:trPr/>
        <w:tc>
          <w:tcPr>
            <w:tcW w:w="1674"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ROYAL BANK OF CANADA,</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2025 Refinancing Revolving Lender, an</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Incremental Amendment No. 5 Revolving Lender and</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an Issuing Bank</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Sean Young</w:t>
            </w:r>
          </w:p>
        </w:tc>
      </w:tr>
      <w:tr>
        <w:trPr/>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Name: Sean Young</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Authorized Signatory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964" w:type="dxa"/>
        <w:jc w:val="left"/>
        <w:tblInd w:w="0" w:type="dxa"/>
        <w:tblLayout w:type="fixed"/>
        <w:tblCellMar>
          <w:top w:w="28" w:type="dxa"/>
          <w:left w:w="28" w:type="dxa"/>
          <w:bottom w:w="28" w:type="dxa"/>
          <w:right w:w="28" w:type="dxa"/>
        </w:tblCellMar>
      </w:tblPr>
      <w:tblGrid>
        <w:gridCol w:w="1588"/>
        <w:gridCol w:w="1395"/>
        <w:gridCol w:w="1981"/>
      </w:tblGrid>
      <w:tr>
        <w:trPr/>
        <w:tc>
          <w:tcPr>
            <w:tcW w:w="1588"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BARCLAYS BANK PLC,</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2025 Refinancing Revolving Lender and as an</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Issuing Bank</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Evan Moriarty</w:t>
            </w:r>
          </w:p>
        </w:tc>
      </w:tr>
      <w:tr>
        <w:trPr/>
        <w:tc>
          <w:tcPr>
            <w:tcW w:w="4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Name: Evan Moriarty</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Authorized Signatory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34" w:type="dxa"/>
        <w:jc w:val="left"/>
        <w:tblInd w:w="0" w:type="dxa"/>
        <w:tblLayout w:type="fixed"/>
        <w:tblCellMar>
          <w:top w:w="28" w:type="dxa"/>
          <w:left w:w="28" w:type="dxa"/>
          <w:bottom w:w="28" w:type="dxa"/>
          <w:right w:w="28" w:type="dxa"/>
        </w:tblCellMar>
      </w:tblPr>
      <w:tblGrid>
        <w:gridCol w:w="1675"/>
        <w:gridCol w:w="1471"/>
        <w:gridCol w:w="2088"/>
      </w:tblGrid>
      <w:tr>
        <w:trPr/>
        <w:tc>
          <w:tcPr>
            <w:tcW w:w="167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CITIZENS BANK, N.A.,</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2025 Refinancing Revolving Lender, an</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Incremental Amendment No. 5 Revolving Lender and</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an Issuing Bank</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Luis Gutierrez</w:t>
            </w:r>
          </w:p>
        </w:tc>
      </w:tr>
      <w:tr>
        <w:trPr/>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Name: Luis Gutierrez</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Senior 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35" w:type="dxa"/>
        <w:jc w:val="left"/>
        <w:tblInd w:w="0" w:type="dxa"/>
        <w:tblLayout w:type="fixed"/>
        <w:tblCellMar>
          <w:top w:w="28" w:type="dxa"/>
          <w:left w:w="28" w:type="dxa"/>
          <w:bottom w:w="28" w:type="dxa"/>
          <w:right w:w="28" w:type="dxa"/>
        </w:tblCellMar>
      </w:tblPr>
      <w:tblGrid>
        <w:gridCol w:w="1674"/>
        <w:gridCol w:w="1474"/>
        <w:gridCol w:w="2087"/>
      </w:tblGrid>
      <w:tr>
        <w:trPr/>
        <w:tc>
          <w:tcPr>
            <w:tcW w:w="167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KEYBANK NATIONAL ASSOCIATION</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2025 Refinancing Revolving Lender, an</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Incremental Amendment No. 5 Revolving Lender and</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an Issuing Bank</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Jordan Lebovitz</w:t>
            </w:r>
          </w:p>
        </w:tc>
      </w:tr>
      <w:tr>
        <w:trPr/>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Name: Jordan Lebovitz</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Senior 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4" w:after="283"/>
        <w:jc w:val="left"/>
        <w:rPr/>
      </w:pPr>
      <w:r>
        <w:rPr/>
      </w:r>
    </w:p>
    <w:tbl>
      <w:tblPr>
        <w:tblW w:w="6254" w:type="dxa"/>
        <w:jc w:val="left"/>
        <w:tblInd w:w="0" w:type="dxa"/>
        <w:tblLayout w:type="fixed"/>
        <w:tblCellMar>
          <w:top w:w="28" w:type="dxa"/>
          <w:left w:w="28" w:type="dxa"/>
          <w:bottom w:w="28" w:type="dxa"/>
          <w:right w:w="28" w:type="dxa"/>
        </w:tblCellMar>
      </w:tblPr>
      <w:tblGrid>
        <w:gridCol w:w="2001"/>
        <w:gridCol w:w="1761"/>
        <w:gridCol w:w="2492"/>
      </w:tblGrid>
      <w:tr>
        <w:trPr/>
        <w:tc>
          <w:tcPr>
            <w:tcW w:w="200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BANCO SANTANDER, S.A., NEW YORK</w:t>
              <w:br/>
              <w:t>BRANCH,</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2025 Refinancing Revolving Lender and as an Issuing Bank</w:t>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Andrew Maletta</w:t>
            </w:r>
          </w:p>
        </w:tc>
      </w:tr>
      <w:tr>
        <w:trPr/>
        <w:tc>
          <w:tcPr>
            <w:tcW w:w="6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Name: Andrew Maletta</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Executive Director</w:t>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Ryan Peters</w:t>
            </w:r>
          </w:p>
        </w:tc>
      </w:tr>
      <w:tr>
        <w:trPr/>
        <w:tc>
          <w:tcPr>
            <w:tcW w:w="6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Name: Ryan Peters</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Executive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254" w:type="dxa"/>
        <w:jc w:val="left"/>
        <w:tblInd w:w="0" w:type="dxa"/>
        <w:tblLayout w:type="fixed"/>
        <w:tblCellMar>
          <w:top w:w="28" w:type="dxa"/>
          <w:left w:w="28" w:type="dxa"/>
          <w:bottom w:w="28" w:type="dxa"/>
          <w:right w:w="28" w:type="dxa"/>
        </w:tblCellMar>
      </w:tblPr>
      <w:tblGrid>
        <w:gridCol w:w="1999"/>
        <w:gridCol w:w="1757"/>
        <w:gridCol w:w="2498"/>
      </w:tblGrid>
      <w:tr>
        <w:trPr/>
        <w:tc>
          <w:tcPr>
            <w:tcW w:w="1999"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BNP PARIBAS</w:t>
            </w:r>
          </w:p>
        </w:tc>
      </w:tr>
      <w:tr>
        <w:trPr/>
        <w:tc>
          <w:tcPr>
            <w:tcW w:w="62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2025 Refinancing Revolving Lender and as an Issuing Bank</w:t>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Albert Arencibia</w:t>
            </w:r>
          </w:p>
        </w:tc>
      </w:tr>
      <w:tr>
        <w:trPr/>
        <w:tc>
          <w:tcPr>
            <w:tcW w:w="6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Name: Albert Arencibia</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Director</w:t>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John Bosco</w:t>
            </w:r>
          </w:p>
        </w:tc>
      </w:tr>
      <w:tr>
        <w:trPr/>
        <w:tc>
          <w:tcPr>
            <w:tcW w:w="6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Name: John Bosco</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Title: Managing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4" w:after="283"/>
        <w:jc w:val="left"/>
        <w:rPr/>
      </w:pPr>
      <w:r>
        <w:rPr/>
      </w:r>
    </w:p>
    <w:tbl>
      <w:tblPr>
        <w:tblW w:w="6255" w:type="dxa"/>
        <w:jc w:val="left"/>
        <w:tblInd w:w="0" w:type="dxa"/>
        <w:tblLayout w:type="fixed"/>
        <w:tblCellMar>
          <w:top w:w="28" w:type="dxa"/>
          <w:left w:w="28" w:type="dxa"/>
          <w:bottom w:w="28" w:type="dxa"/>
          <w:right w:w="28" w:type="dxa"/>
        </w:tblCellMar>
      </w:tblPr>
      <w:tblGrid>
        <w:gridCol w:w="2002"/>
        <w:gridCol w:w="1758"/>
        <w:gridCol w:w="2495"/>
      </w:tblGrid>
      <w:tr>
        <w:trPr/>
        <w:tc>
          <w:tcPr>
            <w:tcW w:w="2002"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lineRule="atLeast" w:line="244"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JEFFERIES FINANCE LLC,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2025 Refinancing Revolving Lender and as an Issuing Bank</w:t>
            </w:r>
          </w:p>
        </w:tc>
      </w:tr>
      <w:tr>
        <w:trPr/>
        <w:tc>
          <w:tcPr>
            <w:tcW w:w="6255" w:type="dxa"/>
            <w:gridSpan w:val="3"/>
            <w:tcBorders/>
            <w:tcMar>
              <w:top w:w="0" w:type="dxa"/>
              <w:left w:w="0" w:type="dxa"/>
              <w:bottom w:w="0" w:type="dxa"/>
              <w:right w:w="0" w:type="dxa"/>
            </w:tcMar>
            <w:vAlign w:val="center"/>
          </w:tcPr>
          <w:p>
            <w:pPr>
              <w:pStyle w:val="TableContents"/>
              <w:bidi w:val="0"/>
              <w:spacing w:lineRule="atLeast" w:line="243" w:before="248"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JR Young</w:t>
            </w:r>
          </w:p>
        </w:tc>
      </w:tr>
      <w:tr>
        <w:trPr/>
        <w:tc>
          <w:tcPr>
            <w:tcW w:w="6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 w:after="283"/>
              <w:jc w:val="left"/>
              <w:rPr>
                <w:color w:val="000000"/>
              </w:rPr>
            </w:pPr>
            <w:r>
              <w:rPr>
                <w:color w:val="000000"/>
              </w:rPr>
              <w:t>     </w:t>
            </w:r>
            <w:r>
              <w:rPr>
                <w:rFonts w:ascii="Times New Roman;sans-serif" w:hAnsi="Times New Roman;sans-serif"/>
                <w:b w:val="false"/>
                <w:color w:val="000000"/>
                <w:sz w:val="22"/>
              </w:rPr>
              <w:t>Name: JR Young</w:t>
            </w:r>
          </w:p>
        </w:tc>
      </w:tr>
      <w:tr>
        <w:trPr/>
        <w:tc>
          <w:tcPr>
            <w:tcW w:w="6255" w:type="dxa"/>
            <w:gridSpan w:val="3"/>
            <w:tcBorders/>
            <w:tcMar>
              <w:top w:w="0" w:type="dxa"/>
              <w:left w:w="0" w:type="dxa"/>
              <w:bottom w:w="0" w:type="dxa"/>
              <w:right w:w="0" w:type="dxa"/>
            </w:tcMar>
            <w:vAlign w:val="center"/>
          </w:tcPr>
          <w:p>
            <w:pPr>
              <w:pStyle w:val="TableContents"/>
              <w:bidi w:val="0"/>
              <w:spacing w:lineRule="atLeast" w:line="228" w:before="1" w:after="283"/>
              <w:jc w:val="left"/>
              <w:rPr>
                <w:color w:val="000000"/>
              </w:rPr>
            </w:pPr>
            <w:r>
              <w:rPr>
                <w:color w:val="000000"/>
              </w:rPr>
              <w:t>     </w:t>
            </w:r>
            <w:r>
              <w:rPr>
                <w:rFonts w:ascii="Times New Roman;sans-serif" w:hAnsi="Times New Roman;sans-serif"/>
                <w:b w:val="false"/>
                <w:color w:val="000000"/>
                <w:sz w:val="22"/>
              </w:rPr>
              <w:t>Title: Managing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34" w:after="283"/>
        <w:jc w:val="left"/>
        <w:rPr/>
      </w:pPr>
      <w:r>
        <w:rPr/>
      </w:r>
    </w:p>
    <w:p>
      <w:pPr>
        <w:pStyle w:val="TextBody"/>
        <w:bidi w:val="0"/>
        <w:spacing w:lineRule="auto" w:line="288" w:before="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I</w:t>
      </w:r>
    </w:p>
    <w:p>
      <w:pPr>
        <w:pStyle w:val="TextBody"/>
        <w:bidi w:val="0"/>
        <w:spacing w:lineRule="auto" w:line="288" w:before="239" w:after="283"/>
        <w:jc w:val="center"/>
        <w:rPr>
          <w:rFonts w:ascii="Times New Roman;sans-serif" w:hAnsi="Times New Roman;sans-serif"/>
          <w:b/>
          <w:color w:val="000000"/>
          <w:sz w:val="22"/>
        </w:rPr>
      </w:pPr>
      <w:r>
        <w:rPr>
          <w:rFonts w:ascii="Times New Roman;sans-serif" w:hAnsi="Times New Roman;sans-serif"/>
          <w:b/>
          <w:color w:val="000000"/>
          <w:sz w:val="22"/>
        </w:rPr>
        <w:t>As of the Amendment No. 5 Effective Date:</w:t>
      </w:r>
    </w:p>
    <w:p>
      <w:pPr>
        <w:pStyle w:val="TextBody"/>
        <w:bidi w:val="0"/>
        <w:spacing w:before="10" w:after="283"/>
        <w:jc w:val="left"/>
        <w:rPr/>
      </w:pPr>
      <w:r>
        <w:rPr/>
      </w:r>
    </w:p>
    <w:tbl>
      <w:tblPr>
        <w:tblW w:w="10205" w:type="dxa"/>
        <w:jc w:val="left"/>
        <w:tblInd w:w="0" w:type="dxa"/>
        <w:tblLayout w:type="fixed"/>
        <w:tblCellMar>
          <w:top w:w="28" w:type="dxa"/>
          <w:left w:w="28" w:type="dxa"/>
          <w:bottom w:w="28" w:type="dxa"/>
          <w:right w:w="28" w:type="dxa"/>
        </w:tblCellMar>
      </w:tblPr>
      <w:tblGrid>
        <w:gridCol w:w="764"/>
        <w:gridCol w:w="671"/>
        <w:gridCol w:w="675"/>
        <w:gridCol w:w="955"/>
        <w:gridCol w:w="765"/>
        <w:gridCol w:w="767"/>
        <w:gridCol w:w="1081"/>
        <w:gridCol w:w="829"/>
        <w:gridCol w:w="833"/>
        <w:gridCol w:w="972"/>
        <w:gridCol w:w="781"/>
        <w:gridCol w:w="1112"/>
      </w:tblGrid>
      <w:tr>
        <w:trPr/>
        <w:tc>
          <w:tcPr>
            <w:tcW w:w="76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top w:val="single" w:sz="4" w:space="0" w:color="000000"/>
              <w:left w:val="single" w:sz="4" w:space="0" w:color="000000"/>
            </w:tcBorders>
            <w:shd w:fill="E6E6E6" w:val="clear"/>
            <w:tcMar>
              <w:top w:w="30" w:type="dxa"/>
              <w:bottom w:w="0" w:type="dxa"/>
              <w:right w:w="0" w:type="dxa"/>
            </w:tcMar>
            <w:vAlign w:val="center"/>
          </w:tcPr>
          <w:p>
            <w:pPr>
              <w:pStyle w:val="TableContents"/>
              <w:bidi w:val="0"/>
              <w:spacing w:lineRule="auto" w:line="283" w:before="248" w:after="283"/>
              <w:ind w:left="0" w:right="0" w:hanging="12"/>
              <w:jc w:val="left"/>
              <w:rPr/>
            </w:pPr>
            <w:r>
              <w:rPr>
                <w:rFonts w:ascii="Times New Roman;sans-serif" w:hAnsi="Times New Roman;sans-serif"/>
                <w:b/>
                <w:color w:val="000000"/>
                <w:sz w:val="22"/>
                <w:u w:val="single"/>
              </w:rPr>
              <w:t>Amendment No. 5</w:t>
            </w:r>
            <w:r>
              <w:rPr>
                <w:color w:val="000000"/>
              </w:rPr>
              <w:t xml:space="preserve"> </w:t>
            </w:r>
            <w:r>
              <w:rPr>
                <w:rFonts w:ascii="Times New Roman;sans-serif" w:hAnsi="Times New Roman;sans-serif"/>
                <w:b/>
                <w:color w:val="000000"/>
                <w:sz w:val="22"/>
                <w:u w:val="single"/>
              </w:rPr>
              <w:t>Revolving Lender</w:t>
            </w:r>
          </w:p>
        </w:tc>
        <w:tc>
          <w:tcPr>
            <w:tcW w:w="2487" w:type="dxa"/>
            <w:gridSpan w:val="3"/>
            <w:tcBorders>
              <w:top w:val="single" w:sz="4" w:space="0" w:color="000000"/>
              <w:left w:val="single" w:sz="4" w:space="0" w:color="000000"/>
            </w:tcBorders>
            <w:shd w:fill="E6E6E6" w:val="clear"/>
            <w:tcMar>
              <w:top w:w="30" w:type="dxa"/>
              <w:bottom w:w="0" w:type="dxa"/>
              <w:right w:w="0" w:type="dxa"/>
            </w:tcMar>
            <w:vAlign w:val="center"/>
          </w:tcPr>
          <w:p>
            <w:pPr>
              <w:pStyle w:val="TableContents"/>
              <w:bidi w:val="0"/>
              <w:spacing w:lineRule="auto" w:line="288" w:before="121" w:after="283"/>
              <w:jc w:val="center"/>
              <w:rPr/>
            </w:pPr>
            <w:r>
              <w:rPr>
                <w:rFonts w:ascii="Times New Roman;sans-serif" w:hAnsi="Times New Roman;sans-serif"/>
                <w:b/>
                <w:color w:val="000000"/>
                <w:sz w:val="22"/>
                <w:u w:val="single"/>
              </w:rPr>
              <w:t>2025 Refinancing</w:t>
            </w:r>
            <w:r>
              <w:rPr>
                <w:color w:val="000000"/>
              </w:rPr>
              <w:t xml:space="preserve"> </w:t>
            </w:r>
            <w:r>
              <w:rPr>
                <w:rFonts w:ascii="Times New Roman;sans-serif" w:hAnsi="Times New Roman;sans-serif"/>
                <w:b/>
                <w:color w:val="000000"/>
                <w:sz w:val="22"/>
                <w:u w:val="single"/>
              </w:rPr>
              <w:t>Revolving</w:t>
            </w:r>
            <w:r>
              <w:rPr>
                <w:color w:val="000000"/>
              </w:rPr>
              <w:t xml:space="preserve"> </w:t>
            </w:r>
            <w:r>
              <w:rPr>
                <w:rFonts w:ascii="Times New Roman;sans-serif" w:hAnsi="Times New Roman;sans-serif"/>
                <w:b/>
                <w:color w:val="000000"/>
                <w:sz w:val="22"/>
                <w:u w:val="single"/>
              </w:rPr>
              <w:t>Commitments</w:t>
            </w:r>
          </w:p>
        </w:tc>
        <w:tc>
          <w:tcPr>
            <w:tcW w:w="2743" w:type="dxa"/>
            <w:gridSpan w:val="3"/>
            <w:tcBorders>
              <w:top w:val="single" w:sz="4" w:space="0" w:color="000000"/>
              <w:left w:val="single" w:sz="4" w:space="0" w:color="000000"/>
            </w:tcBorders>
            <w:shd w:fill="E6E6E6" w:val="clear"/>
            <w:tcMar>
              <w:top w:w="30" w:type="dxa"/>
              <w:bottom w:w="0" w:type="dxa"/>
              <w:right w:w="0" w:type="dxa"/>
            </w:tcMar>
            <w:vAlign w:val="center"/>
          </w:tcPr>
          <w:p>
            <w:pPr>
              <w:pStyle w:val="TableContents"/>
              <w:bidi w:val="0"/>
              <w:spacing w:lineRule="auto" w:line="280" w:before="58" w:after="283"/>
              <w:ind w:left="0" w:right="0" w:firstLine="1"/>
              <w:jc w:val="center"/>
              <w:rPr/>
            </w:pPr>
            <w:r>
              <w:rPr>
                <w:rFonts w:ascii="Times New Roman;sans-serif" w:hAnsi="Times New Roman;sans-serif"/>
                <w:b/>
                <w:color w:val="000000"/>
                <w:sz w:val="22"/>
                <w:u w:val="single"/>
              </w:rPr>
              <w:t>Amendment No. 5</w:t>
            </w:r>
            <w:r>
              <w:rPr>
                <w:color w:val="000000"/>
              </w:rPr>
              <w:t xml:space="preserve"> </w:t>
            </w:r>
            <w:r>
              <w:rPr>
                <w:rFonts w:ascii="Times New Roman;sans-serif" w:hAnsi="Times New Roman;sans-serif"/>
                <w:b/>
                <w:color w:val="000000"/>
                <w:sz w:val="22"/>
                <w:u w:val="single"/>
              </w:rPr>
              <w:t>Revolving Commitment</w:t>
            </w:r>
            <w:r>
              <w:rPr>
                <w:color w:val="000000"/>
              </w:rPr>
              <w:t xml:space="preserve"> </w:t>
            </w:r>
            <w:r>
              <w:rPr>
                <w:rFonts w:ascii="Times New Roman;sans-serif" w:hAnsi="Times New Roman;sans-serif"/>
                <w:b/>
                <w:color w:val="000000"/>
                <w:sz w:val="22"/>
                <w:u w:val="single"/>
              </w:rPr>
              <w:t>Increase</w:t>
            </w:r>
          </w:p>
        </w:tc>
        <w:tc>
          <w:tcPr>
            <w:tcW w:w="2865" w:type="dxa"/>
            <w:gridSpan w:val="3"/>
            <w:tcBorders>
              <w:top w:val="single" w:sz="4" w:space="0" w:color="000000"/>
              <w:left w:val="single" w:sz="4" w:space="0" w:color="000000"/>
              <w:right w:val="single" w:sz="4" w:space="0" w:color="000000"/>
            </w:tcBorders>
            <w:shd w:fill="E6E6E6" w:val="clear"/>
            <w:tcMar>
              <w:top w:w="30" w:type="dxa"/>
              <w:bottom w:w="0" w:type="dxa"/>
            </w:tcMar>
            <w:vAlign w:val="center"/>
          </w:tcPr>
          <w:p>
            <w:pPr>
              <w:pStyle w:val="TableContents"/>
              <w:bidi w:val="0"/>
              <w:spacing w:lineRule="auto" w:line="280" w:before="58" w:after="283"/>
              <w:ind w:left="0" w:right="0" w:hanging="2"/>
              <w:jc w:val="center"/>
              <w:rPr/>
            </w:pPr>
            <w:r>
              <w:rPr>
                <w:rFonts w:ascii="Times New Roman;sans-serif" w:hAnsi="Times New Roman;sans-serif"/>
                <w:b/>
                <w:color w:val="000000"/>
                <w:sz w:val="22"/>
                <w:u w:val="single"/>
              </w:rPr>
              <w:t>Aggregate 2025</w:t>
            </w:r>
            <w:r>
              <w:rPr>
                <w:color w:val="000000"/>
              </w:rPr>
              <w:t xml:space="preserve"> </w:t>
            </w:r>
            <w:r>
              <w:rPr>
                <w:rFonts w:ascii="Times New Roman;sans-serif" w:hAnsi="Times New Roman;sans-serif"/>
                <w:b/>
                <w:color w:val="000000"/>
                <w:sz w:val="22"/>
                <w:u w:val="single"/>
              </w:rPr>
              <w:t>Refinancing Revolving</w:t>
            </w:r>
            <w:r>
              <w:rPr>
                <w:color w:val="000000"/>
              </w:rPr>
              <w:t xml:space="preserve"> </w:t>
            </w:r>
            <w:r>
              <w:rPr>
                <w:rFonts w:ascii="Times New Roman;sans-serif" w:hAnsi="Times New Roman;sans-serif"/>
                <w:b/>
                <w:color w:val="000000"/>
                <w:sz w:val="22"/>
                <w:u w:val="single"/>
              </w:rPr>
              <w:t>Commitments</w:t>
            </w:r>
          </w:p>
        </w:tc>
      </w:tr>
      <w:tr>
        <w:trPr/>
        <w:tc>
          <w:tcPr>
            <w:tcW w:w="21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1"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tc>
        <w:tc>
          <w:tcPr>
            <w:tcW w:w="24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$108,250,000</w:t>
            </w:r>
          </w:p>
        </w:tc>
        <w:tc>
          <w:tcPr>
            <w:tcW w:w="2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$24,250,000</w:t>
            </w:r>
          </w:p>
        </w:tc>
        <w:tc>
          <w:tcPr>
            <w:tcW w:w="28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$132,500,000</w:t>
            </w:r>
          </w:p>
        </w:tc>
      </w:tr>
      <w:tr>
        <w:trPr/>
        <w:tc>
          <w:tcPr>
            <w:tcW w:w="21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4"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Citibank, N.A.</w:t>
            </w:r>
          </w:p>
        </w:tc>
        <w:tc>
          <w:tcPr>
            <w:tcW w:w="24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4"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$49,000,000</w:t>
            </w:r>
          </w:p>
        </w:tc>
        <w:tc>
          <w:tcPr>
            <w:tcW w:w="2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4"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$33,500,000</w:t>
            </w:r>
          </w:p>
        </w:tc>
        <w:tc>
          <w:tcPr>
            <w:tcW w:w="28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4"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$82,500,000</w:t>
            </w:r>
          </w:p>
        </w:tc>
      </w:tr>
      <w:tr>
        <w:trPr/>
        <w:tc>
          <w:tcPr>
            <w:tcW w:w="21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3" w:before="58"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Goldman Sachs Bank USA</w:t>
            </w:r>
          </w:p>
        </w:tc>
        <w:tc>
          <w:tcPr>
            <w:tcW w:w="24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$49,000,000</w:t>
            </w:r>
          </w:p>
        </w:tc>
        <w:tc>
          <w:tcPr>
            <w:tcW w:w="2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$16,000,000</w:t>
            </w:r>
          </w:p>
        </w:tc>
        <w:tc>
          <w:tcPr>
            <w:tcW w:w="28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$65,000,000</w:t>
            </w:r>
          </w:p>
        </w:tc>
      </w:tr>
      <w:tr>
        <w:trPr/>
        <w:tc>
          <w:tcPr>
            <w:tcW w:w="21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0" w:before="58"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Goldman Sachs Lending Partners LLC</w:t>
            </w:r>
          </w:p>
        </w:tc>
        <w:tc>
          <w:tcPr>
            <w:tcW w:w="24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59" w:after="283"/>
              <w:jc w:val="left"/>
              <w:rPr/>
            </w:pPr>
            <w:r>
              <w:rPr/>
            </w:r>
          </w:p>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59" w:after="283"/>
              <w:jc w:val="left"/>
              <w:rPr/>
            </w:pPr>
            <w:r>
              <w:rPr/>
            </w:r>
          </w:p>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$17,500,000</w:t>
            </w:r>
          </w:p>
        </w:tc>
        <w:tc>
          <w:tcPr>
            <w:tcW w:w="28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59" w:after="283"/>
              <w:jc w:val="left"/>
              <w:rPr/>
            </w:pPr>
            <w:r>
              <w:rPr/>
            </w:r>
          </w:p>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$17,500,000</w:t>
            </w:r>
          </w:p>
        </w:tc>
      </w:tr>
      <w:tr>
        <w:trPr/>
        <w:tc>
          <w:tcPr>
            <w:tcW w:w="21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3" w:before="58"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Royal Bank of Canada</w:t>
            </w:r>
          </w:p>
        </w:tc>
        <w:tc>
          <w:tcPr>
            <w:tcW w:w="24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$40,000,000</w:t>
            </w:r>
          </w:p>
        </w:tc>
        <w:tc>
          <w:tcPr>
            <w:tcW w:w="2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$42,500,000</w:t>
            </w:r>
          </w:p>
        </w:tc>
        <w:tc>
          <w:tcPr>
            <w:tcW w:w="28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$82,500,000</w:t>
            </w:r>
          </w:p>
        </w:tc>
      </w:tr>
      <w:tr>
        <w:trPr/>
        <w:tc>
          <w:tcPr>
            <w:tcW w:w="21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1"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Barclays Bank PLC</w:t>
            </w:r>
          </w:p>
        </w:tc>
        <w:tc>
          <w:tcPr>
            <w:tcW w:w="24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$40,000,000</w:t>
            </w:r>
          </w:p>
        </w:tc>
        <w:tc>
          <w:tcPr>
            <w:tcW w:w="2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8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$40,000,000</w:t>
            </w:r>
          </w:p>
        </w:tc>
      </w:tr>
      <w:tr>
        <w:trPr/>
        <w:tc>
          <w:tcPr>
            <w:tcW w:w="21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58"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Citizens Bank, N.A.</w:t>
            </w:r>
          </w:p>
        </w:tc>
        <w:tc>
          <w:tcPr>
            <w:tcW w:w="24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$12,500,000</w:t>
            </w:r>
          </w:p>
        </w:tc>
        <w:tc>
          <w:tcPr>
            <w:tcW w:w="2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$27,500,000</w:t>
            </w:r>
          </w:p>
        </w:tc>
        <w:tc>
          <w:tcPr>
            <w:tcW w:w="28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$40,000,000</w:t>
            </w:r>
          </w:p>
        </w:tc>
      </w:tr>
      <w:tr>
        <w:trPr/>
        <w:tc>
          <w:tcPr>
            <w:tcW w:w="21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59" w:after="283"/>
              <w:jc w:val="left"/>
              <w:rPr>
                <w:rFonts w:ascii="Times New Roman;sans-serif" w:hAnsi="Times New Roman;sans-serif"/>
                <w:b w:val="false"/>
                <w:color w:val="000000"/>
                <w:sz w:val="22"/>
              </w:rPr>
            </w:pPr>
            <w:r>
              <w:rPr>
                <w:rFonts w:ascii="Times New Roman;sans-serif" w:hAnsi="Times New Roman;sans-serif"/>
                <w:b w:val="false"/>
                <w:color w:val="000000"/>
                <w:sz w:val="22"/>
              </w:rPr>
              <w:t>KeyBank National Association</w:t>
            </w:r>
          </w:p>
        </w:tc>
        <w:tc>
          <w:tcPr>
            <w:tcW w:w="24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$25,000,000</w:t>
            </w:r>
          </w:p>
        </w:tc>
        <w:tc>
          <w:tcPr>
            <w:tcW w:w="2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$15,000,000</w:t>
            </w:r>
          </w:p>
        </w:tc>
        <w:tc>
          <w:tcPr>
            <w:tcW w:w="28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$40,000,000</w:t>
            </w:r>
          </w:p>
        </w:tc>
      </w:tr>
      <w:tr>
        <w:trPr/>
        <w:tc>
          <w:tcPr>
            <w:tcW w:w="21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0" w:before="58"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Banco Santander, S.A., New York Branch</w:t>
            </w:r>
          </w:p>
        </w:tc>
        <w:tc>
          <w:tcPr>
            <w:tcW w:w="24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59" w:after="283"/>
              <w:jc w:val="left"/>
              <w:rPr/>
            </w:pPr>
            <w:r>
              <w:rPr/>
            </w:r>
          </w:p>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$37,500,000</w:t>
            </w:r>
          </w:p>
        </w:tc>
        <w:tc>
          <w:tcPr>
            <w:tcW w:w="2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59" w:after="283"/>
              <w:jc w:val="left"/>
              <w:rPr/>
            </w:pPr>
            <w:r>
              <w:rPr/>
            </w:r>
          </w:p>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8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59" w:after="283"/>
              <w:jc w:val="left"/>
              <w:rPr/>
            </w:pPr>
            <w:r>
              <w:rPr/>
            </w:r>
          </w:p>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$37,500,000</w:t>
            </w:r>
          </w:p>
        </w:tc>
      </w:tr>
      <w:tr>
        <w:trPr/>
        <w:tc>
          <w:tcPr>
            <w:tcW w:w="21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1" w:after="283"/>
              <w:jc w:val="left"/>
              <w:rPr>
                <w:rFonts w:ascii="Times New Roman;sans-serif" w:hAnsi="Times New Roman;sans-serif"/>
                <w:b w:val="false"/>
                <w:color w:val="000000"/>
                <w:sz w:val="22"/>
              </w:rPr>
            </w:pPr>
            <w:r>
              <w:rPr>
                <w:rFonts w:ascii="Times New Roman;sans-serif" w:hAnsi="Times New Roman;sans-serif"/>
                <w:b w:val="false"/>
                <w:color w:val="000000"/>
                <w:sz w:val="22"/>
              </w:rPr>
              <w:t>BNP Paribas</w:t>
            </w:r>
          </w:p>
        </w:tc>
        <w:tc>
          <w:tcPr>
            <w:tcW w:w="24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$32,500,000</w:t>
            </w:r>
          </w:p>
        </w:tc>
        <w:tc>
          <w:tcPr>
            <w:tcW w:w="2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8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$32,500,000</w:t>
            </w:r>
          </w:p>
        </w:tc>
      </w:tr>
      <w:tr>
        <w:trPr/>
        <w:tc>
          <w:tcPr>
            <w:tcW w:w="21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58" w:after="283"/>
              <w:jc w:val="left"/>
              <w:rPr>
                <w:rFonts w:ascii="Times New Roman;sans-serif" w:hAnsi="Times New Roman;sans-serif"/>
                <w:b w:val="false"/>
                <w:color w:val="000000"/>
                <w:sz w:val="22"/>
              </w:rPr>
            </w:pPr>
            <w:r>
              <w:rPr>
                <w:rFonts w:ascii="Times New Roman;sans-serif" w:hAnsi="Times New Roman;sans-serif"/>
                <w:b w:val="false"/>
                <w:color w:val="000000"/>
                <w:sz w:val="22"/>
              </w:rPr>
              <w:t>Jefferies Finance LLC</w:t>
            </w:r>
          </w:p>
        </w:tc>
        <w:tc>
          <w:tcPr>
            <w:tcW w:w="24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$30,000,000</w:t>
            </w:r>
          </w:p>
        </w:tc>
        <w:tc>
          <w:tcPr>
            <w:tcW w:w="2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8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8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$30,000,000</w:t>
            </w:r>
          </w:p>
        </w:tc>
      </w:tr>
      <w:tr>
        <w:trPr/>
        <w:tc>
          <w:tcPr>
            <w:tcW w:w="21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61" w:after="283"/>
              <w:jc w:val="center"/>
              <w:rPr>
                <w:rFonts w:ascii="Times New Roman;sans-serif" w:hAnsi="Times New Roman;sans-serif"/>
                <w:b/>
                <w:color w:val="000000"/>
                <w:sz w:val="22"/>
              </w:rPr>
            </w:pPr>
            <w:r>
              <w:rPr>
                <w:rFonts w:ascii="Times New Roman;sans-serif" w:hAnsi="Times New Roman;sans-serif"/>
                <w:b/>
                <w:color w:val="000000"/>
                <w:sz w:val="22"/>
              </w:rPr>
              <w:t>Total:</w:t>
            </w:r>
          </w:p>
        </w:tc>
        <w:tc>
          <w:tcPr>
            <w:tcW w:w="248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61" w:after="283"/>
              <w:jc w:val="center"/>
              <w:rPr>
                <w:rFonts w:ascii="Times New Roman;sans-serif" w:hAnsi="Times New Roman;sans-serif"/>
                <w:b/>
                <w:color w:val="000000"/>
                <w:sz w:val="22"/>
              </w:rPr>
            </w:pPr>
            <w:r>
              <w:rPr>
                <w:rFonts w:ascii="Times New Roman;sans-serif" w:hAnsi="Times New Roman;sans-serif"/>
                <w:b/>
                <w:color w:val="000000"/>
                <w:sz w:val="22"/>
              </w:rPr>
              <w:t>$423,750,000.00</w:t>
            </w:r>
          </w:p>
        </w:tc>
        <w:tc>
          <w:tcPr>
            <w:tcW w:w="274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61" w:after="283"/>
              <w:jc w:val="center"/>
              <w:rPr>
                <w:rFonts w:ascii="Times New Roman;sans-serif" w:hAnsi="Times New Roman;sans-serif"/>
                <w:b/>
                <w:color w:val="000000"/>
                <w:sz w:val="22"/>
              </w:rPr>
            </w:pPr>
            <w:r>
              <w:rPr>
                <w:rFonts w:ascii="Times New Roman;sans-serif" w:hAnsi="Times New Roman;sans-serif"/>
                <w:b/>
                <w:color w:val="000000"/>
                <w:sz w:val="22"/>
              </w:rPr>
              <w:t>$176,250,000.00</w:t>
            </w:r>
          </w:p>
        </w:tc>
        <w:tc>
          <w:tcPr>
            <w:tcW w:w="286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61" w:after="283"/>
              <w:jc w:val="center"/>
              <w:rPr>
                <w:rFonts w:ascii="Times New Roman;sans-serif" w:hAnsi="Times New Roman;sans-serif"/>
                <w:b/>
                <w:color w:val="000000"/>
                <w:sz w:val="22"/>
              </w:rPr>
            </w:pPr>
            <w:r>
              <w:rPr>
                <w:rFonts w:ascii="Times New Roman;sans-serif" w:hAnsi="Times New Roman;sans-serif"/>
                <w:b/>
                <w:color w:val="000000"/>
                <w:sz w:val="22"/>
              </w:rPr>
              <w:t>$600,000,000.00</w:t>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Annex A</w:t>
      </w:r>
    </w:p>
    <w:p>
      <w:pPr>
        <w:pStyle w:val="TextBody"/>
        <w:bidi w:val="0"/>
        <w:spacing w:lineRule="auto" w:line="288" w:before="242"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(Amended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right"/>
        <w:rPr>
          <w:rFonts w:ascii="Times New Roman;sans-serif" w:hAnsi="Times New Roman;sans-serif"/>
          <w:b/>
          <w:color w:val="000000"/>
          <w:sz w:val="20"/>
        </w:rPr>
      </w:pPr>
      <w:r>
        <w:rPr>
          <w:rFonts w:ascii="Times New Roman;sans-serif" w:hAnsi="Times New Roman;sans-serif"/>
          <w:b/>
          <w:color w:val="000000"/>
          <w:sz w:val="20"/>
        </w:rPr>
        <w:t>Execution Version</w:t>
      </w:r>
    </w:p>
    <w:p>
      <w:pPr>
        <w:pStyle w:val="TextBody"/>
        <w:bidi w:val="0"/>
        <w:spacing w:lineRule="auto" w:line="288" w:before="1"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ANNEX A</w:t>
      </w:r>
    </w:p>
    <w:p>
      <w:pPr>
        <w:pStyle w:val="TextBody"/>
        <w:bidi w:val="0"/>
        <w:spacing w:before="221" w:after="283"/>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CREDIT AGREEMENT</w:t>
      </w:r>
    </w:p>
    <w:p>
      <w:pPr>
        <w:pStyle w:val="TextBody"/>
        <w:bidi w:val="0"/>
        <w:spacing w:before="1" w:after="283"/>
        <w:jc w:val="left"/>
        <w:rPr/>
      </w:pPr>
      <w:r>
        <w:rPr/>
      </w:r>
    </w:p>
    <w:p>
      <w:pPr>
        <w:pStyle w:val="TextBody"/>
        <w:bidi w:val="0"/>
        <w:spacing w:lineRule="auto" w:line="55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dated as of December 13, 2019</w:t>
      </w:r>
    </w:p>
    <w:p>
      <w:pPr>
        <w:pStyle w:val="TextBody"/>
        <w:bidi w:val="0"/>
        <w:spacing w:lineRule="auto" w:line="288" w:before="2" w:after="283"/>
        <w:ind w:left="0" w:right="0" w:hanging="37"/>
        <w:jc w:val="center"/>
        <w:rPr/>
      </w:pPr>
      <w:r>
        <w:rPr>
          <w:rFonts w:ascii="Times New Roman;sans-serif" w:hAnsi="Times New Roman;sans-serif"/>
          <w:b w:val="false"/>
          <w:color w:val="000000"/>
          <w:sz w:val="20"/>
        </w:rPr>
        <w:t>as amended by that certain Incremental Facility Amendment, dated as of December 17, 2020, as further amended by that certain Refinancing Amendment, dated as of January 20, 2021, as further amended by that certain Resignation, Consent and Appointment Agreement, dated as of January 20, 2021, as further amended by that certain Revolving Facilities Amendment, dated as of March 26, 2021, as further amended by that certain Amendment to First Lien Credit Agreement, dated as of December 23, 2021, as further amended by that certain Amendment to First Lien Credit Agreement, dated as of March 24, 2022, as further amended by that certain Incremental Facility Amendment No. 2 dated as of March 21, 2023, as further amended by that certain Amendment to the First Lien Credit Agreement, dated as of June 22, 2023, as further amended by that certain Amendment No. 3 dated as of March 1, 2024</w:t>
      </w:r>
      <w:r>
        <w:rPr>
          <w:strike/>
          <w:color w:val="FF0000"/>
        </w:rPr>
        <w:t xml:space="preserve"> </w:t>
      </w:r>
      <w:r>
        <w:rPr>
          <w:rFonts w:ascii="Times New Roman;sans-serif" w:hAnsi="Times New Roman;sans-serif"/>
          <w:b/>
          <w:strike/>
          <w:color w:val="FF0000"/>
          <w:sz w:val="20"/>
        </w:rPr>
        <w:t>and</w:t>
      </w:r>
      <w:r>
        <w:rPr>
          <w:rFonts w:ascii="Times New Roman;sans-serif" w:hAnsi="Times New Roman;sans-serif"/>
          <w:b/>
          <w:color w:val="0000FF"/>
          <w:sz w:val="20"/>
        </w:rPr>
        <w:t xml:space="preserve">, </w:t>
      </w:r>
      <w:r>
        <w:rPr>
          <w:rFonts w:ascii="Times New Roman;sans-serif" w:hAnsi="Times New Roman;sans-serif"/>
          <w:b w:val="false"/>
          <w:color w:val="000000"/>
          <w:sz w:val="20"/>
        </w:rPr>
        <w:t xml:space="preserve">as further amended by that certain Amendment No.4 dated as of May 30, 2024 </w:t>
      </w:r>
      <w:r>
        <w:rPr>
          <w:rFonts w:ascii="Times New Roman;sans-serif" w:hAnsi="Times New Roman;sans-serif"/>
          <w:b/>
          <w:color w:val="0000FF"/>
          <w:sz w:val="20"/>
          <w:u w:val="single"/>
        </w:rPr>
        <w:t>and as further amended by that certain Amendment No. 5 dated as of April 30</w:t>
      </w:r>
      <w:r>
        <w:rPr>
          <w:rFonts w:ascii="Times New Roman;sans-serif" w:hAnsi="Times New Roman;sans-serif"/>
          <w:b/>
          <w:color w:val="0000FF"/>
          <w:sz w:val="20"/>
        </w:rPr>
        <w:t>,</w:t>
      </w:r>
      <w:r>
        <w:rPr>
          <w:color w:val="0000FF"/>
          <w:u w:val="single"/>
        </w:rPr>
        <w:t xml:space="preserve"> </w:t>
      </w:r>
      <w:r>
        <w:rPr>
          <w:rFonts w:ascii="Times New Roman;sans-serif" w:hAnsi="Times New Roman;sans-serif"/>
          <w:b/>
          <w:color w:val="0000FF"/>
          <w:sz w:val="20"/>
          <w:u w:val="single"/>
        </w:rPr>
        <w:t>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among</w:t>
      </w:r>
    </w:p>
    <w:p>
      <w:pPr>
        <w:pStyle w:val="TextBody"/>
        <w:bidi w:val="0"/>
        <w:spacing w:lineRule="auto" w:line="288" w:before="219"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SOTERA HEALTH COMPANY (f/k/a SOTERA HEALTH TOPCO,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Holdings,</w:t>
      </w:r>
    </w:p>
    <w:p>
      <w:pPr>
        <w:pStyle w:val="TextBody"/>
        <w:bidi w:val="0"/>
        <w:spacing w:before="1" w:after="283"/>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SOTERA HEALTH HOLDINGS, LLC,</w:t>
      </w:r>
    </w:p>
    <w:p>
      <w:pPr>
        <w:pStyle w:val="TextBody"/>
        <w:bidi w:val="0"/>
        <w:spacing w:lineRule="auto" w:line="288"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Borrower,</w:t>
      </w:r>
    </w:p>
    <w:p>
      <w:pPr>
        <w:pStyle w:val="TextBody"/>
        <w:bidi w:val="0"/>
        <w:spacing w:before="0" w:after="0"/>
        <w:jc w:val="left"/>
        <w:rPr/>
      </w:pPr>
      <w:r>
        <w:rPr/>
      </w:r>
    </w:p>
    <w:p>
      <w:pPr>
        <w:pStyle w:val="TextBody"/>
        <w:bidi w:val="0"/>
        <w:spacing w:lineRule="auto" w:line="556"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Lenders and Issuing Banks party hereto and</w:t>
      </w:r>
    </w:p>
    <w:p>
      <w:pPr>
        <w:pStyle w:val="TextBody"/>
        <w:bidi w:val="0"/>
        <w:spacing w:lineRule="auto" w:line="288"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JPMORGAN CHASE BANK, N.A.,</w:t>
      </w:r>
    </w:p>
    <w:p>
      <w:pPr>
        <w:pStyle w:val="TextBody"/>
        <w:bidi w:val="0"/>
        <w:spacing w:lineRule="auto" w:line="288"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First Lien Administrative Agent and First Lien Collateral Agent</w:t>
      </w:r>
    </w:p>
    <w:p>
      <w:pPr>
        <w:pStyle w:val="TextBody"/>
        <w:bidi w:val="0"/>
        <w:spacing w:before="6" w:after="283"/>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JEFFERIES FINANCE LLC, JPMORGAN CHASE BANK, N.A., BARCLAYS BANK PLC</w:t>
      </w:r>
    </w:p>
    <w:p>
      <w:pPr>
        <w:pStyle w:val="TextBody"/>
        <w:bidi w:val="0"/>
        <w:spacing w:lineRule="auto" w:line="288" w:before="2" w:after="283"/>
        <w:jc w:val="center"/>
        <w:rPr/>
      </w:pPr>
      <w:r>
        <w:rPr>
          <w:rFonts w:ascii="Times New Roman;sans-serif" w:hAnsi="Times New Roman;sans-serif"/>
          <w:b w:val="false"/>
          <w:color w:val="000000"/>
          <w:sz w:val="20"/>
        </w:rPr>
        <w:t>RBC CAPITAL MARKETS</w:t>
      </w:r>
      <w:r>
        <w:rPr>
          <w:rFonts w:ascii="Times New Roman;sans-serif" w:hAnsi="Times New Roman;sans-serif"/>
          <w:b w:val="false"/>
          <w:color w:val="000000"/>
          <w:sz w:val="13"/>
        </w:rPr>
        <w:t>1</w:t>
      </w:r>
      <w:r>
        <w:rPr>
          <w:rFonts w:ascii="Times New Roman;sans-serif" w:hAnsi="Times New Roman;sans-serif"/>
          <w:b w:val="false"/>
          <w:color w:val="000000"/>
          <w:sz w:val="8"/>
        </w:rPr>
        <w:t>1</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ING CAPITAL LLC</w:t>
      </w:r>
    </w:p>
    <w:p>
      <w:pPr>
        <w:pStyle w:val="TextBody"/>
        <w:bidi w:val="0"/>
        <w:spacing w:before="1" w:after="283"/>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Joint Lead Arrangers and Joint Bookrunners</w:t>
      </w:r>
    </w:p>
    <w:p>
      <w:pPr>
        <w:pStyle w:val="TextBody"/>
        <w:bidi w:val="0"/>
        <w:spacing w:before="218"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26" w:after="283"/>
        <w:jc w:val="left"/>
        <w:rPr/>
      </w:pPr>
      <w:r>
        <w:rPr/>
      </w:r>
    </w:p>
    <w:p>
      <w:pPr>
        <w:pStyle w:val="TextBody"/>
        <w:bidi w:val="0"/>
        <w:spacing w:lineRule="auto" w:line="288" w:before="35"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RBC Capital Markets is a marketing name for the capital markets activities of Royal Bank of Canada and its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1"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Page</w:t>
      </w:r>
    </w:p>
    <w:p>
      <w:pPr>
        <w:pStyle w:val="TextBody"/>
        <w:bidi w:val="0"/>
        <w:spacing w:lineRule="auto" w:line="288" w:before="43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 DEFINITIONS    1</w:t>
      </w:r>
    </w:p>
    <w:p>
      <w:pPr>
        <w:pStyle w:val="TextBody"/>
        <w:bidi w:val="0"/>
        <w:spacing w:lineRule="auto" w:line="288" w:before="154"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1.01    Defined Terms    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1.02    Classification of Loans and Borrowings    73</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1.03    Terms Generally    73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1.04    Accounting Terms; GAAP    73</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1.05    Effectuation of Transactions    74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1.06    Limited Condition Transactions    74</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1.07    Certain Determinations    74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1.08    Additional Alternative Currencies    75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1.09    Currency Equivalents Generally    76</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    Change in Currency    76</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1.11    Divisions    77</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1.12    [Reserved]    77</w:t>
      </w:r>
    </w:p>
    <w:p>
      <w:pPr>
        <w:pStyle w:val="TextBody"/>
        <w:bidi w:val="0"/>
        <w:spacing w:lineRule="auto" w:line="288" w:before="86"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II THE CREDITS    77</w:t>
      </w:r>
    </w:p>
    <w:p>
      <w:pPr>
        <w:pStyle w:val="TextBody"/>
        <w:bidi w:val="0"/>
        <w:spacing w:lineRule="auto" w:line="288" w:before="1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2.01    Commitments    77</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2.02    Loans and Borrowings    77</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2.03    Requests for Borrowings    78</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2.04    Swingline Loans    79</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2.05    Letters of Credit    80</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2.06    Funding of Borrowings    86</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2.07    Interest Elections    87</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2.08    Termination and Reduction of Commitments    88</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2.09    Repayment of Loans; Evidence of Debt    89</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2.10    Amortization of Term Loans    89</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2.11    Prepayment of Loans    90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2.12    Fees    99</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2.13    Interest    100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2.14    Alternate Rate of Interest    101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2.15    Increased Costs    104</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2.16    Break Funding Payments    105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2.17    Taxes    105</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2.18    Payments Generally; Pro Rata Treatment; Sharing of Setoffs    108</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2.19    Mitigation Obligations; Replacement of Lenders    110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2.20    Incremental Credit Extensions    111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(continued)</w:t>
      </w:r>
    </w:p>
    <w:p>
      <w:pPr>
        <w:pStyle w:val="TextBody"/>
        <w:bidi w:val="0"/>
        <w:spacing w:before="0" w:after="0"/>
        <w:jc w:val="center"/>
        <w:rPr/>
      </w:pPr>
      <w:r>
        <w:rPr/>
      </w:r>
    </w:p>
    <w:p>
      <w:pPr>
        <w:pStyle w:val="TextBody"/>
        <w:bidi w:val="0"/>
        <w:spacing w:lineRule="auto" w:line="288" w:before="464"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2.21    Refinancing Amendments    113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2.22    Defaulting Lenders    114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2.23    Illegality    116</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2.24    Loan Modification Offers    116</w:t>
      </w:r>
    </w:p>
    <w:p>
      <w:pPr>
        <w:pStyle w:val="TextBody"/>
        <w:bidi w:val="0"/>
        <w:spacing w:lineRule="auto" w:line="288" w:before="87"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III REPRESENTATIONS AND WARRANTIES    117</w:t>
      </w:r>
    </w:p>
    <w:p>
      <w:pPr>
        <w:pStyle w:val="TextBody"/>
        <w:bidi w:val="0"/>
        <w:spacing w:lineRule="auto" w:line="288" w:before="154"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3.01    Organization; Powers    117</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3.02    Authorization; Enforceability    118</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3.03    Governmental Approvals; No Conflicts    118</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3.04    Financial Condition; No Material Adverse Effect    118</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3.05    Properties    118</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3.06    Litigation and Environmental Matters    119</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3.07    Compliance with Laws and Agreements    119</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3.08    Investment Company Status    119</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3.09    Taxes    119</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3.10    ERISA    119</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3.11    Disclosure    120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3.12    Subsidiaries    120</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3.13    Intellectual Property; Licenses, Etc    120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3.14    Solvency    120</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3.15    Federal Reserve Regulations    121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3.16    Use of Proceeds    121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3.17    Patriot Act; OFAC and FCPA    121</w:t>
      </w:r>
    </w:p>
    <w:p>
      <w:pPr>
        <w:pStyle w:val="TextBody"/>
        <w:bidi w:val="0"/>
        <w:spacing w:lineRule="auto" w:line="288" w:before="87"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IV CONDITIONS    122</w:t>
      </w:r>
    </w:p>
    <w:p>
      <w:pPr>
        <w:pStyle w:val="TextBody"/>
        <w:bidi w:val="0"/>
        <w:spacing w:lineRule="auto" w:line="288" w:before="154"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4.01    Effective Date    122</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4.02    Each Credit Event    123</w:t>
      </w:r>
    </w:p>
    <w:p>
      <w:pPr>
        <w:pStyle w:val="TextBody"/>
        <w:bidi w:val="0"/>
        <w:spacing w:lineRule="auto" w:line="288" w:before="87"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 AFFIRMATIVE COVENANTS    124</w:t>
      </w:r>
    </w:p>
    <w:p>
      <w:pPr>
        <w:pStyle w:val="TextBody"/>
        <w:bidi w:val="0"/>
        <w:spacing w:lineRule="auto" w:line="288" w:before="154"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5.01    Financial Statements and Other Information    124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5.02    Notices of Material Events    127</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5.03    Information Regarding Collateral    127</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5.04    Existence; Conduct of Business    127</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5.05    Payment of Taxes, etc    128</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5.06    Maintenance of Properties    128</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5.07    Insurance    128</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5.08    Books and Records; Inspection and Audit Rights    128</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67665"/>
                <wp:effectExtent l="0" t="0" r="0" b="0"/>
                <wp:wrapNone/>
                <wp:docPr id="73" name="Frame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(continued)</w:t>
      </w:r>
    </w:p>
    <w:p>
      <w:pPr>
        <w:pStyle w:val="TextBody"/>
        <w:bidi w:val="0"/>
        <w:spacing w:before="0" w:after="0"/>
        <w:jc w:val="center"/>
        <w:rPr/>
      </w:pPr>
      <w:r>
        <w:rPr/>
      </w:r>
    </w:p>
    <w:p>
      <w:pPr>
        <w:pStyle w:val="TextBody"/>
        <w:bidi w:val="0"/>
        <w:spacing w:lineRule="auto" w:line="288" w:before="464"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5.09    Compliance with Laws    129</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5.10    Use of Proceeds and Letters of Credit    129</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5.11    Additional Subsidiaries    129</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5.12    Further Assurances    130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5.13    Designation of Subsidiaries    130</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5.14    Certain Post-Closing Obligations    131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5.15    Maintenance of Rating of Borrower and the Facilities    131</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5.16    Lines of Business    131</w:t>
      </w:r>
    </w:p>
    <w:p>
      <w:pPr>
        <w:pStyle w:val="TextBody"/>
        <w:bidi w:val="0"/>
        <w:spacing w:lineRule="auto" w:line="288" w:before="86"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VI NEGATIVE COVENANTS    131</w:t>
      </w:r>
    </w:p>
    <w:p>
      <w:pPr>
        <w:pStyle w:val="TextBody"/>
        <w:bidi w:val="0"/>
        <w:spacing w:lineRule="auto" w:line="288" w:before="154"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6.01    Indebtedness; Certain Equity Securities    131</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6.02    Liens    136</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6.03    Fundamental Changes; Holdings Covenant    139</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6.04    Investments, Loans, Advances, Guarantees and Acquisitions    141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6.05    Asset Sales    143</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6.06    [Reserved]    145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6.07    Restricted Payments; Certain Payments of Indebtedness    145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6.08    Transactions with Affiliates    149</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6.09    Restrictive Agreements    150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6.10    Amendment of Junior Financing    151</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6.11    Financial Performance Covenant    151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6.12    Changes in Fiscal Periods    151</w:t>
      </w:r>
    </w:p>
    <w:p>
      <w:pPr>
        <w:pStyle w:val="TextBody"/>
        <w:bidi w:val="0"/>
        <w:spacing w:lineRule="auto" w:line="288" w:before="87"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VII EVENTS OF DEFAULT    152</w:t>
      </w:r>
    </w:p>
    <w:p>
      <w:pPr>
        <w:pStyle w:val="TextBody"/>
        <w:bidi w:val="0"/>
        <w:spacing w:lineRule="auto" w:line="288" w:before="154"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7.01    Events of Default    152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7.02    Right to Cure    154</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7.03    Application of Proceeds    155</w:t>
      </w:r>
    </w:p>
    <w:p>
      <w:pPr>
        <w:pStyle w:val="TextBody"/>
        <w:bidi w:val="0"/>
        <w:spacing w:lineRule="auto" w:line="288" w:before="87"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VIII ADMINISTRATIVE AGENT    156</w:t>
      </w:r>
    </w:p>
    <w:p>
      <w:pPr>
        <w:pStyle w:val="TextBody"/>
        <w:bidi w:val="0"/>
        <w:spacing w:lineRule="auto" w:line="288" w:before="154"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8.01    Appointment and Authority    156</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8.02    Rights as a Lender    156</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8.03    Exculpatory Provisions    156</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8.04    Reliance by First Lien Administrative Agent    157</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8.05    Delegation of Duties    157</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8.06    Resignation of First Lien Administrative Agent    158</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8.07    Non-Reliance on First Lien Administrative Agent and Other Lenders    159</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8.08    No Other Duties, Etc    159</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67665"/>
                <wp:effectExtent l="0" t="0" r="0" b="0"/>
                <wp:wrapNone/>
                <wp:docPr id="74" name="Frame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(continued)</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8.09    First Lien Administrative Agent May File Proofs of Claim    159</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8.10    No Waiver; Cumulative Remedies; Enforcement    160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8.11    Certain ERISA Matters    160</w:t>
      </w:r>
    </w:p>
    <w:p>
      <w:pPr>
        <w:pStyle w:val="TextBody"/>
        <w:bidi w:val="0"/>
        <w:spacing w:lineRule="auto" w:line="288" w:before="87"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IX MISCELLANEOUS    161</w:t>
      </w:r>
    </w:p>
    <w:p>
      <w:pPr>
        <w:pStyle w:val="TextBody"/>
        <w:bidi w:val="0"/>
        <w:spacing w:lineRule="auto" w:line="288" w:before="154"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9.01    Notices    161</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9.02    Waivers; Amendments    163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9.03    Expenses; Indemnity; Damage Waiver    167</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9.04    Successors and Assigns    169</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9.05    Survival    175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9.06    Counterparts; Integration; Effectiveness    175</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9.07    Severability    176</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9.08    Right of Setoff    176</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9.09    Governing Law; Jurisdiction; Consent to Service of Process    176</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9.10    WAIVER OF JURY TRIAL    177</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9.11    Headings    177</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9.12    Confidentiality    177</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9.13    USA PATRIOT Act    178</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9.14    Release of Liens and Guarantees    179</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9.15    No Advisory or Fiduciary Responsibility    179</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9.16    Interest Rate Limitation    180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9.17    Judgment Currency    180</w:t>
      </w:r>
    </w:p>
    <w:p>
      <w:pPr>
        <w:pStyle w:val="TextBody"/>
        <w:bidi w:val="0"/>
        <w:spacing w:lineRule="atLeast" w:line="213" w:before="120" w:after="283"/>
        <w:jc w:val="left"/>
        <w:rPr/>
      </w:pPr>
      <w:r>
        <w:rPr>
          <w:rFonts w:ascii="Times New Roman;sans-serif" w:hAnsi="Times New Roman;sans-serif"/>
          <w:b w:val="false"/>
          <w:color w:val="000000"/>
          <w:sz w:val="20"/>
        </w:rPr>
        <w:t>SECTION 9.18    </w:t>
      </w:r>
      <w:r>
        <w:rPr>
          <w:rFonts w:ascii="Times New Roman;sans-serif" w:hAnsi="Times New Roman;sans-serif"/>
          <w:b w:val="false"/>
          <w:color w:val="010101"/>
          <w:sz w:val="20"/>
        </w:rPr>
        <w:t>Acknowledgement and Consent to Bail-In of Affected Financial</w:t>
      </w:r>
    </w:p>
    <w:p>
      <w:pPr>
        <w:pStyle w:val="TextBody"/>
        <w:bidi w:val="0"/>
        <w:spacing w:lineRule="atLeast" w:line="213" w:before="0" w:after="0"/>
        <w:jc w:val="left"/>
        <w:rPr/>
      </w:pPr>
      <w:r>
        <w:rPr>
          <w:rFonts w:ascii="Times New Roman;sans-serif" w:hAnsi="Times New Roman;sans-serif"/>
          <w:b w:val="false"/>
          <w:color w:val="010101"/>
          <w:sz w:val="20"/>
        </w:rPr>
        <w:t>Institutions    </w:t>
      </w:r>
      <w:r>
        <w:rPr>
          <w:rFonts w:ascii="Times New Roman;sans-serif" w:hAnsi="Times New Roman;sans-serif"/>
          <w:b w:val="false"/>
          <w:color w:val="000000"/>
          <w:sz w:val="20"/>
        </w:rPr>
        <w:t>180</w:t>
      </w:r>
    </w:p>
    <w:p>
      <w:pPr>
        <w:pStyle w:val="TextBody"/>
        <w:bidi w:val="0"/>
        <w:spacing w:lineRule="auto" w:line="288" w:before="154"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9.19    Intercreditor Agreement    181</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9.20    Cashless Settlement    181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9.21    Acknowledgment Regarding Any Supported QFCs    182</w:t>
      </w:r>
    </w:p>
    <w:p>
      <w:pPr>
        <w:pStyle w:val="TextBody"/>
        <w:bidi w:val="0"/>
        <w:spacing w:lineRule="auto" w:line="288"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9.22    Erroneous Payments    182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67665"/>
                <wp:effectExtent l="0" t="0" r="0" b="0"/>
                <wp:wrapNone/>
                <wp:docPr id="75" name="Frame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iv</w:t>
                      </w:r>
                    </w:p>
                    <w:p>
                      <w:pPr>
                        <w:pStyle w:val="TextBody"/>
                        <w:bidi w:val="0"/>
                        <w:spacing w:before="0" w:after="0"/>
                        <w:jc w:val="left"/>
                        <w:rPr/>
                      </w:pPr>
                      <w:r>
                        <w:rPr/>
                      </w:r>
                    </w:p>
                  </w:txbxContent>
                </v:textbox>
                <w10:wrap type="none"/>
              </v:rect>
            </w:pict>
          </mc:Fallback>
        </mc:AlternateContent>
      </w:r>
    </w:p>
    <w:tbl>
      <w:tblPr>
        <w:tblW w:w="6076" w:type="dxa"/>
        <w:jc w:val="left"/>
        <w:tblInd w:w="0" w:type="dxa"/>
        <w:tblLayout w:type="fixed"/>
        <w:tblCellMar>
          <w:top w:w="28" w:type="dxa"/>
          <w:left w:w="28" w:type="dxa"/>
          <w:bottom w:w="28" w:type="dxa"/>
          <w:right w:w="28" w:type="dxa"/>
        </w:tblCellMar>
      </w:tblPr>
      <w:tblGrid>
        <w:gridCol w:w="467"/>
        <w:gridCol w:w="411"/>
        <w:gridCol w:w="412"/>
        <w:gridCol w:w="115"/>
        <w:gridCol w:w="115"/>
        <w:gridCol w:w="116"/>
        <w:gridCol w:w="1298"/>
        <w:gridCol w:w="1298"/>
        <w:gridCol w:w="1844"/>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SCHEDULES:</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1.01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Excluded Subsidiaries</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2.01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Loans</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2.05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Existing Letters of Credit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3.03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Approvals; No Conflicts</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3.06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and Environmental Matters</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3.12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5.14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Post-Closing Obligations</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6.01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Existing Indebtedness</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6.02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Existing Liens</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6.04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Existing Investments</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6.08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Existing Affiliate Transactions</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6.09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Existing Restrictions</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9.01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Notices</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EXHIBITS:</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A</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Assignment and Assumption</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First Lien Guarantee Agreement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C</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Perfection Certificate</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D</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First Lien Collateral Agreement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E-1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First Lien Pari Passu Intercreditor Agreement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E-2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First/Second Lien Intercreditor Agreement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E-3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ABL Intercreditor Agreement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Intercompany Note</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G</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Specified Discount Prepayment Notice</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Specified Discount Prepayment Response</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I</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Discount Range Prepayment Notice</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J</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Discount Range Prepayment Offer</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K</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Solicited Discounted Prepayment Notice</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Solicited Discounted Prepayment Offer</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M</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Acceptance and Prepayment Notice</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United States Tax Compliance Certificate 1</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United States Tax Compliance Certificate 2</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United States Tax Compliance Certificate 3</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United States Tax Compliance Certificate 4</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O</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Note</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P</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Solvency Certificate</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Q</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Notice of Borrowing</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R</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Letter of Credit Request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X</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Beneficial Ownership Certificate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67665"/>
                <wp:effectExtent l="0" t="0" r="0" b="0"/>
                <wp:wrapNone/>
                <wp:docPr id="76" name="Frame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FIRST LIEN CREDIT AGREEMENT dated as of December 13, 2019 (as amended, restated, supplemented or otherwise modified from time to time, this “</w:t>
      </w:r>
      <w:r>
        <w:rPr>
          <w:rFonts w:ascii="Times New Roman;sans-serif" w:hAnsi="Times New Roman;sans-serif"/>
          <w:b w:val="false"/>
          <w:color w:val="000000"/>
          <w:sz w:val="20"/>
          <w:u w:val="single"/>
        </w:rPr>
        <w:t>Agreement</w:t>
      </w:r>
      <w:r>
        <w:rPr>
          <w:color w:val="000000"/>
        </w:rPr>
        <w:t>”</w:t>
      </w:r>
      <w:r>
        <w:rPr>
          <w:rFonts w:ascii="Times New Roman;sans-serif" w:hAnsi="Times New Roman;sans-serif"/>
          <w:b w:val="false"/>
          <w:color w:val="000000"/>
          <w:sz w:val="20"/>
        </w:rPr>
        <w:t>) among SOTERA HEALTH TOPCO, INC., a Delaware corporation (the “</w:t>
      </w:r>
      <w:r>
        <w:rPr>
          <w:rFonts w:ascii="Times New Roman;sans-serif" w:hAnsi="Times New Roman;sans-serif"/>
          <w:b w:val="false"/>
          <w:color w:val="000000"/>
          <w:sz w:val="20"/>
          <w:u w:val="single"/>
        </w:rPr>
        <w:t>Initial Holdings</w:t>
      </w:r>
      <w:r>
        <w:rPr>
          <w:color w:val="000000"/>
        </w:rPr>
        <w:t>”</w:t>
      </w:r>
      <w:r>
        <w:rPr>
          <w:rFonts w:ascii="Times New Roman;sans-serif" w:hAnsi="Times New Roman;sans-serif"/>
          <w:b w:val="false"/>
          <w:color w:val="000000"/>
          <w:sz w:val="20"/>
        </w:rPr>
        <w:t>), SOTERA HEALTH HOLDINGS, LLC (the “</w:t>
      </w:r>
      <w:r>
        <w:rPr>
          <w:rFonts w:ascii="Times New Roman;sans-serif" w:hAnsi="Times New Roman;sans-serif"/>
          <w:b w:val="false"/>
          <w:color w:val="000000"/>
          <w:sz w:val="20"/>
          <w:u w:val="single"/>
        </w:rPr>
        <w:t>Borrower</w:t>
      </w:r>
      <w:r>
        <w:rPr>
          <w:color w:val="000000"/>
        </w:rPr>
        <w:t>”</w:t>
      </w:r>
      <w:r>
        <w:rPr>
          <w:rFonts w:ascii="Times New Roman;sans-serif" w:hAnsi="Times New Roman;sans-serif"/>
          <w:b w:val="false"/>
          <w:color w:val="000000"/>
          <w:sz w:val="20"/>
        </w:rPr>
        <w:t>), a Delaware limited company, the LENDERS and ISSUING BANKS party hereto and JPMORGAN CHASE BANK, N.A., (“JPMorgan”) (formerly Jefferies Finance LLC) as First Lien Administrative Agent and First Lien Collateral Agent.</w:t>
      </w:r>
    </w:p>
    <w:p>
      <w:pPr>
        <w:pStyle w:val="TextBody"/>
        <w:bidi w:val="0"/>
        <w:spacing w:before="13" w:after="283"/>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PRELIMINARY STATEMENT</w:t>
      </w:r>
    </w:p>
    <w:p>
      <w:pPr>
        <w:pStyle w:val="TextBody"/>
        <w:bidi w:val="0"/>
        <w:spacing w:before="0" w:after="0"/>
        <w:jc w:val="left"/>
        <w:rPr/>
      </w:pPr>
      <w:r>
        <w:rPr/>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Borrower has requested that the Lenders extend credit to the Borrower in the form of</w:t>
      </w:r>
    </w:p>
    <w:p>
      <w:pPr>
        <w:pStyle w:val="TextBody"/>
        <w:bidi w:val="0"/>
        <w:spacing w:lineRule="auto" w:line="288" w:before="0" w:after="0"/>
        <w:jc w:val="left"/>
        <w:rPr/>
      </w:pPr>
      <w:r>
        <w:rPr>
          <w:rFonts w:ascii="Times New Roman;sans-serif" w:hAnsi="Times New Roman;sans-serif"/>
          <w:b w:val="false"/>
          <w:color w:val="000000"/>
          <w:sz w:val="20"/>
        </w:rPr>
        <w:t>$157,500,000 in Amendment No. 1 Revolving Commitment Increase on the Amendment No. 1 Effective Date</w:t>
      </w:r>
      <w:r>
        <w:rPr>
          <w:rFonts w:ascii="Times New Roman;sans-serif" w:hAnsi="Times New Roman;sans-serif"/>
          <w:b w:val="false"/>
          <w:color w:val="1F497C"/>
          <w:sz w:val="20"/>
        </w:rPr>
        <w:t>.</w:t>
      </w:r>
    </w:p>
    <w:p>
      <w:pPr>
        <w:pStyle w:val="TextBody"/>
        <w:bidi w:val="0"/>
        <w:spacing w:before="1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Borrower has requested that the Lenders extend credit to the Borrower in the form of</w:t>
      </w:r>
    </w:p>
    <w:p>
      <w:pPr>
        <w:pStyle w:val="TextBody"/>
        <w:bidi w:val="0"/>
        <w:spacing w:lineRule="auto" w:line="288" w:before="1" w:after="283"/>
        <w:jc w:val="left"/>
        <w:rPr/>
      </w:pPr>
      <w:r>
        <w:rPr>
          <w:rFonts w:ascii="Times New Roman;sans-serif" w:hAnsi="Times New Roman;sans-serif"/>
          <w:b w:val="false"/>
          <w:color w:val="000000"/>
          <w:sz w:val="20"/>
        </w:rPr>
        <w:t>$76,250,000 in Amendment No. 2 Revolving Commitment Increase on the Amendment No. 2 Effective Date</w:t>
      </w:r>
      <w:r>
        <w:rPr>
          <w:rFonts w:ascii="Times New Roman;sans-serif" w:hAnsi="Times New Roman;sans-serif"/>
          <w:b w:val="false"/>
          <w:color w:val="1F497C"/>
          <w:sz w:val="20"/>
        </w:rPr>
        <w: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The Borrower has requested that (i) the Refinancing Revolving Lenders (as defined in Amendment No. 3) extend credit to the Borrower in the form of $83,000,000 in Amendment No. 3 Refinancing Revolving Commitments and (ii) the Revolving Lenders, Swingline Lenders and Issuing Banks extend the Revolving Maturity Date, each on the Amendment No. 3 Effective Date</w:t>
      </w:r>
      <w:r>
        <w:rPr>
          <w:rFonts w:ascii="Times New Roman;sans-serif" w:hAnsi="Times New Roman;sans-serif"/>
          <w:b w:val="false"/>
          <w:color w:val="1F497C"/>
          <w:sz w:val="20"/>
        </w:rPr>
        <w:t>.</w:t>
      </w:r>
    </w:p>
    <w:p>
      <w:pPr>
        <w:pStyle w:val="TextBody"/>
        <w:bidi w:val="0"/>
        <w:spacing w:before="12"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The Borrower has requested that the 2024 Refinancing Term Lenders extend credit to the Borrower in the form of $1,509,350,000 in 2024 Refinancing Term Loans on the Amendment No. 4 Effective Date.</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color w:val="0000FF"/>
          <w:sz w:val="20"/>
          <w:u w:val="single"/>
        </w:rPr>
      </w:pPr>
      <w:r>
        <w:rPr>
          <w:rFonts w:ascii="Times New Roman;sans-serif" w:hAnsi="Times New Roman;sans-serif"/>
          <w:b/>
          <w:color w:val="0000FF"/>
          <w:sz w:val="20"/>
          <w:u w:val="single"/>
        </w:rPr>
        <w:t xml:space="preserve">The Borrower has requested that (i) the 2025 Refinancing Revolving Lenders extend credit to the Borrower in the form of $423,750,000 in 2025 Refinancing Revolving Commitments and (ii) the 2025 Refinancing Revolving Lenders, Swingline Lenders and Issuing Banks extend the Revolving Maturity Date, each on the Amendment No. 5 Effective Date. </w:t>
      </w:r>
    </w:p>
    <w:p>
      <w:pPr>
        <w:pStyle w:val="TextBody"/>
        <w:bidi w:val="0"/>
        <w:spacing w:before="11"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color w:val="0000FF"/>
          <w:sz w:val="20"/>
          <w:u w:val="single"/>
        </w:rPr>
        <w:t>The Borrower has requested that the Incremental Amendment No. 5 Revolving Lenders</w:t>
      </w:r>
      <w:r>
        <w:rPr>
          <w:color w:val="0000FF"/>
        </w:rPr>
        <w:t xml:space="preserve"> </w:t>
      </w:r>
      <w:r>
        <w:rPr>
          <w:rFonts w:ascii="Times New Roman;sans-serif" w:hAnsi="Times New Roman;sans-serif"/>
          <w:b/>
          <w:color w:val="0000FF"/>
          <w:sz w:val="20"/>
          <w:u w:val="single"/>
        </w:rPr>
        <w:t xml:space="preserve">extend credit to the Borrower in the form of $176,250,000 in Amendment No. 5 Revolving Commitment Increase on the Amendment No. 5 Effective Date. </w:t>
      </w:r>
    </w:p>
    <w:p>
      <w:pPr>
        <w:pStyle w:val="TextBody"/>
        <w:bidi w:val="0"/>
        <w:spacing w:before="11"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parties hereto agree as follows:</w:t>
      </w:r>
    </w:p>
    <w:p>
      <w:pPr>
        <w:pStyle w:val="TextBody"/>
        <w:bidi w:val="0"/>
        <w:spacing w:before="10" w:after="283"/>
        <w:jc w:val="left"/>
        <w:rPr/>
      </w:pPr>
      <w:r>
        <w:rPr/>
      </w:r>
    </w:p>
    <w:p>
      <w:pPr>
        <w:pStyle w:val="TextBody"/>
        <w:bidi w:val="0"/>
        <w:spacing w:lineRule="auto" w:line="556" w:before="0" w:after="0"/>
        <w:ind w:left="0" w:right="0" w:hanging="3"/>
        <w:jc w:val="center"/>
        <w:rPr/>
      </w:pPr>
      <w:r>
        <w:rPr>
          <w:rFonts w:ascii="Times New Roman;sans-serif" w:hAnsi="Times New Roman;sans-serif"/>
          <w:b w:val="false"/>
          <w:color w:val="000000"/>
          <w:sz w:val="20"/>
        </w:rPr>
        <w:t xml:space="preserve">ARTICLE I </w:t>
      </w:r>
      <w:r>
        <w:rPr>
          <w:rFonts w:ascii="Times New Roman;sans-serif" w:hAnsi="Times New Roman;sans-serif"/>
          <w:b w:val="false"/>
          <w:color w:val="000000"/>
          <w:sz w:val="20"/>
          <w:u w:val="single"/>
        </w:rPr>
        <w:t>DEFINITIONS</w:t>
      </w:r>
    </w:p>
    <w:p>
      <w:pPr>
        <w:pStyle w:val="TextBody"/>
        <w:bidi w:val="0"/>
        <w:spacing w:lineRule="auto" w:line="288" w:before="12" w:after="283"/>
        <w:jc w:val="left"/>
        <w:rPr/>
      </w:pPr>
      <w:r>
        <w:rPr>
          <w:rFonts w:ascii="Times New Roman;sans-serif" w:hAnsi="Times New Roman;sans-serif"/>
          <w:b w:val="false"/>
          <w:color w:val="000000"/>
          <w:sz w:val="20"/>
        </w:rPr>
        <w:t>SECTION 1.01    </w:t>
      </w:r>
      <w:r>
        <w:rPr>
          <w:rFonts w:ascii="Times New Roman;sans-serif" w:hAnsi="Times New Roman;sans-serif"/>
          <w:b w:val="false"/>
          <w:color w:val="000000"/>
          <w:sz w:val="20"/>
          <w:u w:val="single"/>
        </w:rPr>
        <w:t>Defined Terms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568" w:before="0" w:after="0"/>
        <w:jc w:val="left"/>
        <w:rPr/>
      </w:pPr>
      <w:r>
        <w:rPr>
          <w:rFonts w:ascii="Times New Roman;sans-serif" w:hAnsi="Times New Roman;sans-serif"/>
          <w:b w:val="false"/>
          <w:color w:val="000000"/>
          <w:sz w:val="20"/>
        </w:rPr>
        <w:t>As used in this Agreement, the following terms have the meanings specified below: "</w:t>
      </w:r>
      <w:r>
        <w:rPr>
          <w:rFonts w:ascii="Times New Roman;sans-serif" w:hAnsi="Times New Roman;sans-serif"/>
          <w:b w:val="false"/>
          <w:color w:val="000000"/>
          <w:sz w:val="20"/>
          <w:u w:val="single"/>
        </w:rPr>
        <w:t>2024 Refinancing Term Commitments</w:t>
      </w:r>
      <w:r>
        <w:rPr>
          <w:color w:val="000000"/>
        </w:rPr>
        <w:t xml:space="preserve">” </w:t>
      </w:r>
      <w:r>
        <w:rPr>
          <w:rFonts w:ascii="Times New Roman;sans-serif" w:hAnsi="Times New Roman;sans-serif"/>
          <w:b w:val="false"/>
          <w:color w:val="000000"/>
          <w:sz w:val="20"/>
        </w:rPr>
        <w:t>has the meaning specified in Amendment No. 4.</w:t>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w:t>
      </w:r>
      <w:r>
        <w:rPr>
          <w:rFonts w:ascii="Times New Roman;sans-serif" w:hAnsi="Times New Roman;sans-serif"/>
          <w:b w:val="false"/>
          <w:color w:val="000000"/>
          <w:sz w:val="20"/>
          <w:u w:val="single"/>
        </w:rPr>
        <w:t>2024 Refinancing Term Loan</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2024 Refinancing Term Loans</w:t>
      </w:r>
      <w:r>
        <w:rPr>
          <w:color w:val="000000"/>
        </w:rPr>
        <w:t xml:space="preserve">” </w:t>
      </w:r>
      <w:r>
        <w:rPr>
          <w:rFonts w:ascii="Times New Roman;sans-serif" w:hAnsi="Times New Roman;sans-serif"/>
          <w:b w:val="false"/>
          <w:color w:val="000000"/>
          <w:sz w:val="20"/>
        </w:rPr>
        <w:t>has the meaning specified in Amendment No. 4. The aggregate principal amount of 2024 Refinancing Term Loans outstanding on the Amendment No. 4 Effective Date is $1,509,350,000. The 2024 Refinancing Term Loans may be ABR Loans, RFR Loans or Term Benchmark Loans, and once repaid or prepaid, 2024 Refinancing Term Loans may not be reborrowed.</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2024 Refinancing Term Maturity Date</w:t>
      </w:r>
      <w:r>
        <w:rPr>
          <w:color w:val="000000"/>
        </w:rPr>
        <w:t xml:space="preserve">” </w:t>
      </w:r>
      <w:r>
        <w:rPr>
          <w:rFonts w:ascii="Times New Roman;sans-serif" w:hAnsi="Times New Roman;sans-serif"/>
          <w:b w:val="false"/>
          <w:color w:val="000000"/>
          <w:sz w:val="20"/>
        </w:rPr>
        <w:t>has the meaning assigned to such term in the definition of “Term Maturity Date”.</w:t>
      </w:r>
    </w:p>
    <w:p>
      <w:pPr>
        <w:pStyle w:val="TextBody"/>
        <w:bidi w:val="0"/>
        <w:spacing w:before="1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2024 Refinancing Term Lender</w:t>
      </w:r>
      <w:r>
        <w:rPr>
          <w:color w:val="000000"/>
        </w:rPr>
        <w:t xml:space="preserve">” </w:t>
      </w:r>
      <w:r>
        <w:rPr>
          <w:rFonts w:ascii="Times New Roman;sans-serif" w:hAnsi="Times New Roman;sans-serif"/>
          <w:b w:val="false"/>
          <w:color w:val="000000"/>
          <w:sz w:val="20"/>
        </w:rPr>
        <w:t>means a Lender with a 2024 Refinancing Term Commitment or an outstanding 2024 Refinancing Term Loan.</w:t>
      </w:r>
    </w:p>
    <w:p>
      <w:pPr>
        <w:pStyle w:val="TextBody"/>
        <w:bidi w:val="0"/>
        <w:spacing w:before="10" w:after="283"/>
        <w:jc w:val="left"/>
        <w:rPr/>
      </w:pPr>
      <w:r>
        <w:rPr/>
      </w:r>
    </w:p>
    <w:p>
      <w:pPr>
        <w:pStyle w:val="TextBody"/>
        <w:bidi w:val="0"/>
        <w:spacing w:lineRule="auto" w:line="288" w:before="1" w:after="283"/>
        <w:jc w:val="left"/>
        <w:rPr>
          <w:color w:val="0000FF"/>
          <w:u w:val="single"/>
        </w:rPr>
      </w:pPr>
      <w:r>
        <w:rPr>
          <w:color w:val="0000FF"/>
          <w:u w:val="single"/>
        </w:rPr>
        <w:t>“</w:t>
      </w:r>
      <w:r>
        <w:rPr>
          <w:rFonts w:ascii="Times New Roman;sans-serif" w:hAnsi="Times New Roman;sans-serif"/>
          <w:b/>
          <w:color w:val="0000FF"/>
          <w:sz w:val="20"/>
          <w:u w:val="single"/>
        </w:rPr>
        <w:t xml:space="preserve">2025 Refinancing Revolving Commitment” has the meaning specified in Amendment No. 5. </w:t>
      </w:r>
    </w:p>
    <w:p>
      <w:pPr>
        <w:pStyle w:val="TextBody"/>
        <w:bidi w:val="0"/>
        <w:spacing w:before="10" w:after="283"/>
        <w:jc w:val="left"/>
        <w:rPr/>
      </w:pPr>
      <w:r>
        <w:rPr/>
      </w:r>
    </w:p>
    <w:p>
      <w:pPr>
        <w:pStyle w:val="TextBody"/>
        <w:bidi w:val="0"/>
        <w:spacing w:lineRule="auto" w:line="288" w:before="0" w:after="0"/>
        <w:ind w:left="0" w:right="0" w:firstLine="720"/>
        <w:jc w:val="left"/>
        <w:rPr/>
      </w:pPr>
      <w:r>
        <w:rPr>
          <w:color w:val="0000FF"/>
          <w:u w:val="single"/>
        </w:rPr>
        <w:t>“</w:t>
      </w:r>
      <w:r>
        <w:rPr>
          <w:rFonts w:ascii="Times New Roman;sans-serif" w:hAnsi="Times New Roman;sans-serif"/>
          <w:b/>
          <w:color w:val="0000FF"/>
          <w:sz w:val="20"/>
          <w:u w:val="single"/>
        </w:rPr>
        <w:t xml:space="preserve">2025 Refinancing Revolving Lender” means a Revolving Lender with a 2025 Refinancing Revolving Commitment or an outstanding Revolving Loan. </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ABL Credit Agreement</w:t>
      </w:r>
      <w:r>
        <w:rPr>
          <w:color w:val="000000"/>
        </w:rPr>
        <w:t xml:space="preserve">” </w:t>
      </w:r>
      <w:r>
        <w:rPr>
          <w:rFonts w:ascii="Times New Roman;sans-serif" w:hAnsi="Times New Roman;sans-serif"/>
          <w:b w:val="false"/>
          <w:color w:val="000000"/>
          <w:sz w:val="20"/>
        </w:rPr>
        <w:t>shall mean the credit agreement in respect of any ABL Facility pursuant to which the ABL Obligations are incurred by the Borrower or one or more of its Subsidiaries as borrower(s), as amended, modified, supplemented, substituted, replaced, restated or refinanced, in whole or in part, from time to time.</w:t>
      </w:r>
    </w:p>
    <w:p>
      <w:pPr>
        <w:pStyle w:val="TextBody"/>
        <w:bidi w:val="0"/>
        <w:spacing w:before="11"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ABL Facility</w:t>
      </w:r>
      <w:r>
        <w:rPr>
          <w:color w:val="000000"/>
        </w:rPr>
        <w:t xml:space="preserve">” </w:t>
      </w:r>
      <w:r>
        <w:rPr>
          <w:rFonts w:ascii="Times New Roman;sans-serif" w:hAnsi="Times New Roman;sans-serif"/>
          <w:b w:val="false"/>
          <w:color w:val="000000"/>
          <w:sz w:val="20"/>
        </w:rPr>
        <w:t xml:space="preserve">shall mean an asset-based loan facility of the Borrower provided pursuant to the applicable ABL Loan Documents;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 no security interests shall be granted to secure the ABL Obligations other than (A) a first-priority security interest in the ABL Priority Collateral, subject to a perfected second-priority Lien in such Collateral in favor of the First Lien Collateral Agent and the other Secured Parties to secure the Secured Obligations and (B) at the option of the Borrower, a second-priority security interest in any other Collateral (other than ABL Priority Collateral) in which the First Lien Collateral Agent and the other Secured Parties have a perfected first-priority security interest, (ii) such facility shall not (x) be guaranteed by any entity that is not a Loan Party or (y) govern or otherwise contemplate any “restricted subsidiaries” that are not Restricted Subsidiaries, and (iii) upon the establishment of an ABL Facility, (A) the Borrower shall deliver a certificate of a Responsible Officer to the First Lien Administrative Agent on or prior to the date of incurrence of such ABL Facility designating such Indebtedness as an ABL Facility, (B) if the ABL Intercreditor Agreement is not then in effect, the First Lien Administrative Agent shall have received a copy of the ABL Intercreditor Agreement duly executed by the ABL Representative with respect to such ABL Facility, one or more Senior Representatives for holders of Indebtedness not prohibited by this Agreement to be secured by the Collateral and each Loan Guarantor, (C) if the ABL Intercreditor Agreement is then in effect, the ABL Representative with respect to such Indebtedness shall have duly executed and delivered to the First Lien Administrative Agent a joinder agreement in the form attached as an exhibit to the ABL Intercreditor Agreement and (D) (x) all First Lien Loan Document Obligations owing to any Secured Party under or in respect of any Revolving Loans, Letter of Credit, LC Disbursements, Revolving Commitments, Other Revolving Commitments, Additional/Replacement Revolving Commitment, Swingline Loans and Swingline Commitments shall have been paid in full in cash (other than any contingent indemnification obligations not yet accrued and payable) and (y) all of the Revolving Commitments, the Other Revolving Commitments, Additional/Replacement Revolving Commitments and the Swingline Commitments shall have been terminated in full or are terminated in full substantially simultaneously with the effectiveness of the ABL Facility.</w:t>
      </w:r>
    </w:p>
    <w:p>
      <w:pPr>
        <w:pStyle w:val="TextBody"/>
        <w:bidi w:val="0"/>
        <w:spacing w:before="19"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ABL Intercreditor Agreement</w:t>
      </w:r>
      <w:r>
        <w:rPr>
          <w:color w:val="000000"/>
        </w:rPr>
        <w:t xml:space="preserve">” </w:t>
      </w:r>
      <w:r>
        <w:rPr>
          <w:rFonts w:ascii="Times New Roman;sans-serif" w:hAnsi="Times New Roman;sans-serif"/>
          <w:b w:val="false"/>
          <w:color w:val="000000"/>
          <w:sz w:val="20"/>
        </w:rPr>
        <w:t>means the ABL Intercreditor Agreement substantially in the form of Exhibit E-3 among the First Lien Administrative Agent, the ABL Representative and one or more Senior Representatives for holders of Indebtedness not prohibited by this Agreement to be secured by the Collateral, with such modifications thereto as the First Lien Administrative Agent may reasonably agree.</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ABL Loan Documents</w:t>
      </w:r>
      <w:r>
        <w:rPr>
          <w:color w:val="000000"/>
        </w:rPr>
        <w:t xml:space="preserve">” </w:t>
      </w:r>
      <w:r>
        <w:rPr>
          <w:rFonts w:ascii="Times New Roman;sans-serif" w:hAnsi="Times New Roman;sans-serif"/>
          <w:b w:val="false"/>
          <w:color w:val="000000"/>
          <w:sz w:val="20"/>
        </w:rPr>
        <w:t>shall mean, collectively, (i) the ABL Credit Agreement and (ii) the security documents, intercreditor agreements (including the ABL Intercreditor Agreement), guarantees, joinders and other agreements or instruments executed in connection with the ABL Credit Agreement or such other agreements, in each case, as amended, modified, supplemented, substituted, replaced, restated or refinanced, in whole or in part, from time to time.</w:t>
      </w:r>
    </w:p>
    <w:p>
      <w:pPr>
        <w:pStyle w:val="TextBody"/>
        <w:bidi w:val="0"/>
        <w:spacing w:before="12"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ABL Obligations</w:t>
      </w:r>
      <w:r>
        <w:rPr>
          <w:color w:val="000000"/>
        </w:rPr>
        <w:t xml:space="preserve">” </w:t>
      </w:r>
      <w:r>
        <w:rPr>
          <w:rFonts w:ascii="Times New Roman;sans-serif" w:hAnsi="Times New Roman;sans-serif"/>
          <w:b w:val="false"/>
          <w:color w:val="000000"/>
          <w:sz w:val="20"/>
        </w:rPr>
        <w:t xml:space="preserve">shall mean all Indebtedness and other obligations of the Borrower and any other Loan Parties outstanding under or pursuant to the ABL Loan Documents, together with guarantees thereof that are secured, or intended to be secured, under the ABL Loan Documents, including any direct or indirect, absolute or contingent, interest and fees that accrue after the commencement by or against the Borrower, any other Loan Party or any guarantor of ABL Obligations of any proceeding under any Debtor Relief Laws naming such Person as the debtor in such proceeding, regardless of whether such interest and fees are allowed claims in such proceeding, and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1155"/>
                <wp:effectExtent l="0" t="0" r="0" b="0"/>
                <wp:wrapNone/>
                <wp:docPr id="78" name="Frame7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obligations under a Swap Agreement and cash management obligations that are secured by the Liens securing the Indebtedness incurred pursuant to the ABL Credit Agreement pursuant to the security documents entered into in connection with the ABL Credit Agreement.</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ABL Priority Collateral</w:t>
      </w:r>
      <w:r>
        <w:rPr>
          <w:color w:val="000000"/>
        </w:rPr>
        <w:t xml:space="preserve">” </w:t>
      </w:r>
      <w:r>
        <w:rPr>
          <w:rFonts w:ascii="Times New Roman;sans-serif" w:hAnsi="Times New Roman;sans-serif"/>
          <w:b w:val="false"/>
          <w:color w:val="000000"/>
          <w:sz w:val="20"/>
        </w:rPr>
        <w:t>means all the “ABL Priority Collateral” as defined in the ABL Intercreditor Agreement.</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ABL Representative</w:t>
      </w:r>
      <w:r>
        <w:rPr>
          <w:color w:val="000000"/>
        </w:rPr>
        <w:t xml:space="preserve">” </w:t>
      </w:r>
      <w:r>
        <w:rPr>
          <w:rFonts w:ascii="Times New Roman;sans-serif" w:hAnsi="Times New Roman;sans-serif"/>
          <w:b w:val="false"/>
          <w:color w:val="000000"/>
          <w:sz w:val="20"/>
        </w:rPr>
        <w:t>shall mean, with respect to any series of ABL Obligations, the administrative agent or collateral agent or other representative of the holders of such series of ABL Obligations who maintains the transfer register for such series of ABL Obligations and is appointed as a representative for purposes related to the administration of the security documents pursuant to the ABL Credit Agreement or other agreement governing such series of ABL Obligations.</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ABR</w:t>
      </w:r>
      <w:r>
        <w:rPr>
          <w:color w:val="000000"/>
        </w:rPr>
        <w:t xml:space="preserve">” </w:t>
      </w:r>
      <w:r>
        <w:rPr>
          <w:rFonts w:ascii="Times New Roman;sans-serif" w:hAnsi="Times New Roman;sans-serif"/>
          <w:b w:val="false"/>
          <w:color w:val="000000"/>
          <w:sz w:val="20"/>
        </w:rPr>
        <w:t>when used in reference to any Loan or Borrowing, refers to whether such Loan, or the Loans comprising such Borrowing, bears interest at a rate determined by reference to the (i) Alternate Base Rate (in the case of Loans denominated in Dollars) or (ii) Canadian Base Rate (in the case of Loans denominated in Canadian Dollars).</w:t>
      </w:r>
    </w:p>
    <w:p>
      <w:pPr>
        <w:pStyle w:val="TextBody"/>
        <w:bidi w:val="0"/>
        <w:spacing w:lineRule="auto" w:line="655" w:before="2" w:after="283"/>
        <w:jc w:val="left"/>
        <w:rPr/>
      </w:pPr>
      <w:r>
        <w:rPr>
          <w:color w:val="000000"/>
        </w:rPr>
        <w:t>“</w:t>
      </w:r>
      <w:r>
        <w:rPr>
          <w:rFonts w:ascii="Times New Roman;sans-serif" w:hAnsi="Times New Roman;sans-serif"/>
          <w:b w:val="false"/>
          <w:color w:val="000000"/>
          <w:sz w:val="20"/>
          <w:u w:val="single"/>
        </w:rPr>
        <w:t>Acceptable Discount</w:t>
      </w:r>
      <w:r>
        <w:rPr>
          <w:color w:val="000000"/>
        </w:rPr>
        <w:t xml:space="preserve">” </w:t>
      </w:r>
      <w:r>
        <w:rPr>
          <w:rFonts w:ascii="Times New Roman;sans-serif" w:hAnsi="Times New Roman;sans-serif"/>
          <w:b w:val="false"/>
          <w:color w:val="000000"/>
          <w:sz w:val="20"/>
        </w:rPr>
        <w:t>has the meaning assigned to such term in Section 2.11(a)(ii)(D)(2). “</w:t>
      </w:r>
      <w:r>
        <w:rPr>
          <w:rFonts w:ascii="Times New Roman;sans-serif" w:hAnsi="Times New Roman;sans-serif"/>
          <w:b w:val="false"/>
          <w:color w:val="000000"/>
          <w:sz w:val="20"/>
          <w:u w:val="single"/>
        </w:rPr>
        <w:t>Acceptable    Prepayment    Amount</w:t>
      </w:r>
      <w:r>
        <w:rPr>
          <w:color w:val="000000"/>
        </w:rPr>
        <w:t>”    </w:t>
      </w:r>
      <w:r>
        <w:rPr>
          <w:rFonts w:ascii="Times New Roman;sans-serif" w:hAnsi="Times New Roman;sans-serif"/>
          <w:b w:val="false"/>
          <w:color w:val="000000"/>
          <w:sz w:val="20"/>
        </w:rPr>
        <w:t>has    the    meaning    assigned    to    such    term    in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Section 2.11(a)(ii)(D)(3).</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Acceptance and Prepayment Notice</w:t>
      </w:r>
      <w:r>
        <w:rPr>
          <w:color w:val="000000"/>
        </w:rPr>
        <w:t xml:space="preserve">” </w:t>
      </w:r>
      <w:r>
        <w:rPr>
          <w:rFonts w:ascii="Times New Roman;sans-serif" w:hAnsi="Times New Roman;sans-serif"/>
          <w:b w:val="false"/>
          <w:color w:val="000000"/>
          <w:sz w:val="20"/>
        </w:rPr>
        <w:t>means an irrevocable written notice from a Term Lender accepting a Solicited Discounted Prepayment Offer to make a Discounted Term Loan Prepayment at the Acceptable Discount specified therein pursuant to Section 2.11(a)(ii)(D) substantially in the form of Exhibit M.</w:t>
      </w:r>
    </w:p>
    <w:p>
      <w:pPr>
        <w:pStyle w:val="TextBody"/>
        <w:bidi w:val="0"/>
        <w:spacing w:before="11" w:after="283"/>
        <w:jc w:val="left"/>
        <w:rPr/>
      </w:pPr>
      <w:r>
        <w:rPr/>
      </w:r>
    </w:p>
    <w:p>
      <w:pPr>
        <w:pStyle w:val="TextBody"/>
        <w:bidi w:val="0"/>
        <w:spacing w:lineRule="auto" w:line="568" w:before="0" w:after="0"/>
        <w:jc w:val="left"/>
        <w:rPr/>
      </w:pPr>
      <w:r>
        <w:rPr>
          <w:color w:val="000000"/>
        </w:rPr>
        <w:t>“</w:t>
      </w:r>
      <w:r>
        <w:rPr>
          <w:rFonts w:ascii="Times New Roman;sans-serif" w:hAnsi="Times New Roman;sans-serif"/>
          <w:b w:val="false"/>
          <w:color w:val="000000"/>
          <w:sz w:val="20"/>
          <w:u w:val="single"/>
        </w:rPr>
        <w:t>Acceptance Date</w:t>
      </w:r>
      <w:r>
        <w:rPr>
          <w:color w:val="000000"/>
        </w:rPr>
        <w:t xml:space="preserve">” </w:t>
      </w:r>
      <w:r>
        <w:rPr>
          <w:rFonts w:ascii="Times New Roman;sans-serif" w:hAnsi="Times New Roman;sans-serif"/>
          <w:b w:val="false"/>
          <w:color w:val="000000"/>
          <w:sz w:val="20"/>
        </w:rPr>
        <w:t>has the meaning specified in Section 2.11(a)(ii)(D)(2). “</w:t>
      </w:r>
      <w:r>
        <w:rPr>
          <w:rFonts w:ascii="Times New Roman;sans-serif" w:hAnsi="Times New Roman;sans-serif"/>
          <w:b w:val="false"/>
          <w:color w:val="000000"/>
          <w:sz w:val="20"/>
          <w:u w:val="single"/>
        </w:rPr>
        <w:t>Accepting Lenders</w:t>
      </w:r>
      <w:r>
        <w:rPr>
          <w:color w:val="000000"/>
        </w:rPr>
        <w:t xml:space="preserve">” </w:t>
      </w:r>
      <w:r>
        <w:rPr>
          <w:rFonts w:ascii="Times New Roman;sans-serif" w:hAnsi="Times New Roman;sans-serif"/>
          <w:b w:val="false"/>
          <w:color w:val="000000"/>
          <w:sz w:val="20"/>
        </w:rPr>
        <w:t>has the meaning specified in Section 2.24(a).</w: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Acquired EBITDA</w:t>
      </w:r>
      <w:r>
        <w:rPr>
          <w:color w:val="000000"/>
        </w:rPr>
        <w:t xml:space="preserve">” </w:t>
      </w:r>
      <w:r>
        <w:rPr>
          <w:rFonts w:ascii="Times New Roman;sans-serif" w:hAnsi="Times New Roman;sans-serif"/>
          <w:b w:val="false"/>
          <w:color w:val="000000"/>
          <w:sz w:val="20"/>
        </w:rPr>
        <w:t>means, with respect to any Acquired Entity or Business or any Converted Restricted Subsidiary (any of the foregoing, a “</w:t>
      </w:r>
      <w:r>
        <w:rPr>
          <w:rFonts w:ascii="Times New Roman;sans-serif" w:hAnsi="Times New Roman;sans-serif"/>
          <w:b w:val="false"/>
          <w:color w:val="000000"/>
          <w:sz w:val="20"/>
          <w:u w:val="single"/>
        </w:rPr>
        <w:t>Pro Forma Entity</w:t>
      </w:r>
      <w:r>
        <w:rPr>
          <w:color w:val="000000"/>
        </w:rPr>
        <w:t>”</w:t>
      </w:r>
      <w:r>
        <w:rPr>
          <w:rFonts w:ascii="Times New Roman;sans-serif" w:hAnsi="Times New Roman;sans-serif"/>
          <w:b w:val="false"/>
          <w:color w:val="000000"/>
          <w:sz w:val="20"/>
        </w:rPr>
        <w:t>) for any period as the amount for such period of Consolidated EBITDA of such Pro Forma Entity (determined as if references to the Borrower and the Restricted Subsidiaries in the definition of “Consolidated EBITDA” were references to such Pro Forma Entity and its subsidiaries that will become Restricted Subsidiaries), all as determined on a consolidated basis for such Pro Forma Entity.</w:t>
      </w:r>
    </w:p>
    <w:p>
      <w:pPr>
        <w:pStyle w:val="TextBody"/>
        <w:bidi w:val="0"/>
        <w:spacing w:before="10" w:after="283"/>
        <w:jc w:val="left"/>
        <w:rPr/>
      </w:pPr>
      <w:r>
        <w:rPr/>
      </w:r>
    </w:p>
    <w:p>
      <w:pPr>
        <w:pStyle w:val="TextBody"/>
        <w:bidi w:val="0"/>
        <w:spacing w:lineRule="auto" w:line="288" w:before="1" w:after="283"/>
        <w:jc w:val="left"/>
        <w:rPr/>
      </w:pPr>
      <w:r>
        <w:rPr>
          <w:color w:val="000000"/>
        </w:rPr>
        <w:t>“</w:t>
      </w:r>
      <w:r>
        <w:rPr>
          <w:rFonts w:ascii="Times New Roman;sans-serif" w:hAnsi="Times New Roman;sans-serif"/>
          <w:b w:val="false"/>
          <w:color w:val="000000"/>
          <w:sz w:val="20"/>
          <w:u w:val="single"/>
        </w:rPr>
        <w:t>Acquired Entity or Business</w:t>
      </w:r>
      <w:r>
        <w:rPr>
          <w:color w:val="000000"/>
        </w:rPr>
        <w:t xml:space="preserve">” </w:t>
      </w:r>
      <w:r>
        <w:rPr>
          <w:rFonts w:ascii="Times New Roman;sans-serif" w:hAnsi="Times New Roman;sans-serif"/>
          <w:b w:val="false"/>
          <w:color w:val="000000"/>
          <w:sz w:val="20"/>
        </w:rPr>
        <w:t>has the meaning given such term in the definition of “Consolidated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Additional Lender</w:t>
      </w:r>
      <w:r>
        <w:rPr>
          <w:color w:val="000000"/>
        </w:rPr>
        <w:t xml:space="preserve">” </w:t>
      </w:r>
      <w:r>
        <w:rPr>
          <w:rFonts w:ascii="Times New Roman;sans-serif" w:hAnsi="Times New Roman;sans-serif"/>
          <w:b w:val="false"/>
          <w:color w:val="000000"/>
          <w:sz w:val="20"/>
        </w:rPr>
        <w:t>means any Additional Revolving Lender or any Additional Term Lender, as</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applicable.</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Additional/Replacement Revolving Commitment</w:t>
      </w:r>
      <w:r>
        <w:rPr>
          <w:color w:val="000000"/>
        </w:rPr>
        <w:t xml:space="preserve">” </w:t>
      </w:r>
      <w:r>
        <w:rPr>
          <w:rFonts w:ascii="Times New Roman;sans-serif" w:hAnsi="Times New Roman;sans-serif"/>
          <w:b w:val="false"/>
          <w:color w:val="000000"/>
          <w:sz w:val="20"/>
        </w:rPr>
        <w:t>has the meaning assigned to such term in</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2.20(a).</w:t>
      </w:r>
    </w:p>
    <w:p>
      <w:pPr>
        <w:pStyle w:val="TextBody"/>
        <w:bidi w:val="0"/>
        <w:spacing w:before="10"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Additional Revolving Lender</w:t>
      </w:r>
      <w:r>
        <w:rPr>
          <w:color w:val="000000"/>
        </w:rPr>
        <w:t xml:space="preserve">” </w:t>
      </w:r>
      <w:r>
        <w:rPr>
          <w:rFonts w:ascii="Times New Roman;sans-serif" w:hAnsi="Times New Roman;sans-serif"/>
          <w:b w:val="false"/>
          <w:color w:val="000000"/>
          <w:sz w:val="20"/>
        </w:rPr>
        <w:t xml:space="preserve">means, at any time, any bank, financial institution or other institutional lender or investor (other than any natural person) or any Person that would be an Affiliated Lender that agrees to provide any portion of any (a) Incremental Revolving Commitment Increase or Additional/Replacement Revolving Commitments pursuant to an Incremental Facility Amendment in accordance with Section 2.20 or (b) Credit Agreement Refinancing Indebtedness in the form of Other Revolving Commitments pursuant to a Refinancing Amendment in accordance with Section 2.21;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each Additional Revolving Lender shall be subject to the approval of the First Lien Administrative Agent (and, if such Additional Revolving Lender will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1155"/>
                <wp:effectExtent l="0" t="0" r="0" b="0"/>
                <wp:wrapNone/>
                <wp:docPr id="79" name="Frame7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provide an Incremental Revolving Commitment Increase or any Additional/Replacement Revolving Commitment, each Issuing Bank and the Swingline Lender), in each case only if such consent would be required under Section 9.04(b) for an assignment of Revolving Loans or Revolving Commitments, as applicable, to such bank, financial institution or other institutional lender or investor (such approval in each case not to be unreasonably withheld, conditioned or delayed) and the Borrower.</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Additional Term Lender</w:t>
      </w:r>
      <w:r>
        <w:rPr>
          <w:color w:val="000000"/>
        </w:rPr>
        <w:t xml:space="preserve">” </w:t>
      </w:r>
      <w:r>
        <w:rPr>
          <w:rFonts w:ascii="Times New Roman;sans-serif" w:hAnsi="Times New Roman;sans-serif"/>
          <w:b w:val="false"/>
          <w:color w:val="000000"/>
          <w:sz w:val="20"/>
        </w:rPr>
        <w:t xml:space="preserve">means, at any time, any bank, financial institution or other institutional lender or investor (other than any natural person) or any Person that would be an Affiliated Lender that agrees to provide any portion of any (a) First Lien Incremental Term Loans pursuant to an Incremental Facility Amendment in accordance with Section 2.20 or (b) Credit Agreement Refinancing Indebtedness in the form of Other First Lien Term Loans or Other First Lien Term Commitments pursuant to a Refinancing Amendment in accordance with Section 2.21;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each Additional Term Lender shall be subject to the approval of the First Lien Administrative Agent if such consent would be required under Section 9.04(b) for an assignment of Term Loans or Term Commitments, as applicable, to such bank, financial institution or other institutional lender or investor (such approval in each case not to be unreasonably withheld, conditioned or delayed) and the Borrower.</w:t>
      </w:r>
    </w:p>
    <w:p>
      <w:pPr>
        <w:pStyle w:val="TextBody"/>
        <w:bidi w:val="0"/>
        <w:spacing w:before="13"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Adjusted Daily Simple SOFR</w:t>
      </w:r>
      <w:r>
        <w:rPr>
          <w:color w:val="000000"/>
        </w:rPr>
        <w:t xml:space="preserve">” </w:t>
      </w:r>
      <w:r>
        <w:rPr>
          <w:rFonts w:ascii="Times New Roman;sans-serif" w:hAnsi="Times New Roman;sans-serif"/>
          <w:b w:val="false"/>
          <w:color w:val="000000"/>
          <w:sz w:val="20"/>
        </w:rPr>
        <w:t xml:space="preserve">means (i) with respect to the Revolving Loans, an interest rate per annum equal to (a) the Daily Simple SOFR, plus (b) 0.10% and (ii) with respect the Term Loans, Daily Simple SOFR;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for the purposes of (i) and (ii), if Adjusted Daily Simple SOFR as so determined would be less than the Floor, such rate shall be deemed to be equal to the Floor for the purposes of this Agreement.</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Adjusted Daily Simple SONIA</w:t>
      </w:r>
      <w:r>
        <w:rPr>
          <w:color w:val="000000"/>
        </w:rPr>
        <w:t xml:space="preserve">” </w:t>
      </w:r>
      <w:r>
        <w:rPr>
          <w:rFonts w:ascii="Times New Roman;sans-serif" w:hAnsi="Times New Roman;sans-serif"/>
          <w:b w:val="false"/>
          <w:color w:val="000000"/>
          <w:sz w:val="20"/>
        </w:rPr>
        <w:t xml:space="preserve">means, with respect to any SONIA Borrowing, an interest rate per annum equal to (a) Daily Simple SONIA, plus (b) 0.0326%;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the Adjusted Daily Simple SONIA Rate as so determined would be less than zero, such rate shall be deemed to be equal to zero for the purposes of this Agreement.</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Adjusted EURIBOR</w:t>
      </w:r>
      <w:r>
        <w:rPr>
          <w:color w:val="000000"/>
        </w:rPr>
        <w:t xml:space="preserve">” </w:t>
      </w:r>
      <w:r>
        <w:rPr>
          <w:rFonts w:ascii="Times New Roman;sans-serif" w:hAnsi="Times New Roman;sans-serif"/>
          <w:b w:val="false"/>
          <w:color w:val="000000"/>
          <w:sz w:val="20"/>
        </w:rPr>
        <w:t>means, with respect to any Term Benchmark Borrowing denominated in Euros for any Interest Period, an interest rate per annum equal to (a) EURIBOR for such Interest Period multiplied by (b) the Statutory Reserve Rate.</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Adjusted Term CORRA Rate</w:t>
      </w:r>
      <w:r>
        <w:rPr>
          <w:color w:val="000000"/>
        </w:rPr>
        <w:t xml:space="preserve">” </w:t>
      </w:r>
      <w:r>
        <w:rPr>
          <w:rFonts w:ascii="Times New Roman;sans-serif" w:hAnsi="Times New Roman;sans-serif"/>
          <w:b w:val="false"/>
          <w:color w:val="000000"/>
          <w:sz w:val="20"/>
        </w:rPr>
        <w:t xml:space="preserve">means, with respect to the Revolving Loans only, for any Interest Period, an interest rate per annum equal to Term CORRA for such Interest Period, </w:t>
      </w:r>
      <w:r>
        <w:rPr>
          <w:rFonts w:ascii="Times New Roman;sans-serif" w:hAnsi="Times New Roman;sans-serif"/>
          <w:b w:val="false"/>
          <w:i/>
          <w:color w:val="000000"/>
          <w:sz w:val="20"/>
        </w:rPr>
        <w:t xml:space="preserve">plus </w:t>
      </w:r>
      <w:r>
        <w:rPr>
          <w:rFonts w:ascii="Times New Roman;sans-serif" w:hAnsi="Times New Roman;sans-serif"/>
          <w:b w:val="false"/>
          <w:color w:val="000000"/>
          <w:sz w:val="20"/>
        </w:rPr>
        <w:t xml:space="preserve">(a) 0.29547 for an Interest Period of one-month’s duration and (b) 0.32138 for an Interest Period of three-months’ duration;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the Adjusted Term CORRA Rate as so determined would be less than the Floor, such rate shall be deemed to be equal to the Floor for the purposes of this Agreement.</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Adjusted Term SOFR Rate</w:t>
      </w:r>
      <w:r>
        <w:rPr>
          <w:color w:val="000000"/>
        </w:rPr>
        <w:t xml:space="preserve">” </w:t>
      </w:r>
      <w:r>
        <w:rPr>
          <w:rFonts w:ascii="Times New Roman;sans-serif" w:hAnsi="Times New Roman;sans-serif"/>
          <w:b w:val="false"/>
          <w:color w:val="000000"/>
          <w:sz w:val="20"/>
        </w:rPr>
        <w:t xml:space="preserve">means (i) with respect to the Revolving Loans, for any Interest Period, an interest rate per annum equal to (a) the Term SOFR Rate for such Interest Period, </w:t>
      </w:r>
      <w:r>
        <w:rPr>
          <w:rFonts w:ascii="Times New Roman;sans-serif" w:hAnsi="Times New Roman;sans-serif"/>
          <w:b w:val="false"/>
          <w:i/>
          <w:color w:val="000000"/>
          <w:sz w:val="20"/>
        </w:rPr>
        <w:t xml:space="preserve">plus </w:t>
      </w:r>
      <w:r>
        <w:rPr>
          <w:rFonts w:ascii="Times New Roman;sans-serif" w:hAnsi="Times New Roman;sans-serif"/>
          <w:b w:val="false"/>
          <w:color w:val="000000"/>
          <w:sz w:val="20"/>
        </w:rPr>
        <w:t xml:space="preserve">(b) 0.10% (10 basis points) and (ii) with respect to the Term Loans, Term SOFR;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for the purposes of (i) and (ii), if the Adjusted Term SOFR Rate as so determined would be less than the Floor, such rate shall be deemed to be equal to the Floor for the purposes of this Agreement.</w:t>
      </w:r>
    </w:p>
    <w:p>
      <w:pPr>
        <w:pStyle w:val="TextBody"/>
        <w:bidi w:val="0"/>
        <w:spacing w:before="12"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Administrative Questionnaire</w:t>
      </w:r>
      <w:r>
        <w:rPr>
          <w:color w:val="000000"/>
        </w:rPr>
        <w:t xml:space="preserve">” </w:t>
      </w:r>
      <w:r>
        <w:rPr>
          <w:rFonts w:ascii="Times New Roman;sans-serif" w:hAnsi="Times New Roman;sans-serif"/>
          <w:b w:val="false"/>
          <w:color w:val="000000"/>
          <w:sz w:val="20"/>
        </w:rPr>
        <w:t>means an administrative questionnaire in a form supplied by the First Lien Administrative Agent.</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Affected Class</w:t>
      </w:r>
      <w:r>
        <w:rPr>
          <w:color w:val="000000"/>
        </w:rPr>
        <w:t xml:space="preserve">” </w:t>
      </w:r>
      <w:r>
        <w:rPr>
          <w:rFonts w:ascii="Times New Roman;sans-serif" w:hAnsi="Times New Roman;sans-serif"/>
          <w:b w:val="false"/>
          <w:color w:val="000000"/>
          <w:sz w:val="20"/>
        </w:rPr>
        <w:t>has the meaning specified in Section 2.24(a).</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Affected Financial Institution</w:t>
      </w:r>
      <w:r>
        <w:rPr>
          <w:color w:val="000000"/>
        </w:rPr>
        <w:t xml:space="preserve">” </w:t>
      </w:r>
      <w:r>
        <w:rPr>
          <w:rFonts w:ascii="Times New Roman;sans-serif" w:hAnsi="Times New Roman;sans-serif"/>
          <w:b w:val="false"/>
          <w:color w:val="000000"/>
          <w:sz w:val="20"/>
        </w:rPr>
        <w:t>means (a) any EEA Financial Institution or (b) any UK Financial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Institution.</w:t>
      </w:r>
    </w:p>
    <w:p>
      <w:pPr>
        <w:pStyle w:val="TextBody"/>
        <w:bidi w:val="0"/>
        <w:spacing w:before="11"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Affiliate</w:t>
      </w:r>
      <w:r>
        <w:rPr>
          <w:color w:val="000000"/>
        </w:rPr>
        <w:t xml:space="preserve">” </w:t>
      </w:r>
      <w:r>
        <w:rPr>
          <w:rFonts w:ascii="Times New Roman;sans-serif" w:hAnsi="Times New Roman;sans-serif"/>
          <w:b w:val="false"/>
          <w:color w:val="000000"/>
          <w:sz w:val="20"/>
        </w:rPr>
        <w:t>means, with respect to a specified Person, another Person that directly or indirectly Controls or is Controlled by or is under common Control with the Person specified. For purposes of this Agreement and the other First Lien Loan Documents, Jefferies LLC and its Affiliates shall be deemed to be Affiliates of Jefferies Finance LLC and its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1155"/>
                <wp:effectExtent l="0" t="0" r="0" b="0"/>
                <wp:wrapNone/>
                <wp:docPr id="80" name="Frame7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Affiliated Debt Fund</w:t>
      </w:r>
      <w:r>
        <w:rPr>
          <w:color w:val="000000"/>
        </w:rPr>
        <w:t xml:space="preserve">” </w:t>
      </w:r>
      <w:r>
        <w:rPr>
          <w:rFonts w:ascii="Times New Roman;sans-serif" w:hAnsi="Times New Roman;sans-serif"/>
          <w:b w:val="false"/>
          <w:color w:val="000000"/>
          <w:sz w:val="20"/>
        </w:rPr>
        <w:t>means any Affiliated Lender that is a bona fide diversified debt fund primarily engaged in, or that advises funds or other investment vehicles that are engaged in, making, purchasing, holding or otherwise investing in commercial loans, bonds and similar extensions of credit or securities in the ordinary course.</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Affiliated Lender</w:t>
      </w:r>
      <w:r>
        <w:rPr>
          <w:color w:val="000000"/>
        </w:rPr>
        <w:t xml:space="preserve">” </w:t>
      </w:r>
      <w:r>
        <w:rPr>
          <w:rFonts w:ascii="Times New Roman;sans-serif" w:hAnsi="Times New Roman;sans-serif"/>
          <w:b w:val="false"/>
          <w:color w:val="000000"/>
          <w:sz w:val="20"/>
        </w:rPr>
        <w:t>means, at any time, any Lender that is an Investor, a Sponsor, or an Affiliate of an Investor or a Sponsor (other than Holdings, the Borrower or any of their respective Subsidiaries) at such time, to the extent that such Investor, such Sponsor, or the Affiliates of an Investor or a Sponsor constitute an Affiliate of Holdings, the Borrower or their respective Subsidiaries.</w:t>
      </w:r>
    </w:p>
    <w:p>
      <w:pPr>
        <w:pStyle w:val="TextBody"/>
        <w:bidi w:val="0"/>
        <w:spacing w:before="11"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Agent</w:t>
      </w:r>
      <w:r>
        <w:rPr>
          <w:color w:val="000000"/>
        </w:rPr>
        <w:t xml:space="preserve">” </w:t>
      </w:r>
      <w:r>
        <w:rPr>
          <w:rFonts w:ascii="Times New Roman;sans-serif" w:hAnsi="Times New Roman;sans-serif"/>
          <w:b w:val="false"/>
          <w:color w:val="000000"/>
          <w:sz w:val="20"/>
        </w:rPr>
        <w:t>means the First Lien Administrative Agent, the First Lien Collateral Agent, each Joint Lead Arranger and any successors and assigns of the foregoing in such capacity, and “</w:t>
      </w:r>
      <w:r>
        <w:rPr>
          <w:rFonts w:ascii="Times New Roman;sans-serif" w:hAnsi="Times New Roman;sans-serif"/>
          <w:b w:val="false"/>
          <w:color w:val="000000"/>
          <w:sz w:val="20"/>
          <w:u w:val="single"/>
        </w:rPr>
        <w:t>Agents</w:t>
      </w:r>
      <w:r>
        <w:rPr>
          <w:color w:val="000000"/>
        </w:rPr>
        <w:t xml:space="preserve">” </w:t>
      </w:r>
      <w:r>
        <w:rPr>
          <w:rFonts w:ascii="Times New Roman;sans-serif" w:hAnsi="Times New Roman;sans-serif"/>
          <w:b w:val="false"/>
          <w:color w:val="000000"/>
          <w:sz w:val="20"/>
        </w:rPr>
        <w:t>means two or more of them.</w:t>
      </w:r>
    </w:p>
    <w:p>
      <w:pPr>
        <w:pStyle w:val="TextBody"/>
        <w:bidi w:val="0"/>
        <w:spacing w:before="11" w:after="283"/>
        <w:jc w:val="left"/>
        <w:rPr/>
      </w:pPr>
      <w:r>
        <w:rPr/>
      </w:r>
    </w:p>
    <w:p>
      <w:pPr>
        <w:pStyle w:val="TextBody"/>
        <w:bidi w:val="0"/>
        <w:spacing w:lineRule="auto" w:line="568" w:before="0" w:after="0"/>
        <w:jc w:val="left"/>
        <w:rPr/>
      </w:pPr>
      <w:r>
        <w:rPr>
          <w:color w:val="000000"/>
        </w:rPr>
        <w:t>“</w:t>
      </w:r>
      <w:r>
        <w:rPr>
          <w:rFonts w:ascii="Times New Roman;sans-serif" w:hAnsi="Times New Roman;sans-serif"/>
          <w:b w:val="false"/>
          <w:color w:val="000000"/>
          <w:sz w:val="20"/>
          <w:u w:val="single"/>
        </w:rPr>
        <w:t>Agent Parties</w:t>
      </w:r>
      <w:r>
        <w:rPr>
          <w:color w:val="000000"/>
        </w:rPr>
        <w:t xml:space="preserve">” </w:t>
      </w:r>
      <w:r>
        <w:rPr>
          <w:rFonts w:ascii="Times New Roman;sans-serif" w:hAnsi="Times New Roman;sans-serif"/>
          <w:b w:val="false"/>
          <w:color w:val="000000"/>
          <w:sz w:val="20"/>
        </w:rPr>
        <w:t>has the meaning given to such term in Section 9.01(c). “</w:t>
      </w:r>
      <w:r>
        <w:rPr>
          <w:rFonts w:ascii="Times New Roman;sans-serif" w:hAnsi="Times New Roman;sans-serif"/>
          <w:b w:val="false"/>
          <w:color w:val="000000"/>
          <w:sz w:val="20"/>
          <w:u w:val="single"/>
        </w:rPr>
        <w:t>Agreed Currencies</w:t>
      </w:r>
      <w:r>
        <w:rPr>
          <w:color w:val="000000"/>
        </w:rPr>
        <w:t xml:space="preserve">” </w:t>
      </w:r>
      <w:r>
        <w:rPr>
          <w:rFonts w:ascii="Times New Roman;sans-serif" w:hAnsi="Times New Roman;sans-serif"/>
          <w:b w:val="false"/>
          <w:color w:val="000000"/>
          <w:sz w:val="20"/>
        </w:rPr>
        <w:t>means Dollars and each Alternative Currency.</w:t>
      </w:r>
    </w:p>
    <w:p>
      <w:pPr>
        <w:pStyle w:val="TextBody"/>
        <w:bidi w:val="0"/>
        <w:spacing w:lineRule="auto" w:line="568" w:before="0" w:after="0"/>
        <w:jc w:val="left"/>
        <w:rPr/>
      </w:pPr>
      <w:r>
        <w:rPr>
          <w:color w:val="000000"/>
        </w:rPr>
        <w:t>“</w:t>
      </w:r>
      <w:r>
        <w:rPr>
          <w:rFonts w:ascii="Times New Roman;sans-serif" w:hAnsi="Times New Roman;sans-serif"/>
          <w:b w:val="false"/>
          <w:color w:val="000000"/>
          <w:sz w:val="20"/>
          <w:u w:val="single"/>
        </w:rPr>
        <w:t>Agreement</w:t>
      </w:r>
      <w:r>
        <w:rPr>
          <w:color w:val="000000"/>
        </w:rPr>
        <w:t xml:space="preserve">” </w:t>
      </w:r>
      <w:r>
        <w:rPr>
          <w:rFonts w:ascii="Times New Roman;sans-serif" w:hAnsi="Times New Roman;sans-serif"/>
          <w:b w:val="false"/>
          <w:color w:val="000000"/>
          <w:sz w:val="20"/>
        </w:rPr>
        <w:t>has the meaning given to such term in the preliminary statements hereto. “</w:t>
      </w:r>
      <w:r>
        <w:rPr>
          <w:rFonts w:ascii="Times New Roman;sans-serif" w:hAnsi="Times New Roman;sans-serif"/>
          <w:b w:val="false"/>
          <w:color w:val="000000"/>
          <w:sz w:val="20"/>
          <w:u w:val="single"/>
        </w:rPr>
        <w:t>Agreement Currency</w:t>
      </w:r>
      <w:r>
        <w:rPr>
          <w:color w:val="000000"/>
        </w:rPr>
        <w:t xml:space="preserve">” </w:t>
      </w:r>
      <w:r>
        <w:rPr>
          <w:rFonts w:ascii="Times New Roman;sans-serif" w:hAnsi="Times New Roman;sans-serif"/>
          <w:b w:val="false"/>
          <w:color w:val="000000"/>
          <w:sz w:val="20"/>
        </w:rPr>
        <w:t>has the meaning assigned to such term in Section 9.17.</w:t>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0"/>
          <w:u w:val="single"/>
        </w:rPr>
        <w:t>Alternate Base Rate</w:t>
      </w:r>
      <w:r>
        <w:rPr>
          <w:color w:val="000000"/>
        </w:rPr>
        <w:t xml:space="preserve">” </w:t>
      </w:r>
      <w:r>
        <w:rPr>
          <w:rFonts w:ascii="Times New Roman;sans-serif" w:hAnsi="Times New Roman;sans-serif"/>
          <w:b w:val="false"/>
          <w:color w:val="000000"/>
          <w:sz w:val="20"/>
        </w:rPr>
        <w:t xml:space="preserve">means, for any day, a rate per annum equal to the greatest of (a) the Prime Rate in effect on such day, (b) the NYFRB Rate in effect on such day plus 0.50%, (c) the Adjusted Term SOFR Rate for a one month Interest Period as published two U.S. Governmental Securities Business Days prior to such day (or if such day is not a U.S. Governmental Securities Business Day, the immediately preceding U.S. Governmental Securities Business Day) plus 1%;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for the purpose of this clause (c)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on the effective date of such change in the Prime Rate, the NYFRB Rate, or the Adjusted Term SOFR Rate, as the case may be. Notwithstanding the foregoing, (i) with respect to the Term Loans only, the Alternate Base Rate will be deemed to be 0.00% per annum if the Alternate Base Rate calculated pursuant to the foregoing provisions would otherwise be less than 0.00% per annum and (ii)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Alternative Currency</w:t>
      </w:r>
      <w:r>
        <w:rPr>
          <w:color w:val="000000"/>
        </w:rPr>
        <w:t xml:space="preserve">” </w:t>
      </w:r>
      <w:r>
        <w:rPr>
          <w:rFonts w:ascii="Times New Roman;sans-serif" w:hAnsi="Times New Roman;sans-serif"/>
          <w:b w:val="false"/>
          <w:color w:val="000000"/>
          <w:sz w:val="20"/>
        </w:rPr>
        <w:t>means Canadian Dollars, Euros, Sterling and each other currency (other than Dollars) that is requested by the Borrower and approved in accordance with Section 1.08.</w:t>
      </w:r>
    </w:p>
    <w:p>
      <w:pPr>
        <w:pStyle w:val="TextBody"/>
        <w:bidi w:val="0"/>
        <w:spacing w:before="11"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Alternative Currency Equivalent</w:t>
      </w:r>
      <w:r>
        <w:rPr>
          <w:color w:val="000000"/>
        </w:rPr>
        <w:t xml:space="preserve">” </w:t>
      </w:r>
      <w:r>
        <w:rPr>
          <w:rFonts w:ascii="Times New Roman;sans-serif" w:hAnsi="Times New Roman;sans-serif"/>
          <w:b w:val="false"/>
          <w:color w:val="000000"/>
          <w:sz w:val="20"/>
        </w:rPr>
        <w:t>means, for any amount of any Alternative Currency, at the time of determination thereof, (a) if such amount is expressed in such Alternative Currency, such amount and (b) if such amount is expressed in Dollars, the equivalent of such amount in such Alternative Currency determined by using the rate of exchange for the purchase of such Alternative Currency with Dollars last provided (either by publication or otherwise provided to the First Lien Administrative Agent) by the applicable Reuters source on the Business Day (New York City time) immediately preceding the date of determination or if such service ceases to be available or ceases to provide a rate of exchange for the purchase of such Alternative Currency with Dollars, as provided by such other publicly available information service which provides that rate of exchange at such time in place of Reuters chosen by the First Lien Administrative Agent in its sole discretion (or if such service ceases to be available or ceases to provide such rate of exchange, the equivalent of such amount in Dollars as determined by the First Lien Administrative Agent using any method of determination it deems appropriate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1155"/>
                <wp:effectExtent l="0" t="0" r="0" b="0"/>
                <wp:wrapNone/>
                <wp:docPr id="81" name="Frame8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60" w:after="283"/>
        <w:ind w:left="0" w:right="0" w:firstLine="1440"/>
        <w:jc w:val="both"/>
        <w:rPr/>
      </w:pPr>
      <w:r>
        <w:rPr/>
      </w:r>
    </w:p>
    <w:p>
      <w:pPr>
        <w:pStyle w:val="TextBody"/>
        <w:bidi w:val="0"/>
        <w:spacing w:lineRule="auto" w:line="288" w:before="60" w:after="283"/>
        <w:ind w:left="0" w:right="0" w:firstLine="1440"/>
        <w:jc w:val="both"/>
        <w:rPr/>
      </w:pPr>
      <w:r>
        <w:rPr>
          <w:color w:val="000000"/>
        </w:rPr>
        <w:t>“</w:t>
      </w:r>
      <w:r>
        <w:rPr>
          <w:rFonts w:ascii="Times New Roman;sans-serif" w:hAnsi="Times New Roman;sans-serif"/>
          <w:b w:val="false"/>
          <w:color w:val="000000"/>
          <w:sz w:val="20"/>
          <w:u w:val="single"/>
        </w:rPr>
        <w:t>Amendment No. 1</w:t>
      </w:r>
      <w:r>
        <w:rPr>
          <w:color w:val="000000"/>
        </w:rPr>
        <w:t xml:space="preserve">” </w:t>
      </w:r>
      <w:r>
        <w:rPr>
          <w:rFonts w:ascii="Times New Roman;sans-serif" w:hAnsi="Times New Roman;sans-serif"/>
          <w:b w:val="false"/>
          <w:color w:val="000000"/>
          <w:sz w:val="20"/>
        </w:rPr>
        <w:t>means Incremental Amendment No. 1 to this Agreement dated as of December 17, 2020.</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Amendment No. 1 Effective Date</w:t>
      </w:r>
      <w:r>
        <w:rPr>
          <w:color w:val="000000"/>
        </w:rPr>
        <w:t xml:space="preserve">” </w:t>
      </w:r>
      <w:r>
        <w:rPr>
          <w:rFonts w:ascii="Times New Roman;sans-serif" w:hAnsi="Times New Roman;sans-serif"/>
          <w:b w:val="false"/>
          <w:color w:val="000000"/>
          <w:sz w:val="20"/>
        </w:rPr>
        <w:t>means December 17, 2020, the date of effectiveness of Amendment No. 1.</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Amendment No. 1 Revolving Commitment Increase</w:t>
      </w:r>
      <w:r>
        <w:rPr>
          <w:color w:val="000000"/>
        </w:rPr>
        <w:t xml:space="preserve">” </w:t>
      </w:r>
      <w:r>
        <w:rPr>
          <w:rFonts w:ascii="Times New Roman;sans-serif" w:hAnsi="Times New Roman;sans-serif"/>
          <w:b w:val="false"/>
          <w:color w:val="000000"/>
          <w:sz w:val="20"/>
        </w:rPr>
        <w:t>means the obligation of each Incremental Amendment Revolving Lender (as defined in Amendment No. 1) to provide Incremental Revolving Commitments to the Borrower on the Amendment No. 1 Effective Date in an aggregate principal amount equal to $157,500,000.</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Amendment No. 2</w:t>
      </w:r>
      <w:r>
        <w:rPr>
          <w:color w:val="000000"/>
        </w:rPr>
        <w:t xml:space="preserve">” </w:t>
      </w:r>
      <w:r>
        <w:rPr>
          <w:rFonts w:ascii="Times New Roman;sans-serif" w:hAnsi="Times New Roman;sans-serif"/>
          <w:b w:val="false"/>
          <w:color w:val="000000"/>
          <w:sz w:val="20"/>
        </w:rPr>
        <w:t>means Incremental Amendment No. 2 to this Agreement dated as of March</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21, 2023.</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Amendment No. 2 Effective Date</w:t>
      </w:r>
      <w:r>
        <w:rPr>
          <w:color w:val="000000"/>
        </w:rPr>
        <w:t xml:space="preserve">” </w:t>
      </w:r>
      <w:r>
        <w:rPr>
          <w:rFonts w:ascii="Times New Roman;sans-serif" w:hAnsi="Times New Roman;sans-serif"/>
          <w:b w:val="false"/>
          <w:color w:val="000000"/>
          <w:sz w:val="20"/>
        </w:rPr>
        <w:t>means March 21, 2023, the date of effectiveness of Amendment No. 2.</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Amendment No. 2 Revolving Commitment Increase</w:t>
      </w:r>
      <w:r>
        <w:rPr>
          <w:color w:val="000000"/>
        </w:rPr>
        <w:t xml:space="preserve">” </w:t>
      </w:r>
      <w:r>
        <w:rPr>
          <w:rFonts w:ascii="Times New Roman;sans-serif" w:hAnsi="Times New Roman;sans-serif"/>
          <w:b w:val="false"/>
          <w:color w:val="000000"/>
          <w:sz w:val="20"/>
        </w:rPr>
        <w:t>means the obligation of each Incremental Amendment Revolving Lender (as defined in Amendment No. 2) to provide Incremental Revolving Commitments to the Borrower on the Amendment No. 2 Effective Date in an aggregate principal amount equal to $76,250,000.</w:t>
      </w:r>
    </w:p>
    <w:p>
      <w:pPr>
        <w:pStyle w:val="TextBody"/>
        <w:bidi w:val="0"/>
        <w:spacing w:lineRule="auto" w:line="655" w:before="1" w:after="283"/>
        <w:jc w:val="left"/>
        <w:rPr/>
      </w:pPr>
      <w:r>
        <w:rPr>
          <w:color w:val="000000"/>
        </w:rPr>
        <w:t>“</w:t>
      </w:r>
      <w:r>
        <w:rPr>
          <w:rFonts w:ascii="Times New Roman;sans-serif" w:hAnsi="Times New Roman;sans-serif"/>
          <w:b w:val="false"/>
          <w:color w:val="000000"/>
          <w:sz w:val="20"/>
          <w:u w:val="single"/>
        </w:rPr>
        <w:t>Amendment No. 3</w:t>
      </w:r>
      <w:r>
        <w:rPr>
          <w:color w:val="000000"/>
        </w:rPr>
        <w:t xml:space="preserve">” </w:t>
      </w:r>
      <w:r>
        <w:rPr>
          <w:rFonts w:ascii="Times New Roman;sans-serif" w:hAnsi="Times New Roman;sans-serif"/>
          <w:b w:val="false"/>
          <w:color w:val="000000"/>
          <w:sz w:val="20"/>
        </w:rPr>
        <w:t>means Amendment No. 3 to this Agreement dated as of March 1, 2024. “</w:t>
      </w:r>
      <w:r>
        <w:rPr>
          <w:rFonts w:ascii="Times New Roman;sans-serif" w:hAnsi="Times New Roman;sans-serif"/>
          <w:b w:val="false"/>
          <w:color w:val="000000"/>
          <w:sz w:val="20"/>
          <w:u w:val="single"/>
        </w:rPr>
        <w:t>Amendment No. 3 Effective Date</w:t>
      </w:r>
      <w:r>
        <w:rPr>
          <w:color w:val="000000"/>
        </w:rPr>
        <w:t xml:space="preserve">” </w:t>
      </w:r>
      <w:r>
        <w:rPr>
          <w:rFonts w:ascii="Times New Roman;sans-serif" w:hAnsi="Times New Roman;sans-serif"/>
          <w:b w:val="false"/>
          <w:color w:val="000000"/>
          <w:sz w:val="20"/>
        </w:rPr>
        <w:t>means March 1, 2024, the date of effectiveness of</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3.</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Amendment No. 3 Refinancing Revolving Commitment</w:t>
      </w:r>
      <w:r>
        <w:rPr>
          <w:color w:val="000000"/>
        </w:rPr>
        <w:t xml:space="preserve">” </w:t>
      </w:r>
      <w:r>
        <w:rPr>
          <w:rFonts w:ascii="Times New Roman;sans-serif" w:hAnsi="Times New Roman;sans-serif"/>
          <w:b w:val="false"/>
          <w:color w:val="000000"/>
          <w:sz w:val="20"/>
        </w:rPr>
        <w:t>means the obligation of each Refinancing Revolving Lender (as defined in Amendment No. 3) to provide Refinancing Revolving Commitments (as defined in Amendment No. 3) to the Borrower on the Amendment No. 3 Effective Date in an aggregate principal amount equal to $83,000,000. The Amendment No. 3 Refinancing Revolving Commitments will be treated as part of the same Class of Revolving Commitments as the Revolving Commitments outstanding immediately prior to the Amendment No. 3 Effective Date.</w:t>
      </w:r>
    </w:p>
    <w:p>
      <w:pPr>
        <w:pStyle w:val="TextBody"/>
        <w:bidi w:val="0"/>
        <w:spacing w:before="13"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Amendment No. 4</w:t>
      </w:r>
      <w:r>
        <w:rPr>
          <w:color w:val="000000"/>
        </w:rPr>
        <w:t xml:space="preserve">” </w:t>
      </w:r>
      <w:r>
        <w:rPr>
          <w:rFonts w:ascii="Times New Roman;sans-serif" w:hAnsi="Times New Roman;sans-serif"/>
          <w:b w:val="false"/>
          <w:color w:val="000000"/>
          <w:sz w:val="20"/>
        </w:rPr>
        <w:t>means Amendment No. 4 to this Agreement dated as May 30, 2024.</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Amendment No. 4 Effective Date</w:t>
      </w:r>
      <w:r>
        <w:rPr>
          <w:color w:val="000000"/>
        </w:rPr>
        <w:t xml:space="preserve">” </w:t>
      </w:r>
      <w:r>
        <w:rPr>
          <w:rFonts w:ascii="Times New Roman;sans-serif" w:hAnsi="Times New Roman;sans-serif"/>
          <w:b w:val="false"/>
          <w:color w:val="000000"/>
          <w:sz w:val="20"/>
        </w:rPr>
        <w:t>means May 30, 2024, the date of effectiveness of Amendment</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4.</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Amendment No. 4 Transactions</w:t>
      </w:r>
      <w:r>
        <w:rPr>
          <w:color w:val="000000"/>
        </w:rPr>
        <w:t xml:space="preserve">” </w:t>
      </w:r>
      <w:r>
        <w:rPr>
          <w:rFonts w:ascii="Times New Roman;sans-serif" w:hAnsi="Times New Roman;sans-serif"/>
          <w:b w:val="false"/>
          <w:color w:val="000000"/>
          <w:sz w:val="20"/>
        </w:rPr>
        <w:t>has the meaning specified in Amendment No. 4.</w:t>
      </w:r>
    </w:p>
    <w:p>
      <w:pPr>
        <w:pStyle w:val="TextBody"/>
        <w:bidi w:val="0"/>
        <w:spacing w:before="10" w:after="283"/>
        <w:jc w:val="left"/>
        <w:rPr/>
      </w:pPr>
      <w:r>
        <w:rPr/>
      </w:r>
    </w:p>
    <w:p>
      <w:pPr>
        <w:pStyle w:val="TextBody"/>
        <w:bidi w:val="0"/>
        <w:spacing w:lineRule="auto" w:line="288" w:before="1" w:after="283"/>
        <w:jc w:val="left"/>
        <w:rPr>
          <w:color w:val="0000FF"/>
          <w:u w:val="single"/>
        </w:rPr>
      </w:pPr>
      <w:r>
        <w:rPr>
          <w:color w:val="0000FF"/>
          <w:u w:val="single"/>
        </w:rPr>
        <w:t>“</w:t>
      </w:r>
      <w:r>
        <w:rPr>
          <w:rFonts w:ascii="Times New Roman;sans-serif" w:hAnsi="Times New Roman;sans-serif"/>
          <w:b/>
          <w:color w:val="0000FF"/>
          <w:sz w:val="20"/>
          <w:u w:val="single"/>
        </w:rPr>
        <w:t>Amendment No. 5” means Amendment No. 5 to this Agreement dated as of April 30, 2025.</w:t>
      </w:r>
    </w:p>
    <w:p>
      <w:pPr>
        <w:pStyle w:val="TextBody"/>
        <w:bidi w:val="0"/>
        <w:spacing w:before="10" w:after="283"/>
        <w:jc w:val="left"/>
        <w:rPr/>
      </w:pPr>
      <w:r>
        <w:rPr/>
      </w:r>
    </w:p>
    <w:p>
      <w:pPr>
        <w:pStyle w:val="TextBody"/>
        <w:bidi w:val="0"/>
        <w:spacing w:lineRule="auto" w:line="288" w:before="0" w:after="0"/>
        <w:ind w:left="0" w:right="0" w:firstLine="1440"/>
        <w:jc w:val="left"/>
        <w:rPr/>
      </w:pPr>
      <w:r>
        <w:rPr>
          <w:color w:val="0000FF"/>
          <w:u w:val="single"/>
        </w:rPr>
        <w:t>“</w:t>
      </w:r>
      <w:r>
        <w:rPr>
          <w:rFonts w:ascii="Times New Roman;sans-serif" w:hAnsi="Times New Roman;sans-serif"/>
          <w:b/>
          <w:color w:val="0000FF"/>
          <w:sz w:val="20"/>
          <w:u w:val="single"/>
        </w:rPr>
        <w:t xml:space="preserve">Amendment No. 5 Effective Date” means April 30, 2025, the date of effectiveness of Amendment No. 5. </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FF"/>
          <w:u w:val="single"/>
        </w:rPr>
        <w:t>“</w:t>
      </w:r>
      <w:r>
        <w:rPr>
          <w:rFonts w:ascii="Times New Roman;sans-serif" w:hAnsi="Times New Roman;sans-serif"/>
          <w:b/>
          <w:color w:val="0000FF"/>
          <w:sz w:val="20"/>
          <w:u w:val="single"/>
        </w:rPr>
        <w:t>Amendment No. 5 Revolving Commitment Increase” means the obligation of each</w:t>
      </w:r>
      <w:r>
        <w:rPr>
          <w:color w:val="0000FF"/>
        </w:rPr>
        <w:t xml:space="preserve"> </w:t>
      </w:r>
      <w:r>
        <w:rPr>
          <w:rFonts w:ascii="Times New Roman;sans-serif" w:hAnsi="Times New Roman;sans-serif"/>
          <w:b/>
          <w:color w:val="0000FF"/>
          <w:sz w:val="20"/>
          <w:u w:val="single"/>
        </w:rPr>
        <w:t>Incremental Amendment No. 5 Revolving Lender to provide Incremental Revolving Commitments to the Borrower on the Amendment No. 5 Effective Date in an aggregate principal amount equal to $176,250,000.</w:t>
      </w:r>
    </w:p>
    <w:p>
      <w:pPr>
        <w:pStyle w:val="TextBody"/>
        <w:bidi w:val="0"/>
        <w:spacing w:before="11" w:after="283"/>
        <w:jc w:val="left"/>
        <w:rPr/>
      </w:pPr>
      <w:r>
        <w:rPr/>
      </w:r>
    </w:p>
    <w:p>
      <w:pPr>
        <w:pStyle w:val="TextBody"/>
        <w:bidi w:val="0"/>
        <w:spacing w:lineRule="auto" w:line="288" w:before="0" w:after="0"/>
        <w:jc w:val="left"/>
        <w:rPr>
          <w:color w:val="0000FF"/>
          <w:u w:val="single"/>
        </w:rPr>
      </w:pPr>
      <w:r>
        <w:rPr>
          <w:color w:val="0000FF"/>
          <w:u w:val="single"/>
        </w:rPr>
        <w:t>“</w:t>
      </w:r>
      <w:r>
        <w:rPr>
          <w:rFonts w:ascii="Times New Roman;sans-serif" w:hAnsi="Times New Roman;sans-serif"/>
          <w:b/>
          <w:color w:val="0000FF"/>
          <w:sz w:val="20"/>
          <w:u w:val="single"/>
        </w:rPr>
        <w:t>Amendment No. 5 Transactions” has the meaning specified in Amendment No. 5.</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1155"/>
                <wp:effectExtent l="0" t="0" r="0" b="0"/>
                <wp:wrapNone/>
                <wp:docPr id="82" name="Frame8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Applicable Account</w:t>
      </w:r>
      <w:r>
        <w:rPr>
          <w:color w:val="000000"/>
        </w:rPr>
        <w:t xml:space="preserve">” </w:t>
      </w:r>
      <w:r>
        <w:rPr>
          <w:rFonts w:ascii="Times New Roman;sans-serif" w:hAnsi="Times New Roman;sans-serif"/>
          <w:b w:val="false"/>
          <w:color w:val="000000"/>
          <w:sz w:val="20"/>
        </w:rPr>
        <w:t>means, with respect to any payment to be made to the First Lien Administrative Agent hereunder, the account specified by the First Lien Administrative Agent from time to time for the purpose of receiving payments of such type.</w:t>
      </w:r>
    </w:p>
    <w:p>
      <w:pPr>
        <w:pStyle w:val="TextBody"/>
        <w:bidi w:val="0"/>
        <w:spacing w:before="60" w:after="283"/>
        <w:jc w:val="left"/>
        <w:rPr/>
      </w:pPr>
      <w:r>
        <w:rPr/>
      </w:r>
    </w:p>
    <w:p>
      <w:pPr>
        <w:pStyle w:val="TextBody"/>
        <w:bidi w:val="0"/>
        <w:spacing w:lineRule="auto" w:line="288" w:before="60" w:after="283"/>
        <w:jc w:val="left"/>
        <w:rPr/>
      </w:pPr>
      <w:r>
        <w:rPr>
          <w:color w:val="000000"/>
        </w:rPr>
        <w:t>“</w:t>
      </w:r>
      <w:r>
        <w:rPr>
          <w:rFonts w:ascii="Times New Roman;sans-serif" w:hAnsi="Times New Roman;sans-serif"/>
          <w:b w:val="false"/>
          <w:color w:val="000000"/>
          <w:sz w:val="20"/>
          <w:u w:val="single"/>
        </w:rPr>
        <w:t>Applicable Discount</w:t>
      </w:r>
      <w:r>
        <w:rPr>
          <w:color w:val="000000"/>
        </w:rPr>
        <w:t xml:space="preserve">” </w:t>
      </w:r>
      <w:r>
        <w:rPr>
          <w:rFonts w:ascii="Times New Roman;sans-serif" w:hAnsi="Times New Roman;sans-serif"/>
          <w:b w:val="false"/>
          <w:color w:val="000000"/>
          <w:sz w:val="20"/>
        </w:rPr>
        <w:t>has the meaning assigned to such term in Section 2.11(a)(ii)(C)(2).</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Applicable Fronting Exposure</w:t>
      </w:r>
      <w:r>
        <w:rPr>
          <w:color w:val="000000"/>
        </w:rPr>
        <w:t xml:space="preserve">” </w:t>
      </w:r>
      <w:r>
        <w:rPr>
          <w:rFonts w:ascii="Times New Roman;sans-serif" w:hAnsi="Times New Roman;sans-serif"/>
          <w:b w:val="false"/>
          <w:color w:val="000000"/>
          <w:sz w:val="20"/>
        </w:rPr>
        <w:t>means, with respect to any Person that is an Issuing Bank or the Swingline Lender at any time, the sum of (a) the aggregate amount of all Letters of Credit issued by such Person in its capacity as an Issuing Bank (if applicable) that remains available for drawing at such time, (b) the aggregate amount of all LC Disbursements made by such Person in its capacity as an Issuing Bank (if applicable) that have not yet been reimbursed by or on behalf of the Borrower at such time and (c) the aggregate principal amount of all Swingline Loans made by such Person in its capacity as a Swingline Lender (if applicable) outstanding at such time.</w:t>
      </w:r>
    </w:p>
    <w:p>
      <w:pPr>
        <w:pStyle w:val="TextBody"/>
        <w:bidi w:val="0"/>
        <w:spacing w:before="12" w:after="283"/>
        <w:jc w:val="left"/>
        <w:rPr/>
      </w:pPr>
      <w:r>
        <w:rPr/>
      </w:r>
    </w:p>
    <w:p>
      <w:pPr>
        <w:pStyle w:val="TextBody"/>
        <w:bidi w:val="0"/>
        <w:spacing w:lineRule="auto" w:line="288" w:before="0" w:after="0"/>
        <w:ind w:left="0" w:right="0" w:firstLine="1489"/>
        <w:jc w:val="both"/>
        <w:rPr/>
      </w:pPr>
      <w:r>
        <w:rPr>
          <w:color w:val="000000"/>
        </w:rPr>
        <w:t>“</w:t>
      </w:r>
      <w:r>
        <w:rPr>
          <w:rFonts w:ascii="Times New Roman;sans-serif" w:hAnsi="Times New Roman;sans-serif"/>
          <w:b w:val="false"/>
          <w:color w:val="000000"/>
          <w:sz w:val="20"/>
          <w:u w:val="single"/>
        </w:rPr>
        <w:t>Applicable Percentage</w:t>
      </w:r>
      <w:r>
        <w:rPr>
          <w:color w:val="000000"/>
        </w:rPr>
        <w:t xml:space="preserve">” </w:t>
      </w:r>
      <w:r>
        <w:rPr>
          <w:rFonts w:ascii="Times New Roman;sans-serif" w:hAnsi="Times New Roman;sans-serif"/>
          <w:b w:val="false"/>
          <w:color w:val="000000"/>
          <w:sz w:val="20"/>
        </w:rPr>
        <w:t xml:space="preserve">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with respect to Letters of Credit, LC Disbursements, LC Exposure, Swingline Exposure and Swingline Loans, “Applicable Percentage” shall mean the percentage of the aggregate Revolving Commitments represented by such Lender’s Revolving Commitment at such time (or, if the Revolving Commitments have terminated or expired, such Lender’s share of the total Revolving Exposure at that time);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u w:val="single"/>
        </w:rPr>
        <w:t>further</w:t>
      </w:r>
      <w:r>
        <w:rPr>
          <w:color w:val="000000"/>
        </w:rPr>
        <w:t xml:space="preserve"> </w:t>
      </w:r>
      <w:r>
        <w:rPr>
          <w:rFonts w:ascii="Times New Roman;sans-serif" w:hAnsi="Times New Roman;sans-serif"/>
          <w:b w:val="false"/>
          <w:color w:val="000000"/>
          <w:sz w:val="20"/>
        </w:rPr>
        <w:t>that, at any time any Revolving Lender shall be a Defaulting Lender,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applicable Revolving Commitments most recently in effect, giving effect to any assignments pursuant to this Agreement and to any Lender’s status as a Defaulting Lender at the time of determination.</w:t>
      </w:r>
    </w:p>
    <w:p>
      <w:pPr>
        <w:pStyle w:val="TextBody"/>
        <w:bidi w:val="0"/>
        <w:spacing w:before="15"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Applicable Rate</w:t>
      </w:r>
      <w:r>
        <w:rPr>
          <w:color w:val="000000"/>
        </w:rPr>
        <w:t xml:space="preserve">” </w:t>
      </w:r>
      <w:r>
        <w:rPr>
          <w:rFonts w:ascii="Times New Roman;sans-serif" w:hAnsi="Times New Roman;sans-serif"/>
          <w:b w:val="false"/>
          <w:color w:val="000000"/>
          <w:sz w:val="20"/>
        </w:rPr>
        <w:t xml:space="preserve">means, for any day, (a) with respect to any SONIA Loan, Adjusted Daily Simple SONIA plus 2.75% per annum, (b) with respect to any 2024 Refinancing Term Loans, the applicable rate per annum set forth below under the caption for such 2024 Refinancing Term Loans, in each case for the purposes of this </w:t>
      </w:r>
      <w:r>
        <w:rPr>
          <w:rFonts w:ascii="Times New Roman;sans-serif" w:hAnsi="Times New Roman;sans-serif"/>
          <w:b w:val="false"/>
          <w:color w:val="000000"/>
          <w:sz w:val="20"/>
          <w:u w:val="single"/>
        </w:rPr>
        <w:t>clause (b),</w:t>
      </w:r>
      <w:r>
        <w:rPr>
          <w:color w:val="000000"/>
        </w:rPr>
        <w:t xml:space="preserve"> </w:t>
      </w:r>
      <w:r>
        <w:rPr>
          <w:rFonts w:ascii="Times New Roman;sans-serif" w:hAnsi="Times New Roman;sans-serif"/>
          <w:b w:val="false"/>
          <w:color w:val="000000"/>
          <w:sz w:val="20"/>
        </w:rPr>
        <w:t>based upon the Senior Secured First Lien Net Leverage Ratio as of the most recent Test Period; provided that until the date of the delivery of the relevant consolidated financial statements pursuant to Section 5.01(a) or (b), as applicable, as of the Amendment No. 4 Effective Date the Applicable Rate shall be based on the rates per annum set forth in Category 1 immediately below, (c) with respect to any Loan denominated in Euros, Adjusted EURIBOR Rate plus 2.75% per annum, (d) with respect to any Loan denominated in Canadian Dollars, (i) in the case of any ABR Loan, the Canadian Base Rate plus 1.75% per annum or (ii) in the case of a Term Benchmark Loan, the Adjusted Term CORRA Rate plus 2.75% and (e) with respect to any Revolving Loan denominated in Dollars, (i) in the case of an ABR Loan, the Alternate Base Rate plus 1.75%, (ii) in the case of a Term Benchmark Loan, the Adjusted Term SOFR Rate plus 2.75%, or (iii) in the case of a RFR Loan, Adjusted Daily Simple SOFR plus 2.75% per annum.</w:t>
      </w:r>
    </w:p>
    <w:p>
      <w:pPr>
        <w:pStyle w:val="TextBody"/>
        <w:bidi w:val="0"/>
        <w:spacing w:before="15" w:after="283"/>
        <w:jc w:val="left"/>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Applicable Rate for 2024 Refinancing Term Loans</w:t>
      </w:r>
    </w:p>
    <w:p>
      <w:pPr>
        <w:pStyle w:val="TextBody"/>
        <w:bidi w:val="0"/>
        <w:spacing w:before="1" w:after="283"/>
        <w:jc w:val="left"/>
        <w:rPr/>
      </w:pPr>
      <w:r>
        <w:rPr/>
      </w:r>
    </w:p>
    <w:tbl>
      <w:tblPr>
        <w:tblW w:w="10205" w:type="dxa"/>
        <w:jc w:val="left"/>
        <w:tblInd w:w="0" w:type="dxa"/>
        <w:tblLayout w:type="fixed"/>
        <w:tblCellMar>
          <w:top w:w="28" w:type="dxa"/>
          <w:left w:w="28" w:type="dxa"/>
          <w:bottom w:w="28" w:type="dxa"/>
          <w:right w:w="28" w:type="dxa"/>
        </w:tblCellMar>
      </w:tblPr>
      <w:tblGrid>
        <w:gridCol w:w="1246"/>
        <w:gridCol w:w="910"/>
        <w:gridCol w:w="915"/>
        <w:gridCol w:w="883"/>
        <w:gridCol w:w="883"/>
        <w:gridCol w:w="886"/>
        <w:gridCol w:w="950"/>
        <w:gridCol w:w="950"/>
        <w:gridCol w:w="952"/>
        <w:gridCol w:w="473"/>
        <w:gridCol w:w="473"/>
        <w:gridCol w:w="684"/>
      </w:tblGrid>
      <w:tr>
        <w:trPr/>
        <w:tc>
          <w:tcPr>
            <w:tcW w:w="124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3071" w:type="dxa"/>
            <w:gridSpan w:val="3"/>
            <w:tcBorders>
              <w:top w:val="single" w:sz="12" w:space="0" w:color="010101"/>
            </w:tcBorders>
            <w:tcMar>
              <w:top w:w="30" w:type="dxa"/>
              <w:left w:w="0" w:type="dxa"/>
              <w:bottom w:w="0" w:type="dxa"/>
              <w:right w:w="0" w:type="dxa"/>
            </w:tcMar>
            <w:vAlign w:val="center"/>
          </w:tcPr>
          <w:p>
            <w:pPr>
              <w:pStyle w:val="TableContents"/>
              <w:bidi w:val="0"/>
              <w:spacing w:lineRule="auto" w:line="319" w:before="0" w:after="0"/>
              <w:ind w:left="0" w:right="0" w:hanging="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Senior Secured First Lien Net Leverage Ratio</w:t>
            </w:r>
          </w:p>
        </w:tc>
        <w:tc>
          <w:tcPr>
            <w:tcW w:w="2652" w:type="dxa"/>
            <w:gridSpan w:val="3"/>
            <w:tcBorders>
              <w:top w:val="single" w:sz="12" w:space="0" w:color="010101"/>
            </w:tcBorders>
            <w:tcMar>
              <w:top w:w="30" w:type="dxa"/>
              <w:left w:w="0" w:type="dxa"/>
              <w:bottom w:w="0" w:type="dxa"/>
              <w:right w:w="0" w:type="dxa"/>
            </w:tcMar>
            <w:vAlign w:val="center"/>
          </w:tcPr>
          <w:p>
            <w:pPr>
              <w:pStyle w:val="TableContents"/>
              <w:bidi w:val="0"/>
              <w:spacing w:lineRule="auto" w:line="319" w:before="0" w:after="0"/>
              <w:ind w:left="0" w:right="0" w:firstLine="391"/>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ABR Loans (Alternate Base Rate)</w:t>
            </w:r>
          </w:p>
        </w:tc>
        <w:tc>
          <w:tcPr>
            <w:tcW w:w="2852" w:type="dxa"/>
            <w:gridSpan w:val="3"/>
            <w:tcBorders>
              <w:top w:val="single" w:sz="12" w:space="0" w:color="010101"/>
            </w:tcBorders>
            <w:tcMar>
              <w:top w:w="30" w:type="dxa"/>
              <w:left w:w="0" w:type="dxa"/>
              <w:bottom w:w="0" w:type="dxa"/>
              <w:right w:w="0" w:type="dxa"/>
            </w:tcMar>
            <w:vAlign w:val="center"/>
          </w:tcPr>
          <w:p>
            <w:pPr>
              <w:pStyle w:val="TableContents"/>
              <w:bidi w:val="0"/>
              <w:spacing w:lineRule="auto" w:line="319" w:before="0" w:after="0"/>
              <w:ind w:left="0" w:right="0" w:firstLine="528"/>
              <w:jc w:val="left"/>
              <w:rPr/>
            </w:pPr>
            <w:r>
              <w:rPr>
                <w:rFonts w:ascii="Times New Roman;sans-serif" w:hAnsi="Times New Roman;sans-serif"/>
                <w:b w:val="false"/>
                <w:color w:val="000000"/>
                <w:sz w:val="20"/>
                <w:u w:val="single"/>
              </w:rPr>
              <w:t xml:space="preserve">RFR Loan </w:t>
            </w:r>
            <w:r>
              <w:rPr>
                <w:rFonts w:ascii="Times New Roman;sans-serif" w:hAnsi="Times New Roman;sans-serif"/>
                <w:b w:val="false"/>
                <w:color w:val="000000"/>
                <w:sz w:val="20"/>
              </w:rPr>
              <w:t>(</w:t>
            </w:r>
            <w:r>
              <w:rPr>
                <w:rFonts w:ascii="Times New Roman;sans-serif" w:hAnsi="Times New Roman;sans-serif"/>
                <w:b w:val="false"/>
                <w:color w:val="000000"/>
                <w:sz w:val="20"/>
                <w:u w:val="single"/>
              </w:rPr>
              <w:t xml:space="preserve">Adjusted Daily Simple </w:t>
            </w:r>
          </w:p>
        </w:tc>
        <w:tc>
          <w:tcPr>
            <w:tcW w:w="1630" w:type="dxa"/>
            <w:gridSpan w:val="3"/>
            <w:tcBorders>
              <w:top w:val="single" w:sz="12" w:space="0" w:color="010101"/>
            </w:tcBorders>
            <w:tcMar>
              <w:top w:w="30" w:type="dxa"/>
              <w:left w:w="0" w:type="dxa"/>
              <w:bottom w:w="0" w:type="dxa"/>
              <w:right w:w="0" w:type="dxa"/>
            </w:tcMar>
            <w:vAlign w:val="center"/>
          </w:tcPr>
          <w:p>
            <w:pPr>
              <w:pStyle w:val="TableContents"/>
              <w:bidi w:val="0"/>
              <w:spacing w:lineRule="auto" w:line="319" w:before="0" w:after="0"/>
              <w:ind w:left="0" w:right="0" w:hanging="495"/>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Term Benchmark Loan </w:t>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3"/>
            <w:tcBorders/>
            <w:tcMar>
              <w:top w:w="0" w:type="dxa"/>
              <w:left w:w="0" w:type="dxa"/>
              <w:bottom w:w="0" w:type="dxa"/>
              <w:right w:w="0" w:type="dxa"/>
            </w:tcMar>
            <w:vAlign w:val="center"/>
          </w:tcPr>
          <w:p>
            <w:pPr>
              <w:pStyle w:val="TableContents"/>
              <w:bidi w:val="0"/>
              <w:spacing w:lineRule="atLeast" w:line="226" w:before="0" w:after="0"/>
              <w:jc w:val="center"/>
              <w:rPr/>
            </w:pPr>
            <w:r>
              <w:rPr>
                <w:rFonts w:ascii="Times New Roman;sans-serif" w:hAnsi="Times New Roman;sans-serif"/>
                <w:b w:val="false"/>
                <w:color w:val="000000"/>
                <w:sz w:val="20"/>
                <w:u w:val="single"/>
              </w:rPr>
              <w:t>SOFR</w:t>
            </w:r>
            <w:r>
              <w:rPr>
                <w:rFonts w:ascii="Times New Roman;sans-serif" w:hAnsi="Times New Roman;sans-serif"/>
                <w:b w:val="false"/>
                <w:color w:val="000000"/>
                <w:sz w:val="20"/>
              </w:rPr>
              <w:t>)</w:t>
            </w:r>
          </w:p>
        </w:tc>
        <w:tc>
          <w:tcPr>
            <w:tcW w:w="1630" w:type="dxa"/>
            <w:gridSpan w:val="3"/>
            <w:tcBorders/>
            <w:tcMar>
              <w:top w:w="0" w:type="dxa"/>
              <w:left w:w="0" w:type="dxa"/>
              <w:bottom w:w="0" w:type="dxa"/>
              <w:right w:w="0" w:type="dxa"/>
            </w:tcMar>
            <w:vAlign w:val="center"/>
          </w:tcPr>
          <w:p>
            <w:pPr>
              <w:pStyle w:val="TableContents"/>
              <w:bidi w:val="0"/>
              <w:spacing w:lineRule="auto" w:line="288" w:before="0" w:after="0"/>
              <w:ind w:left="0" w:right="0" w:hanging="353"/>
              <w:jc w:val="left"/>
              <w:rPr/>
            </w:pPr>
            <w:r>
              <w:rPr>
                <w:rFonts w:ascii="Times New Roman;sans-serif" w:hAnsi="Times New Roman;sans-serif"/>
                <w:b w:val="false"/>
                <w:color w:val="000000"/>
                <w:sz w:val="20"/>
              </w:rPr>
              <w:t>(</w:t>
            </w:r>
            <w:r>
              <w:rPr>
                <w:rFonts w:ascii="Times New Roman;sans-serif" w:hAnsi="Times New Roman;sans-serif"/>
                <w:b w:val="false"/>
                <w:color w:val="000000"/>
                <w:sz w:val="20"/>
                <w:u w:val="single"/>
              </w:rPr>
              <w:t>Adjusted Term</w:t>
            </w:r>
            <w:r>
              <w:rPr>
                <w:color w:val="000000"/>
              </w:rPr>
              <w:t xml:space="preserve"> </w:t>
            </w:r>
            <w:r>
              <w:rPr>
                <w:rFonts w:ascii="Times New Roman;sans-serif" w:hAnsi="Times New Roman;sans-serif"/>
                <w:b w:val="false"/>
                <w:color w:val="000000"/>
                <w:sz w:val="20"/>
                <w:u w:val="single"/>
              </w:rPr>
              <w:t>SOFR</w:t>
            </w:r>
            <w:r>
              <w:rPr>
                <w:rFonts w:ascii="Times New Roman;sans-serif" w:hAnsi="Times New Roman;sans-serif"/>
                <w:b w:val="false"/>
                <w:color w:val="000000"/>
                <w:sz w:val="20"/>
              </w:rPr>
              <w:t>)</w:t>
            </w:r>
          </w:p>
        </w:tc>
      </w:tr>
      <w:tr>
        <w:trPr/>
        <w:tc>
          <w:tcPr>
            <w:tcW w:w="3071" w:type="dxa"/>
            <w:gridSpan w:val="3"/>
            <w:tcBorders/>
            <w:tcMar>
              <w:top w:w="0" w:type="dxa"/>
              <w:left w:w="0" w:type="dxa"/>
              <w:bottom w:w="0" w:type="dxa"/>
              <w:right w:w="0" w:type="dxa"/>
            </w:tcMar>
            <w:vAlign w:val="center"/>
          </w:tcPr>
          <w:p>
            <w:pPr>
              <w:pStyle w:val="TableContents"/>
              <w:bidi w:val="0"/>
              <w:spacing w:lineRule="auto" w:line="319" w:before="41" w:after="283"/>
              <w:ind w:left="0" w:right="0" w:firstLine="460"/>
              <w:jc w:val="left"/>
              <w:rPr/>
            </w:pPr>
            <w:r>
              <w:rPr>
                <w:rFonts w:ascii="Times New Roman;sans-serif" w:hAnsi="Times New Roman;sans-serif"/>
                <w:b w:val="false"/>
                <w:color w:val="000000"/>
                <w:sz w:val="20"/>
                <w:u w:val="single"/>
              </w:rPr>
              <w:t>Category 1</w:t>
            </w:r>
            <w:r>
              <w:rPr>
                <w:color w:val="000000"/>
              </w:rPr>
              <w:t xml:space="preserve"> </w:t>
            </w:r>
            <w:r>
              <w:rPr>
                <w:rFonts w:ascii="Times New Roman;sans-serif" w:hAnsi="Times New Roman;sans-serif"/>
                <w:b w:val="false"/>
                <w:color w:val="000000"/>
                <w:sz w:val="20"/>
              </w:rPr>
              <w:t>Greater than 3.30:1.00</w:t>
            </w:r>
          </w:p>
        </w:tc>
        <w:tc>
          <w:tcPr>
            <w:tcW w:w="2652" w:type="dxa"/>
            <w:gridSpan w:val="3"/>
            <w:tcBorders/>
            <w:tcMar>
              <w:top w:w="0" w:type="dxa"/>
              <w:left w:w="0" w:type="dxa"/>
              <w:bottom w:w="0" w:type="dxa"/>
              <w:right w:w="0" w:type="dxa"/>
            </w:tcMar>
            <w:vAlign w:val="center"/>
          </w:tcPr>
          <w:p>
            <w:pPr>
              <w:pStyle w:val="TableContents"/>
              <w:bidi w:val="0"/>
              <w:spacing w:before="55" w:after="283"/>
              <w:jc w:val="left"/>
              <w:rPr/>
            </w:pPr>
            <w:r>
              <w:rPr/>
            </w:r>
          </w:p>
          <w:p>
            <w:pPr>
              <w:pStyle w:val="TableContents"/>
              <w:bidi w:val="0"/>
              <w:spacing w:lineRule="atLeast" w:line="215"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2852" w:type="dxa"/>
            <w:gridSpan w:val="3"/>
            <w:tcBorders/>
            <w:tcMar>
              <w:top w:w="0" w:type="dxa"/>
              <w:left w:w="0" w:type="dxa"/>
              <w:bottom w:w="0" w:type="dxa"/>
              <w:right w:w="0" w:type="dxa"/>
            </w:tcMar>
            <w:vAlign w:val="center"/>
          </w:tcPr>
          <w:p>
            <w:pPr>
              <w:pStyle w:val="TableContents"/>
              <w:bidi w:val="0"/>
              <w:spacing w:before="55" w:after="283"/>
              <w:jc w:val="left"/>
              <w:rPr/>
            </w:pPr>
            <w:r>
              <w:rPr/>
            </w:r>
          </w:p>
          <w:p>
            <w:pPr>
              <w:pStyle w:val="TableContents"/>
              <w:bidi w:val="0"/>
              <w:spacing w:lineRule="atLeast" w:line="215"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630" w:type="dxa"/>
            <w:gridSpan w:val="3"/>
            <w:tcBorders/>
            <w:tcMar>
              <w:top w:w="0" w:type="dxa"/>
              <w:left w:w="0" w:type="dxa"/>
              <w:bottom w:w="0" w:type="dxa"/>
              <w:right w:w="0" w:type="dxa"/>
            </w:tcMar>
            <w:vAlign w:val="center"/>
          </w:tcPr>
          <w:p>
            <w:pPr>
              <w:pStyle w:val="TableContents"/>
              <w:bidi w:val="0"/>
              <w:spacing w:before="55" w:after="283"/>
              <w:jc w:val="left"/>
              <w:rPr/>
            </w:pPr>
            <w:r>
              <w:rPr/>
            </w:r>
          </w:p>
          <w:p>
            <w:pPr>
              <w:pStyle w:val="TableContents"/>
              <w:bidi w:val="0"/>
              <w:spacing w:lineRule="atLeast" w:line="215"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w:t>
            </w:r>
          </w:p>
        </w:tc>
      </w:tr>
      <w:tr>
        <w:trPr/>
        <w:tc>
          <w:tcPr>
            <w:tcW w:w="3071" w:type="dxa"/>
            <w:gridSpan w:val="3"/>
            <w:tcBorders/>
            <w:tcMar>
              <w:top w:w="0" w:type="dxa"/>
              <w:left w:w="0" w:type="dxa"/>
              <w:bottom w:w="0" w:type="dxa"/>
              <w:right w:w="0" w:type="dxa"/>
            </w:tcMar>
            <w:vAlign w:val="center"/>
          </w:tcPr>
          <w:p>
            <w:pPr>
              <w:pStyle w:val="TableContents"/>
              <w:bidi w:val="0"/>
              <w:spacing w:lineRule="atLeast" w:line="22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Category 2</w:t>
            </w:r>
          </w:p>
        </w:tc>
        <w:tc>
          <w:tcPr>
            <w:tcW w:w="2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tcMar>
              <w:top w:w="0" w:type="dxa"/>
              <w:left w:w="0" w:type="dxa"/>
              <w:bottom w:w="0" w:type="dxa"/>
              <w:right w:w="0" w:type="dxa"/>
            </w:tcMar>
            <w:vAlign w:val="center"/>
          </w:tcPr>
          <w:p>
            <w:pPr>
              <w:pStyle w:val="TableContents"/>
              <w:bidi w:val="0"/>
              <w:spacing w:lineRule="auto" w:line="319" w:before="91" w:after="283"/>
              <w:ind w:left="0" w:right="0" w:hanging="452"/>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3.30:1.00</w:t>
            </w:r>
          </w:p>
        </w:tc>
        <w:tc>
          <w:tcPr>
            <w:tcW w:w="2652" w:type="dxa"/>
            <w:gridSpan w:val="3"/>
            <w:tcBorders/>
            <w:tcMar>
              <w:top w:w="0" w:type="dxa"/>
              <w:left w:w="0" w:type="dxa"/>
              <w:bottom w:w="0" w:type="dxa"/>
              <w:right w:w="0" w:type="dxa"/>
            </w:tcMar>
            <w:vAlign w:val="center"/>
          </w:tcPr>
          <w:p>
            <w:pPr>
              <w:pStyle w:val="TableContents"/>
              <w:bidi w:val="0"/>
              <w:spacing w:lineRule="auto" w:line="288" w:before="1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852" w:type="dxa"/>
            <w:gridSpan w:val="3"/>
            <w:tcBorders/>
            <w:tcMar>
              <w:top w:w="0" w:type="dxa"/>
              <w:left w:w="0" w:type="dxa"/>
              <w:bottom w:w="0" w:type="dxa"/>
              <w:right w:w="0" w:type="dxa"/>
            </w:tcMar>
            <w:vAlign w:val="center"/>
          </w:tcPr>
          <w:p>
            <w:pPr>
              <w:pStyle w:val="TableContents"/>
              <w:bidi w:val="0"/>
              <w:spacing w:lineRule="auto" w:line="288" w:before="1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630" w:type="dxa"/>
            <w:gridSpan w:val="3"/>
            <w:tcBorders/>
            <w:tcMar>
              <w:top w:w="0" w:type="dxa"/>
              <w:left w:w="0" w:type="dxa"/>
              <w:bottom w:w="0" w:type="dxa"/>
              <w:right w:w="0" w:type="dxa"/>
            </w:tcMar>
            <w:vAlign w:val="center"/>
          </w:tcPr>
          <w:p>
            <w:pPr>
              <w:pStyle w:val="TableContents"/>
              <w:bidi w:val="0"/>
              <w:spacing w:lineRule="auto" w:line="288" w:before="1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1155"/>
                <wp:effectExtent l="0" t="0" r="0" b="0"/>
                <wp:wrapNone/>
                <wp:docPr id="83" name="Frame8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229"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the foregoing, each change in the Applicable Rate resulting from a change in the Senior Secured First Lien Net Leverage Ratio shall be effective during the period commencing on and including the third Business Day following the date of delivery to the Administrative Agent pursuant to Section 5.01(a) or 5.01(b) of the consolidated financial statements and related Compliance Certificate indicating such change and ending on the date immediately preceding the effective date of the next such change. Notwithstanding the foregoing, the Applicable Rate, at the option of the Administrative Agent or the Required Lenders, commencing upon written notice to the Borrower, shall be based on the rates per annum set forth in Category 1 (i) at any time that an Event of Default under Section 7.01(a) has occurred and is continuing and shall continue to so apply to but excluding the date on which such Event of Default shall cease to be continuing (and thereafter, the Category otherwise determined in accordance with this definition shall apply) or (ii)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pStyle w:val="TextBody"/>
        <w:bidi w:val="0"/>
        <w:spacing w:before="15"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Approved Bank</w:t>
      </w:r>
      <w:r>
        <w:rPr>
          <w:color w:val="000000"/>
        </w:rPr>
        <w:t xml:space="preserve">” </w:t>
      </w:r>
      <w:r>
        <w:rPr>
          <w:rFonts w:ascii="Times New Roman;sans-serif" w:hAnsi="Times New Roman;sans-serif"/>
          <w:b w:val="false"/>
          <w:color w:val="000000"/>
          <w:sz w:val="20"/>
        </w:rPr>
        <w:t>has the meaning assigned to such term in the definition of the term “Permitted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p>
      <w:pPr>
        <w:pStyle w:val="TextBody"/>
        <w:bidi w:val="0"/>
        <w:spacing w:before="10" w:after="283"/>
        <w:jc w:val="left"/>
        <w:rPr/>
      </w:pPr>
      <w:r>
        <w:rPr/>
      </w:r>
    </w:p>
    <w:p>
      <w:pPr>
        <w:pStyle w:val="TextBody"/>
        <w:bidi w:val="0"/>
        <w:spacing w:lineRule="auto" w:line="288" w:before="1" w:after="283"/>
        <w:jc w:val="left"/>
        <w:rPr/>
      </w:pPr>
      <w:r>
        <w:rPr>
          <w:color w:val="000000"/>
        </w:rPr>
        <w:t>“</w:t>
      </w:r>
      <w:r>
        <w:rPr>
          <w:rFonts w:ascii="Times New Roman;sans-serif" w:hAnsi="Times New Roman;sans-serif"/>
          <w:b w:val="false"/>
          <w:color w:val="000000"/>
          <w:sz w:val="20"/>
          <w:u w:val="single"/>
        </w:rPr>
        <w:t>Approved Foreign Bank</w:t>
      </w:r>
      <w:r>
        <w:rPr>
          <w:color w:val="000000"/>
        </w:rPr>
        <w:t xml:space="preserve">” </w:t>
      </w:r>
      <w:r>
        <w:rPr>
          <w:rFonts w:ascii="Times New Roman;sans-serif" w:hAnsi="Times New Roman;sans-serif"/>
          <w:b w:val="false"/>
          <w:color w:val="000000"/>
          <w:sz w:val="20"/>
        </w:rPr>
        <w:t>has the meaning assigned to such term in the definition of “Permitted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Approved Fund</w:t>
      </w:r>
      <w:r>
        <w:rPr>
          <w:color w:val="000000"/>
        </w:rPr>
        <w:t xml:space="preserve">” </w:t>
      </w:r>
      <w:r>
        <w:rPr>
          <w:rFonts w:ascii="Times New Roman;sans-serif" w:hAnsi="Times New Roman;sans-serif"/>
          <w:b w:val="false"/>
          <w:color w:val="000000"/>
          <w:sz w:val="20"/>
        </w:rPr>
        <w:t>means any Person (other than a natural person) that is (or will be)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advises or manages a Lender.</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Asset Sale Percentage</w:t>
      </w:r>
      <w:r>
        <w:rPr>
          <w:color w:val="000000"/>
        </w:rPr>
        <w:t xml:space="preserve">” </w:t>
      </w:r>
      <w:r>
        <w:rPr>
          <w:rFonts w:ascii="Times New Roman;sans-serif" w:hAnsi="Times New Roman;sans-serif"/>
          <w:b w:val="false"/>
          <w:color w:val="000000"/>
          <w:sz w:val="20"/>
        </w:rPr>
        <w:t xml:space="preserve">means 100%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if, at the time of receipt by the Borrower or any other Loan Party of the Net Proceeds from any Prepayment Event described in clause (a) of the definition thereof, on a Pro Forma Basis after giving effect to the applicable Prepayment Event and the application of the Net Proceeds therefrom, (a) if the Senior Secured First Lien Net Leverage Ratio is less than or equal to 3.30:1.00, and greater than 2.80:1.00, 50% and (c) if the Senior Secured First Lien Net Leverage Ratio is equal to or less than 2.80:1.00, 25%.</w:t>
      </w:r>
    </w:p>
    <w:p>
      <w:pPr>
        <w:pStyle w:val="TextBody"/>
        <w:bidi w:val="0"/>
        <w:spacing w:before="13"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Assignment and Assumption</w:t>
      </w:r>
      <w:r>
        <w:rPr>
          <w:color w:val="000000"/>
        </w:rPr>
        <w:t xml:space="preserve">” </w:t>
      </w:r>
      <w:r>
        <w:rPr>
          <w:rFonts w:ascii="Times New Roman;sans-serif" w:hAnsi="Times New Roman;sans-serif"/>
          <w:b w:val="false"/>
          <w:color w:val="000000"/>
          <w:sz w:val="20"/>
        </w:rPr>
        <w:t>means an assignment and assumption entered into by a Lender and an Eligible Assignee (with the consent of any Person whose consent is required by Section 9.04(b)), substantially in the form of Exhibit A or any other form reasonably approved by the First Lien Administrative Agent.</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Auction Agent</w:t>
      </w:r>
      <w:r>
        <w:rPr>
          <w:color w:val="000000"/>
        </w:rPr>
        <w:t xml:space="preserve">” </w:t>
      </w:r>
      <w:r>
        <w:rPr>
          <w:rFonts w:ascii="Times New Roman;sans-serif" w:hAnsi="Times New Roman;sans-serif"/>
          <w:b w:val="false"/>
          <w:color w:val="000000"/>
          <w:sz w:val="20"/>
        </w:rPr>
        <w:t xml:space="preserve">means (a) the First Lien Administrative Agent or (b) any other financial institution or advisor employed by the Borrower (whether or not an Affiliate of the First Lien Administrative Agent) to act as an arranger in connection with any Discounted Term Loan Prepayment pursuant to Section 2.11(a)(ii)(A);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Borrower shall not designate the First Lien Administrative Agent as the Auction Agent without the written consent of the First Lien Administrative Agent (it being understood that the First Lien Administrative Agent shall be under no obligation to agree to act as the Auction Agent).</w:t>
      </w:r>
    </w:p>
    <w:p>
      <w:pPr>
        <w:pStyle w:val="TextBody"/>
        <w:bidi w:val="0"/>
        <w:spacing w:before="12"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Audited Financial Statements</w:t>
      </w:r>
      <w:r>
        <w:rPr>
          <w:color w:val="000000"/>
        </w:rPr>
        <w:t xml:space="preserve">” </w:t>
      </w:r>
      <w:r>
        <w:rPr>
          <w:rFonts w:ascii="Times New Roman;sans-serif" w:hAnsi="Times New Roman;sans-serif"/>
          <w:b w:val="false"/>
          <w:color w:val="000000"/>
          <w:sz w:val="20"/>
        </w:rPr>
        <w:t>means the audited consolidated balance sheets of the Borrower for the fiscal year ended December 31, 2018, and the related consolidated statements of operations and comprehensive income, consolidated statements of shareholders’ equity and consolidated statements of cash flows of the Borrower for the fiscal year ended December 31, 2018.</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Available Amount</w:t>
      </w:r>
      <w:r>
        <w:rPr>
          <w:color w:val="000000"/>
        </w:rPr>
        <w:t xml:space="preserve">” </w:t>
      </w:r>
      <w:r>
        <w:rPr>
          <w:rFonts w:ascii="Times New Roman;sans-serif" w:hAnsi="Times New Roman;sans-serif"/>
          <w:b w:val="false"/>
          <w:color w:val="000000"/>
          <w:sz w:val="20"/>
        </w:rPr>
        <w:t>means, as of any date of determination, a cumulative amount equal to (without duplication):</w:t>
      </w:r>
    </w:p>
    <w:p>
      <w:pPr>
        <w:pStyle w:val="TextBody"/>
        <w:bidi w:val="0"/>
        <w:spacing w:before="1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1155"/>
                <wp:effectExtent l="0" t="0" r="0" b="0"/>
                <wp:wrapNone/>
                <wp:docPr id="84" name="Frame8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(a)the greater of (x) $135,500,000 and (y) 25% of Consolidated EBITDA for the most recently ended Test Period as of such date (such amount, the “</w:t>
      </w:r>
      <w:r>
        <w:rPr>
          <w:rFonts w:ascii="Times New Roman;sans-serif" w:hAnsi="Times New Roman;sans-serif"/>
          <w:b w:val="false"/>
          <w:color w:val="000000"/>
          <w:sz w:val="20"/>
          <w:u w:val="single"/>
        </w:rPr>
        <w:t>Starter Basket</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plus</w:t>
      </w:r>
    </w:p>
    <w:p>
      <w:pPr>
        <w:pStyle w:val="TextBody"/>
        <w:bidi w:val="0"/>
        <w:spacing w:before="11" w:after="283"/>
        <w:jc w:val="left"/>
        <w:rPr/>
      </w:pPr>
      <w:r>
        <w:rPr/>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 xml:space="preserve">(b)the sum of an amount (which amount shall not be less than zero) equal to the greater of (A) 50% of Consolidated Net Income of the Borrower and its Restricted Subsidiaries for the period (treated as </w:t>
      </w:r>
      <w:r>
        <w:rPr>
          <w:rFonts w:ascii="Times New Roman;sans-serif" w:hAnsi="Times New Roman;sans-serif"/>
          <w:b w:val="false"/>
          <w:color w:val="000000"/>
          <w:sz w:val="22"/>
        </w:rPr>
        <w:t xml:space="preserve">one accounting period) from October 1, 2019 to the end of the most </w:t>
      </w:r>
      <w:r>
        <w:rPr>
          <w:rFonts w:ascii="Times New Roman;sans-serif" w:hAnsi="Times New Roman;sans-serif"/>
          <w:b w:val="false"/>
          <w:color w:val="000000"/>
          <w:sz w:val="20"/>
        </w:rPr>
        <w:t xml:space="preserve">recently ended Test Period as of such date and (B) the sum of Excess Cash Flow (but not less than zero in any period) for the fiscal year ending December 31, 2020 and Excess Cash Flow for each succeeding completed fiscal year as of such date, in each case, that was not required to prepay Term Borrowings pursuant to Section 2.11(d), </w:t>
      </w:r>
      <w:r>
        <w:rPr>
          <w:rFonts w:ascii="Times New Roman;sans-serif" w:hAnsi="Times New Roman;sans-serif"/>
          <w:b w:val="false"/>
          <w:color w:val="000000"/>
          <w:sz w:val="20"/>
          <w:u w:val="single"/>
        </w:rPr>
        <w:t>plus</w:t>
      </w:r>
    </w:p>
    <w:p>
      <w:pPr>
        <w:pStyle w:val="TextBody"/>
        <w:bidi w:val="0"/>
        <w:spacing w:before="12" w:after="283"/>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(c)[reserved]</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(d)Investments of the Borrower or any of its Restricted Subsidiaries in any Unrestricted Subsidiary made using the Available Amount that has been re-designated as a Restricted Subsidiary or that has been merged, amalgamated or consolidated with or into the Borrower or any of its Restricted Subsidiary (up to the lesser of (i) the Fair Market Value determined in good faith by the Borrower of the Investments of the Borrower and its Restricted Subsidiaries in such Unrestricted Subsidiary at the time of such re-designation or merger or consolidation and (ii) the Fair Market Value determined in good faith by the Borrower of the original Investment by the Borrower and its Restricted Subsidiaries in such Unrestricted Subsidiary), </w:t>
      </w:r>
      <w:r>
        <w:rPr>
          <w:rFonts w:ascii="Times New Roman;sans-serif" w:hAnsi="Times New Roman;sans-serif"/>
          <w:b w:val="false"/>
          <w:color w:val="000000"/>
          <w:sz w:val="20"/>
          <w:u w:val="single"/>
        </w:rPr>
        <w:t>plus</w:t>
      </w:r>
    </w:p>
    <w:p>
      <w:pPr>
        <w:pStyle w:val="TextBody"/>
        <w:bidi w:val="0"/>
        <w:spacing w:before="14"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(e)the Net Proceeds of a sale or other Disposition of any Unrestricted Subsidiary (including the issuance of stock of an Unrestricted Subsidiary) received by the Borrower or any Restricted Subsidiary, </w:t>
      </w:r>
      <w:r>
        <w:rPr>
          <w:rFonts w:ascii="Times New Roman;sans-serif" w:hAnsi="Times New Roman;sans-serif"/>
          <w:b w:val="false"/>
          <w:color w:val="000000"/>
          <w:sz w:val="20"/>
          <w:u w:val="single"/>
        </w:rPr>
        <w:t>plus</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(f)to the extent not included in Consolidated Net Income, dividends or other distributions or returns on capital received by the Borrower or any Restricted Subsidiary from an Unrestricted Subsidiary, </w:t>
      </w:r>
      <w:r>
        <w:rPr>
          <w:rFonts w:ascii="Times New Roman;sans-serif" w:hAnsi="Times New Roman;sans-serif"/>
          <w:b w:val="false"/>
          <w:color w:val="000000"/>
          <w:sz w:val="20"/>
          <w:u w:val="single"/>
        </w:rPr>
        <w:t>plus</w:t>
      </w:r>
    </w:p>
    <w:p>
      <w:pPr>
        <w:pStyle w:val="TextBody"/>
        <w:bidi w:val="0"/>
        <w:spacing w:before="11" w:after="283"/>
        <w:jc w:val="left"/>
        <w:rPr/>
      </w:pPr>
      <w:r>
        <w:rPr/>
      </w:r>
    </w:p>
    <w:p>
      <w:pPr>
        <w:pStyle w:val="TextBody"/>
        <w:bidi w:val="0"/>
        <w:spacing w:lineRule="auto" w:line="568" w:before="0" w:after="0"/>
        <w:jc w:val="left"/>
        <w:rPr/>
      </w:pPr>
      <w:r>
        <w:rPr>
          <w:rFonts w:ascii="Times New Roman;sans-serif" w:hAnsi="Times New Roman;sans-serif"/>
          <w:b w:val="false"/>
          <w:color w:val="000000"/>
          <w:sz w:val="20"/>
        </w:rPr>
        <w:t>(g)the aggregate amount of any Retained Declined Proceeds since the Effective Date. “</w:t>
      </w:r>
      <w:r>
        <w:rPr>
          <w:rFonts w:ascii="Times New Roman;sans-serif" w:hAnsi="Times New Roman;sans-serif"/>
          <w:b w:val="false"/>
          <w:color w:val="000000"/>
          <w:sz w:val="20"/>
          <w:u w:val="single"/>
        </w:rPr>
        <w:t>Available Equity Amount</w:t>
      </w:r>
      <w:r>
        <w:rPr>
          <w:color w:val="000000"/>
        </w:rPr>
        <w:t xml:space="preserve">” </w:t>
      </w:r>
      <w:r>
        <w:rPr>
          <w:rFonts w:ascii="Times New Roman;sans-serif" w:hAnsi="Times New Roman;sans-serif"/>
          <w:b w:val="false"/>
          <w:color w:val="000000"/>
          <w:sz w:val="20"/>
        </w:rPr>
        <w:t>means a cumulative amount equal to (without duplication):</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(a)the Net Proceeds of new public or private issuances of Qualified Equity Interests (excluding Qualified Equity Interests the proceeds of which will be applied as Cure Amounts) in Holdings or any parent of Holdings which are contributed to the Borrower, </w:t>
      </w:r>
      <w:r>
        <w:rPr>
          <w:rFonts w:ascii="Times New Roman;sans-serif" w:hAnsi="Times New Roman;sans-serif"/>
          <w:b w:val="false"/>
          <w:color w:val="000000"/>
          <w:sz w:val="20"/>
          <w:u w:val="single"/>
        </w:rPr>
        <w:t>plus</w:t>
      </w:r>
    </w:p>
    <w:p>
      <w:pPr>
        <w:pStyle w:val="TextBody"/>
        <w:bidi w:val="0"/>
        <w:spacing w:before="9" w:after="283"/>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(b)capital contributions received by the Borrower after the Effective Date in cash or Permitted Investments (other than in respect of any Disqualified Equity Interest), </w:t>
      </w:r>
      <w:r>
        <w:rPr>
          <w:rFonts w:ascii="Times New Roman;sans-serif" w:hAnsi="Times New Roman;sans-serif"/>
          <w:b w:val="false"/>
          <w:color w:val="000000"/>
          <w:sz w:val="20"/>
          <w:u w:val="single"/>
        </w:rPr>
        <w:t>plus</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(c)the net cash proceeds received by the Borrower or any Restricted Subsidiary from Indebtedness and Disqualified Equity Interest issuances issued after the Effective Date and which have been exchanged or converted into Qualified Equity Interests, </w:t>
      </w:r>
      <w:r>
        <w:rPr>
          <w:rFonts w:ascii="Times New Roman;sans-serif" w:hAnsi="Times New Roman;sans-serif"/>
          <w:b w:val="false"/>
          <w:color w:val="000000"/>
          <w:sz w:val="20"/>
          <w:u w:val="single"/>
        </w:rPr>
        <w:t>plus</w:t>
      </w:r>
    </w:p>
    <w:p>
      <w:pPr>
        <w:pStyle w:val="TextBody"/>
        <w:bidi w:val="0"/>
        <w:spacing w:before="11"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(d)returns, profits, distributions and similar amounts received in cash or Permitted Investments by the Borrower or any Restricted Subsidiary on Investments made using the Available Equity Amount (not to exceed the amount of such Investments).</w:t>
      </w:r>
    </w:p>
    <w:p>
      <w:pPr>
        <w:pStyle w:val="TextBody"/>
        <w:bidi w:val="0"/>
        <w:spacing w:before="11"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Average Exchange Rate</w:t>
      </w:r>
      <w:r>
        <w:rPr>
          <w:color w:val="000000"/>
        </w:rPr>
        <w:t xml:space="preserve">” </w:t>
      </w:r>
      <w:r>
        <w:rPr>
          <w:rFonts w:ascii="Times New Roman;sans-serif" w:hAnsi="Times New Roman;sans-serif"/>
          <w:b w:val="false"/>
          <w:color w:val="000000"/>
          <w:sz w:val="20"/>
        </w:rPr>
        <w:t xml:space="preserve">means the daily average currency exchange rate for the most recently ended fiscal quarter of the Borrower for which financial statements have been delivered pursuant to Section 5.01(a) or Section 5.01(b) (or, prior to the first such delivery, such financial statements referred to in Section 4.01(h)), as reasonably determined in good faith by the Borrower based on the Bloomberg Key Cross Currency Rates Page at such time or, if the Borrower is unable to determine the Average Exchange Rate based on the Bloomberg Key Cross Currency Rates Page for any reason, publicly reported currency exchange rate information in consultation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1155"/>
                <wp:effectExtent l="0" t="0" r="0" b="0"/>
                <wp:wrapNone/>
                <wp:docPr id="85" name="Frame8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 xml:space="preserve">First Lien Administrative Agent;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further that, if an amount that is to otherwise be converted using the foregoing methodology has been hedged, swapped or otherwise effectively converted into another currency pursuant to a Swap Agreement to which any Loan Party is a party, the currency exchange rate so utilized for that amount shall be as set forth in such Swap Agreement (copies of which shall be made available to the First Lien Administrative Agent upon request).</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Available Tenor</w:t>
      </w:r>
      <w:r>
        <w:rPr>
          <w:color w:val="000000"/>
        </w:rPr>
        <w:t xml:space="preserve">” </w:t>
      </w:r>
      <w:r>
        <w:rPr>
          <w:rFonts w:ascii="Times New Roman;sans-serif" w:hAnsi="Times New Roman;sans-serif"/>
          <w:b w:val="false"/>
          <w:color w:val="000000"/>
          <w:sz w:val="20"/>
        </w:rPr>
        <w:t>means, as of any date of determination and with respect to the then-current Benchmark for any Agreed Currency,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Section 2.14(f).</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Bail-In Action</w:t>
      </w:r>
      <w:r>
        <w:rPr>
          <w:color w:val="000000"/>
        </w:rPr>
        <w:t xml:space="preserve">” </w:t>
      </w:r>
      <w:r>
        <w:rPr>
          <w:rFonts w:ascii="Times New Roman;sans-serif" w:hAnsi="Times New Roman;sans-serif"/>
          <w:b w:val="false"/>
          <w:color w:val="000000"/>
          <w:sz w:val="20"/>
        </w:rPr>
        <w:t>means the exercise of any Write-Down and Conversion Powers by the applicable Resolution Authority in respect of any liability of an Affected Financial Institution.</w:t>
      </w:r>
    </w:p>
    <w:p>
      <w:pPr>
        <w:pStyle w:val="TextBody"/>
        <w:bidi w:val="0"/>
        <w:spacing w:before="11" w:after="283"/>
        <w:jc w:val="left"/>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u w:val="single"/>
        </w:rPr>
        <w:t>Bail-In Legislation</w:t>
      </w:r>
      <w:r>
        <w:rPr>
          <w:color w:val="000000"/>
        </w:rPr>
        <w:t xml:space="preserve">” </w:t>
      </w:r>
      <w:r>
        <w:rPr>
          <w:rFonts w:ascii="Times New Roman;sans-serif" w:hAnsi="Times New Roman;sans-serif"/>
          <w:b w:val="false"/>
          <w:color w:val="000000"/>
          <w:sz w:val="20"/>
        </w:rPr>
        <w:t>means (a) with respect to any EEA Member Country implementing Article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13"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Bankruptcy Code</w:t>
      </w:r>
      <w:r>
        <w:rPr>
          <w:color w:val="000000"/>
        </w:rPr>
        <w:t xml:space="preserve">” </w:t>
      </w:r>
      <w:r>
        <w:rPr>
          <w:rFonts w:ascii="Times New Roman;sans-serif" w:hAnsi="Times New Roman;sans-serif"/>
          <w:b w:val="false"/>
          <w:color w:val="000000"/>
          <w:sz w:val="20"/>
        </w:rPr>
        <w:t>means Title 11 of the United States Code, as amended, or any similar federal or state law for the relief of debtors.</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Barclays Letter of Credit Sublimit</w:t>
      </w:r>
      <w:r>
        <w:rPr>
          <w:color w:val="000000"/>
        </w:rPr>
        <w:t xml:space="preserve">” </w:t>
      </w:r>
      <w:r>
        <w:rPr>
          <w:rFonts w:ascii="Times New Roman;sans-serif" w:hAnsi="Times New Roman;sans-serif"/>
          <w:b w:val="false"/>
          <w:color w:val="000000"/>
          <w:sz w:val="20"/>
        </w:rPr>
        <w:t xml:space="preserve">means an amount equal to the amount listed on Schedule 2.01 as amended by Amendment No. </w:t>
      </w:r>
      <w:r>
        <w:rPr>
          <w:rFonts w:ascii="Times New Roman;sans-serif" w:hAnsi="Times New Roman;sans-serif"/>
          <w:b/>
          <w:strike/>
          <w:color w:val="FF0000"/>
          <w:sz w:val="20"/>
        </w:rPr>
        <w:t>3</w:t>
      </w:r>
      <w:r>
        <w:rPr>
          <w:rFonts w:ascii="Times New Roman;sans-serif" w:hAnsi="Times New Roman;sans-serif"/>
          <w:b/>
          <w:color w:val="0000FF"/>
          <w:sz w:val="20"/>
          <w:u w:val="single"/>
        </w:rPr>
        <w:t>5</w:t>
      </w:r>
      <w:r>
        <w:rPr>
          <w:rFonts w:ascii="Times New Roman;sans-serif" w:hAnsi="Times New Roman;sans-serif"/>
          <w:b w:val="false"/>
          <w:color w:val="000000"/>
          <w:sz w:val="20"/>
        </w:rPr>
        <w:t>. Letters of Credit issued pursuant to the Barclays Letter of Credit Sublimit will be issued by Barclays Bank PLC, in its capacity as an “Issuing Bank”.</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Benchmark</w:t>
      </w:r>
      <w:r>
        <w:rPr>
          <w:color w:val="000000"/>
        </w:rPr>
        <w:t xml:space="preserve">” </w:t>
      </w:r>
      <w:r>
        <w:rPr>
          <w:rFonts w:ascii="Times New Roman;sans-serif" w:hAnsi="Times New Roman;sans-serif"/>
          <w:b w:val="false"/>
          <w:color w:val="000000"/>
          <w:sz w:val="20"/>
        </w:rPr>
        <w:t xml:space="preserve">means, initially, with respect to any (i) RFR Loan in any Agreed Currency, the applicable Relevant Rate for such Agreed Currency or (ii) Term Benchmark Loan, the Relevant Rate for such Agreed Currency;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Section 2.14(b) or (c).</w:t>
      </w:r>
    </w:p>
    <w:p>
      <w:pPr>
        <w:pStyle w:val="TextBody"/>
        <w:bidi w:val="0"/>
        <w:spacing w:before="12"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Benchmark Replacement</w:t>
      </w:r>
      <w:r>
        <w:rPr>
          <w:color w:val="000000"/>
        </w:rPr>
        <w:t xml:space="preserve">” </w:t>
      </w:r>
      <w:r>
        <w:rPr>
          <w:rFonts w:ascii="Times New Roman;sans-serif" w:hAnsi="Times New Roman;sans-serif"/>
          <w:b w:val="false"/>
          <w:color w:val="000000"/>
          <w:sz w:val="20"/>
        </w:rPr>
        <w:t xml:space="preserve">means, for any Available Tenor, the first alternative set forth in the order below that can be determined by the Administrative Agent for the applicable Benchmark Replacement Date; </w:t>
      </w:r>
      <w:r>
        <w:rPr>
          <w:rFonts w:ascii="Times New Roman;sans-serif" w:hAnsi="Times New Roman;sans-serif"/>
          <w:b w:val="false"/>
          <w:color w:val="000000"/>
          <w:sz w:val="20"/>
          <w:u w:val="single"/>
        </w:rPr>
        <w:t xml:space="preserve">provided </w:t>
      </w:r>
      <w:r>
        <w:rPr>
          <w:rFonts w:ascii="Times New Roman;sans-serif" w:hAnsi="Times New Roman;sans-serif"/>
          <w:b w:val="false"/>
          <w:color w:val="000000"/>
          <w:sz w:val="20"/>
        </w:rPr>
        <w:t>that in the case of any Loan denominated in an Alternative Currency, “Benchmark Replacement” shall mean the alternative set forth in (2) below:</w:t>
      </w:r>
    </w:p>
    <w:p>
      <w:pPr>
        <w:pStyle w:val="TextBody"/>
        <w:bidi w:val="0"/>
        <w:spacing w:before="11" w:after="283"/>
        <w:jc w:val="left"/>
        <w:rPr/>
      </w:pPr>
      <w:r>
        <w:rPr/>
      </w:r>
    </w:p>
    <w:p>
      <w:pPr>
        <w:pStyle w:val="TextBody"/>
        <w:bidi w:val="0"/>
        <w:spacing w:lineRule="auto" w:line="288" w:before="0" w:after="0"/>
        <w:ind w:left="0" w:right="0" w:hanging="285"/>
        <w:jc w:val="left"/>
        <w:rPr>
          <w:rFonts w:ascii="Times New Roman;sans-serif" w:hAnsi="Times New Roman;sans-serif"/>
          <w:b w:val="false"/>
          <w:color w:val="000000"/>
          <w:sz w:val="20"/>
        </w:rPr>
      </w:pPr>
      <w:r>
        <w:rPr>
          <w:rFonts w:ascii="Times New Roman;sans-serif" w:hAnsi="Times New Roman;sans-serif"/>
          <w:b w:val="false"/>
          <w:color w:val="000000"/>
          <w:sz w:val="20"/>
        </w:rPr>
        <w:t>(1)Adjusted Daily Simple SOFR;</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(2)the sum of: (a) the alternate benchmark rate that has been selected by the First Lien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 (b) the related Benchmark Replacement Adjustment;</w:t>
      </w:r>
    </w:p>
    <w:p>
      <w:pPr>
        <w:pStyle w:val="TextBody"/>
        <w:bidi w:val="0"/>
        <w:spacing w:before="13"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1155"/>
                <wp:effectExtent l="0" t="0" r="0" b="0"/>
                <wp:wrapNone/>
                <wp:docPr id="86" name="Frame8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If the Benchmark Replacement as determined pursuant to clause (1) or (2) above would be less than the Floor, the Benchmark Replacement will be deemed to be the Floor for the purposes of this Agreement and the other First Lien Loan Documents.</w:t>
      </w:r>
    </w:p>
    <w:p>
      <w:pPr>
        <w:pStyle w:val="TextBody"/>
        <w:bidi w:val="0"/>
        <w:spacing w:before="60" w:after="283"/>
        <w:ind w:left="0" w:right="0" w:firstLine="1440"/>
        <w:jc w:val="both"/>
        <w:rPr/>
      </w:pPr>
      <w:r>
        <w:rPr/>
      </w:r>
    </w:p>
    <w:p>
      <w:pPr>
        <w:pStyle w:val="TextBody"/>
        <w:bidi w:val="0"/>
        <w:spacing w:lineRule="auto" w:line="288" w:before="60" w:after="283"/>
        <w:ind w:left="0" w:right="0" w:firstLine="1440"/>
        <w:jc w:val="both"/>
        <w:rPr/>
      </w:pPr>
      <w:r>
        <w:rPr>
          <w:color w:val="000000"/>
        </w:rPr>
        <w:t>“</w:t>
      </w:r>
      <w:r>
        <w:rPr>
          <w:rFonts w:ascii="Times New Roman;sans-serif" w:hAnsi="Times New Roman;sans-serif"/>
          <w:b w:val="false"/>
          <w:color w:val="000000"/>
          <w:sz w:val="20"/>
          <w:u w:val="single"/>
        </w:rPr>
        <w:t>Benchmark Replacement Adjustment</w:t>
      </w:r>
      <w:r>
        <w:rPr>
          <w:color w:val="000000"/>
        </w:rPr>
        <w:t xml:space="preserve">” </w:t>
      </w:r>
      <w:r>
        <w:rPr>
          <w:rFonts w:ascii="Times New Roman;sans-serif" w:hAnsi="Times New Roman;sans-serif"/>
          <w:b w:val="false"/>
          <w:color w:val="000000"/>
          <w:sz w:val="20"/>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First Lien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pStyle w:val="TextBody"/>
        <w:bidi w:val="0"/>
        <w:spacing w:before="15"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Benchmark Replacement Conforming Changes</w:t>
      </w:r>
      <w:r>
        <w:rPr>
          <w:color w:val="000000"/>
        </w:rPr>
        <w:t xml:space="preserve">” </w:t>
      </w:r>
      <w:r>
        <w:rPr>
          <w:rFonts w:ascii="Times New Roman;sans-serif" w:hAnsi="Times New Roman;sans-serif"/>
          <w:b w:val="false"/>
          <w:color w:val="000000"/>
          <w:sz w:val="20"/>
        </w:rPr>
        <w:t>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First Lien Administrative Agent decides may be appropriate to reflect the adoption and implementation of such Benchmark and to permit the administration thereof by the First Lien Administrative Agent in a manner substantially consistent with market practice (or, if the First Lien Administrative Agent decides that adoption of any portion of such market practice is not administratively feasible or if the First Lien Administrative Agent determines that no market practice for the administration of such Benchmark exists, in such other manner of administration as the First Lien Administrative Agent decides is reasonably necessary in connection with the administration of this Agreement and the other First Lien Loan Documents).</w:t>
      </w:r>
    </w:p>
    <w:p>
      <w:pPr>
        <w:pStyle w:val="TextBody"/>
        <w:bidi w:val="0"/>
        <w:spacing w:before="15"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Benchmark Replacement Date</w:t>
      </w:r>
      <w:r>
        <w:rPr>
          <w:color w:val="000000"/>
        </w:rPr>
        <w:t xml:space="preserve">” </w:t>
      </w:r>
      <w:r>
        <w:rPr>
          <w:rFonts w:ascii="Times New Roman;sans-serif" w:hAnsi="Times New Roman;sans-serif"/>
          <w:b w:val="false"/>
          <w:color w:val="000000"/>
          <w:sz w:val="20"/>
        </w:rPr>
        <w:t>means, with respect to any Benchmark, the earliest to occur of the following events with respect to such then-current Benchmark:</w:t>
      </w:r>
    </w:p>
    <w:p>
      <w:pPr>
        <w:pStyle w:val="TextBody"/>
        <w:bidi w:val="0"/>
        <w:spacing w:before="11" w:after="283"/>
        <w:jc w:val="left"/>
        <w:rPr/>
      </w:pPr>
      <w:r>
        <w:rPr/>
      </w:r>
    </w:p>
    <w:p>
      <w:pPr>
        <w:pStyle w:val="TextBody"/>
        <w:bidi w:val="0"/>
        <w:spacing w:lineRule="auto" w:line="288" w:before="0" w:after="0"/>
        <w:ind w:left="0" w:right="0" w:hanging="293"/>
        <w:jc w:val="both"/>
        <w:rPr>
          <w:rFonts w:ascii="Times New Roman;sans-serif" w:hAnsi="Times New Roman;sans-serif"/>
          <w:b w:val="false"/>
          <w:color w:val="000000"/>
          <w:sz w:val="20"/>
        </w:rPr>
      </w:pPr>
      <w:r>
        <w:rPr>
          <w:rFonts w:ascii="Times New Roman;sans-serif" w:hAnsi="Times New Roman;sans-serif"/>
          <w:b w:val="false"/>
          <w:color w:val="000000"/>
          <w:sz w:val="20"/>
        </w:rPr>
        <w:t>(1)in the case of clause (1) or (2) of the definition of “Benchmark Transition Event,” the later of</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(2)in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w:t>
      </w:r>
    </w:p>
    <w:p>
      <w:pPr>
        <w:pStyle w:val="TextBody"/>
        <w:bidi w:val="0"/>
        <w:spacing w:before="13"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1155"/>
                <wp:effectExtent l="0" t="0" r="0" b="0"/>
                <wp:wrapNone/>
                <wp:docPr id="87" name="Frame8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13"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Benchmark Transition Event</w:t>
      </w:r>
      <w:r>
        <w:rPr>
          <w:color w:val="000000"/>
        </w:rPr>
        <w:t xml:space="preserve">” </w:t>
      </w:r>
      <w:r>
        <w:rPr>
          <w:rFonts w:ascii="Times New Roman;sans-serif" w:hAnsi="Times New Roman;sans-serif"/>
          <w:b w:val="false"/>
          <w:color w:val="000000"/>
          <w:sz w:val="20"/>
        </w:rPr>
        <w:t>means, with respect to any Benchmark, the occurrence of one or more of the following events with respect to such then-current Benchmark:</w:t>
      </w:r>
    </w:p>
    <w:p>
      <w:pPr>
        <w:pStyle w:val="TextBody"/>
        <w:bidi w:val="0"/>
        <w:spacing w:before="0" w:after="0"/>
        <w:ind w:left="0" w:right="0" w:firstLine="1440"/>
        <w:jc w:val="both"/>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 xml:space="preserve">(1)a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at the time of such statement or publication, there is no successor administrator that will continue to provide such Benchmark (or component thereof) or, if such Benchmark is a term rate, any Available Tenor of such Benchmark (or such component thereof);</w:t>
      </w:r>
    </w:p>
    <w:p>
      <w:pPr>
        <w:pStyle w:val="TextBody"/>
        <w:bidi w:val="0"/>
        <w:spacing w:before="13"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(2)a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component thereof) or, if such Benchmark is a term rate, any Available Tenor of such Benchmark (or such component thereof); or</w:t>
      </w:r>
    </w:p>
    <w:p>
      <w:pPr>
        <w:pStyle w:val="TextBody"/>
        <w:bidi w:val="0"/>
        <w:spacing w:before="15"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(3)a public statement or publication of information by the regulatory supervisor for the administrator of such Benchmark (or the published component used in the calculation thereof) announcing that such Benchmark (or component thereof) or, if such Benchmark is a term rate, all Available Tenors of such Benchmark (or such component thereof) are no longer, or as of a specified future date will no longer be, representative.</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Benchmark Unavailability Period</w:t>
      </w:r>
      <w:r>
        <w:rPr>
          <w:color w:val="000000"/>
        </w:rPr>
        <w:t xml:space="preserve">” </w:t>
      </w:r>
      <w:r>
        <w:rPr>
          <w:rFonts w:ascii="Times New Roman;sans-serif" w:hAnsi="Times New Roman;sans-serif"/>
          <w:b w:val="false"/>
          <w:color w:val="000000"/>
          <w:sz w:val="20"/>
        </w:rPr>
        <w:t>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First Lien Loan Document in accordance with Section 2.14 and (y) ending at the time that a Benchmark Replacement has replaced such then-current Benchmark for all purposes hereunder and under any First Lien Loan Document in accordance with Section 2.14.</w:t>
      </w:r>
    </w:p>
    <w:p>
      <w:pPr>
        <w:pStyle w:val="TextBody"/>
        <w:bidi w:val="0"/>
        <w:spacing w:before="13"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Beneficial Ownership Regulation</w:t>
      </w:r>
      <w:r>
        <w:rPr>
          <w:color w:val="000000"/>
        </w:rPr>
        <w:t xml:space="preserve">” </w:t>
      </w:r>
      <w:r>
        <w:rPr>
          <w:rFonts w:ascii="Times New Roman;sans-serif" w:hAnsi="Times New Roman;sans-serif"/>
          <w:b w:val="false"/>
          <w:color w:val="000000"/>
          <w:sz w:val="20"/>
        </w:rPr>
        <w:t>means 31 C.F.R. § 1010.230.</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Benefit Plan</w:t>
      </w:r>
      <w:r>
        <w:rPr>
          <w:color w:val="000000"/>
        </w:rPr>
        <w:t xml:space="preserve">” </w:t>
      </w:r>
      <w:r>
        <w:rPr>
          <w:rFonts w:ascii="Times New Roman;sans-serif" w:hAnsi="Times New Roman;sans-serif"/>
          <w:b w:val="false"/>
          <w:color w:val="000000"/>
          <w:sz w:val="20"/>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12"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BNP Paribas Letter of Credit Sublimit</w:t>
      </w:r>
      <w:r>
        <w:rPr>
          <w:color w:val="000000"/>
        </w:rPr>
        <w:t xml:space="preserve">” </w:t>
      </w:r>
      <w:r>
        <w:rPr>
          <w:rFonts w:ascii="Times New Roman;sans-serif" w:hAnsi="Times New Roman;sans-serif"/>
          <w:b w:val="false"/>
          <w:color w:val="000000"/>
          <w:sz w:val="20"/>
        </w:rPr>
        <w:t>means an amount equal to the amount listed on Schedule</w:t>
      </w:r>
    </w:p>
    <w:p>
      <w:pPr>
        <w:pStyle w:val="TextBody"/>
        <w:bidi w:val="0"/>
        <w:spacing w:lineRule="auto" w:line="288" w:before="0" w:after="0"/>
        <w:jc w:val="left"/>
        <w:rPr/>
      </w:pPr>
      <w:r>
        <w:rPr>
          <w:rFonts w:ascii="Times New Roman;sans-serif" w:hAnsi="Times New Roman;sans-serif"/>
          <w:b w:val="false"/>
          <w:color w:val="000000"/>
          <w:sz w:val="20"/>
        </w:rPr>
        <w:t xml:space="preserve">2.01 as amended by Amendment No. </w:t>
      </w:r>
      <w:r>
        <w:rPr>
          <w:rFonts w:ascii="Times New Roman;sans-serif" w:hAnsi="Times New Roman;sans-serif"/>
          <w:b/>
          <w:strike/>
          <w:color w:val="FF0000"/>
          <w:sz w:val="20"/>
        </w:rPr>
        <w:t>3</w:t>
      </w:r>
      <w:r>
        <w:rPr>
          <w:rFonts w:ascii="Times New Roman;sans-serif" w:hAnsi="Times New Roman;sans-serif"/>
          <w:b/>
          <w:color w:val="0000FF"/>
          <w:sz w:val="20"/>
          <w:u w:val="single"/>
        </w:rPr>
        <w:t>5</w:t>
      </w:r>
      <w:r>
        <w:rPr>
          <w:rFonts w:ascii="Times New Roman;sans-serif" w:hAnsi="Times New Roman;sans-serif"/>
          <w:b w:val="false"/>
          <w:color w:val="000000"/>
          <w:sz w:val="20"/>
        </w:rPr>
        <w:t>. Letters of Credit issued pursuant to the BNP Paribas Letter of Credit Sublimit will be issued by BNP Paribas, in its capacity as an “Issuing Bank”.</w:t>
      </w:r>
    </w:p>
    <w:p>
      <w:pPr>
        <w:pStyle w:val="TextBody"/>
        <w:bidi w:val="0"/>
        <w:spacing w:before="11" w:after="283"/>
        <w:jc w:val="left"/>
        <w:rPr/>
      </w:pPr>
      <w:r>
        <w:rPr/>
      </w:r>
    </w:p>
    <w:p>
      <w:pPr>
        <w:pStyle w:val="TextBody"/>
        <w:bidi w:val="0"/>
        <w:spacing w:lineRule="auto" w:line="288"/>
        <w:ind w:left="0" w:right="0" w:firstLine="1509"/>
        <w:jc w:val="both"/>
        <w:rPr/>
      </w:pPr>
      <w:r>
        <w:rPr>
          <w:color w:val="000000"/>
        </w:rPr>
        <w:t>“</w:t>
      </w:r>
      <w:r>
        <w:rPr>
          <w:rFonts w:ascii="Times New Roman;sans-serif" w:hAnsi="Times New Roman;sans-serif"/>
          <w:b w:val="false"/>
          <w:color w:val="000000"/>
          <w:sz w:val="20"/>
          <w:u w:val="single"/>
        </w:rPr>
        <w:t>Board of Directors</w:t>
      </w:r>
      <w:r>
        <w:rPr>
          <w:color w:val="000000"/>
        </w:rPr>
        <w:t xml:space="preserve">” </w:t>
      </w:r>
      <w:r>
        <w:rPr>
          <w:rFonts w:ascii="Times New Roman;sans-serif" w:hAnsi="Times New Roman;sans-serif"/>
          <w:b w:val="false"/>
          <w:color w:val="000000"/>
          <w:sz w:val="20"/>
        </w:rPr>
        <w:t xml:space="preserve">means, with respect to any Person, (a) in the case of any corporation, the board of directors of such Person or any committee thereof duly authorized to act on behalf of such board, (b) in the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1155"/>
                <wp:effectExtent l="0" t="0" r="0" b="0"/>
                <wp:wrapNone/>
                <wp:docPr id="88" name="Frame8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Board of Governors</w:t>
      </w:r>
      <w:r>
        <w:rPr>
          <w:color w:val="000000"/>
        </w:rPr>
        <w:t xml:space="preserve">” </w:t>
      </w:r>
      <w:r>
        <w:rPr>
          <w:rFonts w:ascii="Times New Roman;sans-serif" w:hAnsi="Times New Roman;sans-serif"/>
          <w:b w:val="false"/>
          <w:color w:val="000000"/>
          <w:sz w:val="20"/>
        </w:rPr>
        <w:t>means the Board of Governors of the Federal Reserve System of the United States of America.</w:t>
      </w:r>
    </w:p>
    <w:p>
      <w:pPr>
        <w:pStyle w:val="TextBody"/>
        <w:bidi w:val="0"/>
        <w:spacing w:lineRule="auto" w:line="655" w:before="1" w:after="283"/>
        <w:jc w:val="left"/>
        <w:rPr/>
      </w:pPr>
      <w:r>
        <w:rPr>
          <w:color w:val="000000"/>
        </w:rPr>
        <w:t>“</w:t>
      </w:r>
      <w:r>
        <w:rPr>
          <w:rFonts w:ascii="Times New Roman;sans-serif" w:hAnsi="Times New Roman;sans-serif"/>
          <w:b w:val="false"/>
          <w:color w:val="000000"/>
          <w:sz w:val="20"/>
          <w:u w:val="single"/>
        </w:rPr>
        <w:t>Borrower</w:t>
      </w:r>
      <w:r>
        <w:rPr>
          <w:color w:val="000000"/>
        </w:rPr>
        <w:t xml:space="preserve">” </w:t>
      </w:r>
      <w:r>
        <w:rPr>
          <w:rFonts w:ascii="Times New Roman;sans-serif" w:hAnsi="Times New Roman;sans-serif"/>
          <w:b w:val="false"/>
          <w:color w:val="000000"/>
          <w:sz w:val="20"/>
        </w:rPr>
        <w:t>has the meaning assigned to such term in the preliminary statements hereto. “</w:t>
      </w:r>
      <w:r>
        <w:rPr>
          <w:rFonts w:ascii="Times New Roman;sans-serif" w:hAnsi="Times New Roman;sans-serif"/>
          <w:b w:val="false"/>
          <w:color w:val="000000"/>
          <w:sz w:val="20"/>
          <w:u w:val="single"/>
        </w:rPr>
        <w:t>Borrower Materials</w:t>
      </w:r>
      <w:r>
        <w:rPr>
          <w:color w:val="000000"/>
        </w:rPr>
        <w:t xml:space="preserve">” </w:t>
      </w:r>
      <w:r>
        <w:rPr>
          <w:rFonts w:ascii="Times New Roman;sans-serif" w:hAnsi="Times New Roman;sans-serif"/>
          <w:b w:val="false"/>
          <w:color w:val="000000"/>
          <w:sz w:val="20"/>
        </w:rPr>
        <w:t>has the meaning assigned to such term in the last paragraph of Section 5.01. “</w:t>
      </w:r>
      <w:r>
        <w:rPr>
          <w:rFonts w:ascii="Times New Roman;sans-serif" w:hAnsi="Times New Roman;sans-serif"/>
          <w:b w:val="false"/>
          <w:color w:val="000000"/>
          <w:sz w:val="20"/>
          <w:u w:val="single"/>
        </w:rPr>
        <w:t>Borrower Offer of Specified Discount Prepayment</w:t>
      </w:r>
      <w:r>
        <w:rPr>
          <w:color w:val="000000"/>
        </w:rPr>
        <w:t xml:space="preserve">” </w:t>
      </w:r>
      <w:r>
        <w:rPr>
          <w:rFonts w:ascii="Times New Roman;sans-serif" w:hAnsi="Times New Roman;sans-serif"/>
          <w:b w:val="false"/>
          <w:color w:val="000000"/>
          <w:sz w:val="20"/>
        </w:rPr>
        <w:t>means the offer by the Borrower to make a</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voluntary prepayment of Term Loans at a Specified Discount to par pursuant to Section 2.11(a)(ii)(B).</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Borrower Solicitation of Discount Range Prepayment Offers</w:t>
      </w:r>
      <w:r>
        <w:rPr>
          <w:color w:val="000000"/>
        </w:rPr>
        <w:t xml:space="preserve">” </w:t>
      </w:r>
      <w:r>
        <w:rPr>
          <w:rFonts w:ascii="Times New Roman;sans-serif" w:hAnsi="Times New Roman;sans-serif"/>
          <w:b w:val="false"/>
          <w:color w:val="000000"/>
          <w:sz w:val="20"/>
        </w:rPr>
        <w:t>means the solicitation by the Borrower of offers for, and the corresponding acceptance by a Term Lender of, a voluntary prepayment of Term Loans at a specified range at a discount to par pursuant to Section 2.11(a)(ii)(C).</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Borrower Solicitation of Discounted Prepayment Offers</w:t>
      </w:r>
      <w:r>
        <w:rPr>
          <w:color w:val="000000"/>
        </w:rPr>
        <w:t xml:space="preserve">” </w:t>
      </w:r>
      <w:r>
        <w:rPr>
          <w:rFonts w:ascii="Times New Roman;sans-serif" w:hAnsi="Times New Roman;sans-serif"/>
          <w:b w:val="false"/>
          <w:color w:val="000000"/>
          <w:sz w:val="20"/>
        </w:rPr>
        <w:t>means the solicitation by the Borrower of offers for, and the subsequent acceptance, if any, by a Term Lender of, a voluntary prepayment of Term Loans at a discount to par pursuant to Section 2.11(a)(ii)(D).</w:t>
      </w:r>
    </w:p>
    <w:p>
      <w:pPr>
        <w:pStyle w:val="TextBody"/>
        <w:bidi w:val="0"/>
        <w:spacing w:before="11" w:after="283"/>
        <w:jc w:val="left"/>
        <w:rPr/>
      </w:pPr>
      <w:r>
        <w:rPr/>
      </w:r>
    </w:p>
    <w:p>
      <w:pPr>
        <w:pStyle w:val="TextBody"/>
        <w:bidi w:val="0"/>
        <w:spacing w:lineRule="auto" w:line="288" w:before="0" w:after="0"/>
        <w:ind w:left="0" w:right="0" w:firstLine="1547"/>
        <w:jc w:val="both"/>
        <w:rPr/>
      </w:pPr>
      <w:r>
        <w:rPr>
          <w:color w:val="000000"/>
        </w:rPr>
        <w:t>“</w:t>
      </w:r>
      <w:r>
        <w:rPr>
          <w:rFonts w:ascii="Times New Roman;sans-serif" w:hAnsi="Times New Roman;sans-serif"/>
          <w:b w:val="false"/>
          <w:color w:val="000000"/>
          <w:sz w:val="20"/>
          <w:u w:val="single"/>
        </w:rPr>
        <w:t>Borrowing</w:t>
      </w:r>
      <w:r>
        <w:rPr>
          <w:color w:val="000000"/>
        </w:rPr>
        <w:t xml:space="preserve">” </w:t>
      </w:r>
      <w:r>
        <w:rPr>
          <w:rFonts w:ascii="Times New Roman;sans-serif" w:hAnsi="Times New Roman;sans-serif"/>
          <w:b w:val="false"/>
          <w:color w:val="000000"/>
          <w:sz w:val="20"/>
        </w:rPr>
        <w:t>means (a) Loans of the same Class, Type and currency, made, converted or continued on the same date and, in the case of Term Benchmark Loans, as to which a single Interest Period is in effect, or (b) a Swingline Loan.</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Borrowing Minimum</w:t>
      </w:r>
      <w:r>
        <w:rPr>
          <w:color w:val="000000"/>
        </w:rPr>
        <w:t xml:space="preserve">” </w:t>
      </w:r>
      <w:r>
        <w:rPr>
          <w:rFonts w:ascii="Times New Roman;sans-serif" w:hAnsi="Times New Roman;sans-serif"/>
          <w:b w:val="false"/>
          <w:color w:val="000000"/>
          <w:sz w:val="20"/>
        </w:rPr>
        <w:t>means (a) in the case of a Term Benchmark Revolving Borrowing or SONIA Revolving Borrowing, $1,000,000, (b) in the case of an ABR Revolving Borrowing, $500,000 and (c) in the case of a Swingline Loan, $100,000.</w:t>
      </w:r>
    </w:p>
    <w:p>
      <w:pPr>
        <w:pStyle w:val="TextBody"/>
        <w:bidi w:val="0"/>
        <w:spacing w:before="11"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Borrowing Multiple</w:t>
      </w:r>
      <w:r>
        <w:rPr>
          <w:color w:val="000000"/>
        </w:rPr>
        <w:t xml:space="preserve">” </w:t>
      </w:r>
      <w:r>
        <w:rPr>
          <w:rFonts w:ascii="Times New Roman;sans-serif" w:hAnsi="Times New Roman;sans-serif"/>
          <w:b w:val="false"/>
          <w:color w:val="000000"/>
          <w:sz w:val="20"/>
        </w:rPr>
        <w:t>means (a) in the case of a Term Benchmark Revolving Borrowing or SONIA Revolving Borrowing, $1,000,000, (b) in the case of an ABR Revolving Borrowing, $500,000 and (c) in the case of a Swingline Loan, $100,000.</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Borrowing Request</w:t>
      </w:r>
      <w:r>
        <w:rPr>
          <w:color w:val="000000"/>
        </w:rPr>
        <w:t xml:space="preserve">” </w:t>
      </w:r>
      <w:r>
        <w:rPr>
          <w:rFonts w:ascii="Times New Roman;sans-serif" w:hAnsi="Times New Roman;sans-serif"/>
          <w:b w:val="false"/>
          <w:color w:val="000000"/>
          <w:sz w:val="20"/>
        </w:rPr>
        <w:t>means a request by the Borrower for a Borrowing in accordance 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Section 2.03.</w:t>
      </w:r>
    </w:p>
    <w:p>
      <w:pPr>
        <w:pStyle w:val="TextBody"/>
        <w:bidi w:val="0"/>
        <w:spacing w:before="11"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Business Day</w:t>
      </w:r>
      <w:r>
        <w:rPr>
          <w:color w:val="000000"/>
        </w:rPr>
        <w:t xml:space="preserve">” </w:t>
      </w:r>
      <w:r>
        <w:rPr>
          <w:rFonts w:ascii="Times New Roman;sans-serif" w:hAnsi="Times New Roman;sans-serif"/>
          <w:b w:val="false"/>
          <w:color w:val="000000"/>
          <w:sz w:val="20"/>
        </w:rPr>
        <w:t>means (i) subject to clauses (ii), (iii), (iv) and (v) below, any day that is not a Saturday, Sunday or other day on which commercial banks in New York City are authorized or required by Requirements of Law to remain closed, (ii) with respect to all notices and determinations in connection with, and payments of principal and interest on or with respect to Loans denominated in Euros, any day that is a Business Day described in clause (i) and that is also a TARGET Day, (iii) with respect to all notices and determinations in connection with, and payments of principal and interest on or with respect to, SONIA Loans, any day that is only a SONIA Business Day, (iv) with respect to all notices and determinations in connection with, and payments of principal and interest on or with respect to, Loans denominated in any other Alternative Currency, any day that is a Business Day described in clauses (i) and (ii) and that is also a day which is not a legal holiday or a day on which banking institutions are authorized or required by Requirements of Law or other government action to remain closed in the country of issuance of the applicable currency and (v) if such day relates to any Term Benchmark Loan denominated in Dollars, shall also exclude any day that is not a U.S. Government Securities Business Day and (b) in relation to RFR Loans and any interest rate settings, fundings, disbursements, settlements or payments of any such RFR Loan, or any other dealings in the applicable Agreed Currency of such RFR Loan, any such day that is only an RFR Business Day.</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1155"/>
                <wp:effectExtent l="0" t="0" r="0" b="0"/>
                <wp:wrapNone/>
                <wp:docPr id="89" name="Frame8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16"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CAD Screen Rate</w:t>
      </w:r>
      <w:r>
        <w:rPr>
          <w:color w:val="000000"/>
        </w:rPr>
        <w:t xml:space="preserve">” </w:t>
      </w:r>
      <w:r>
        <w:rPr>
          <w:rFonts w:ascii="Times New Roman;sans-serif" w:hAnsi="Times New Roman;sans-serif"/>
          <w:b w:val="false"/>
          <w:color w:val="000000"/>
          <w:sz w:val="20"/>
        </w:rPr>
        <w:t>has the meaning assigned to such term in the definition of “Term CORRA”.</w:t>
      </w:r>
    </w:p>
    <w:p>
      <w:pPr>
        <w:pStyle w:val="TextBody"/>
        <w:bidi w:val="0"/>
        <w:spacing w:before="60" w:after="283"/>
        <w:ind w:left="0" w:right="0" w:firstLine="1440"/>
        <w:jc w:val="both"/>
        <w:rPr/>
      </w:pPr>
      <w:r>
        <w:rPr/>
      </w:r>
    </w:p>
    <w:p>
      <w:pPr>
        <w:pStyle w:val="TextBody"/>
        <w:bidi w:val="0"/>
        <w:spacing w:lineRule="auto" w:line="288" w:before="60" w:after="283"/>
        <w:ind w:left="0" w:right="0" w:firstLine="1440"/>
        <w:jc w:val="both"/>
        <w:rPr/>
      </w:pPr>
      <w:r>
        <w:rPr>
          <w:color w:val="000000"/>
        </w:rPr>
        <w:t>“</w:t>
      </w:r>
      <w:r>
        <w:rPr>
          <w:rFonts w:ascii="Times New Roman;sans-serif" w:hAnsi="Times New Roman;sans-serif"/>
          <w:b w:val="false"/>
          <w:color w:val="000000"/>
          <w:sz w:val="20"/>
          <w:u w:val="single"/>
        </w:rPr>
        <w:t>Canadian Base Rate</w:t>
      </w:r>
      <w:r>
        <w:rPr>
          <w:color w:val="000000"/>
        </w:rPr>
        <w:t xml:space="preserve">” </w:t>
      </w:r>
      <w:r>
        <w:rPr>
          <w:rFonts w:ascii="Times New Roman;sans-serif" w:hAnsi="Times New Roman;sans-serif"/>
          <w:b w:val="false"/>
          <w:color w:val="000000"/>
          <w:sz w:val="20"/>
        </w:rPr>
        <w:t>means, for any day, a rate per annum equal to the greatest of (a) the rate which the principal office of the First Lien Administrative Agent in Toronto, Ontario then quotes, publishes and refers to as its “prime rate” and which is its reference rate of interest for loans in Canadian Dollars made in Canada to commercial borrowers and (b) the one-month Adjusted Term CORRA Rate, plus 1.00% per annum, adjusted automatically with each quoted, published or displayed change in such rate, all without necessity of any notice to the Borrower or any other Person.</w:t>
      </w:r>
    </w:p>
    <w:p>
      <w:pPr>
        <w:pStyle w:val="TextBody"/>
        <w:bidi w:val="0"/>
        <w:spacing w:before="13"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Canadian Dollars</w:t>
      </w:r>
      <w:r>
        <w:rPr>
          <w:color w:val="000000"/>
        </w:rPr>
        <w:t xml:space="preserve">” </w:t>
      </w:r>
      <w:r>
        <w:rPr>
          <w:rFonts w:ascii="Times New Roman;sans-serif" w:hAnsi="Times New Roman;sans-serif"/>
          <w:b w:val="false"/>
          <w:color w:val="000000"/>
          <w:sz w:val="20"/>
        </w:rPr>
        <w:t>means the lawful money of Canada.</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Capital Lease Obligations</w:t>
      </w:r>
      <w:r>
        <w:rPr>
          <w:color w:val="000000"/>
        </w:rPr>
        <w:t xml:space="preserve">” </w:t>
      </w:r>
      <w:r>
        <w:rPr>
          <w:rFonts w:ascii="Times New Roman;sans-serif" w:hAnsi="Times New Roman;sans-serif"/>
          <w:b w:val="false"/>
          <w:color w:val="000000"/>
          <w:sz w:val="20"/>
        </w:rPr>
        <w:t xml:space="preserve">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all leases of such Person that are or would have been treated as operating leases for purposes of GAAP prior to the issuance on February 25, 2016 of the Accounting Standards Update 2016-02, Leases (Topic 842) by the Financial Accounting Standards Board (the “ASU”)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w:t>
      </w:r>
    </w:p>
    <w:p>
      <w:pPr>
        <w:pStyle w:val="TextBody"/>
        <w:bidi w:val="0"/>
        <w:spacing w:before="0" w:after="0"/>
        <w:jc w:val="left"/>
        <w:rPr/>
      </w:pPr>
      <w:r>
        <w:rPr/>
      </w:r>
    </w:p>
    <w:p>
      <w:pPr>
        <w:pStyle w:val="TextBody"/>
        <w:bidi w:val="0"/>
        <w:spacing w:lineRule="auto" w:line="288" w:before="225" w:after="283"/>
        <w:ind w:left="0" w:right="0" w:firstLine="1440"/>
        <w:jc w:val="both"/>
        <w:rPr/>
      </w:pPr>
      <w:r>
        <w:rPr>
          <w:color w:val="000000"/>
        </w:rPr>
        <w:t>“</w:t>
      </w:r>
      <w:r>
        <w:rPr>
          <w:rFonts w:ascii="Times New Roman;sans-serif" w:hAnsi="Times New Roman;sans-serif"/>
          <w:b w:val="false"/>
          <w:color w:val="000000"/>
          <w:sz w:val="20"/>
          <w:u w:val="single"/>
        </w:rPr>
        <w:t>Capitalized Leases</w:t>
      </w:r>
      <w:r>
        <w:rPr>
          <w:color w:val="000000"/>
        </w:rPr>
        <w:t xml:space="preserve">” </w:t>
      </w:r>
      <w:r>
        <w:rPr>
          <w:rFonts w:ascii="Times New Roman;sans-serif" w:hAnsi="Times New Roman;sans-serif"/>
          <w:b w:val="false"/>
          <w:color w:val="000000"/>
          <w:sz w:val="20"/>
        </w:rPr>
        <w:t xml:space="preserve">means all leases that have been or should be, in accordance with GAAP as in effect on the Effective Date, recorded as capitalized leases;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for all purposes hereunder the amount of obligations under any Capitalized Lease shall be the amount thereof accounted for as a liability in accordance with GAAP.</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Capitalized Software Expenditures</w:t>
      </w:r>
      <w:r>
        <w:rPr>
          <w:color w:val="000000"/>
        </w:rPr>
        <w:t xml:space="preserve">” </w:t>
      </w:r>
      <w:r>
        <w:rPr>
          <w:rFonts w:ascii="Times New Roman;sans-serif" w:hAnsi="Times New Roman;sans-serif"/>
          <w:b w:val="false"/>
          <w:color w:val="000000"/>
          <w:sz w:val="20"/>
        </w:rPr>
        <w:t>means, for any period, the aggregate of all expenditures (whether paid in cash or accrued as liabilities) by the Borrower and its Restricted Subsidiaries during such period in respect of purchased software or internally developed software and software enhancements that, in conformity with GAAP, are or are required to be reflected as capitalized costs on the consolidated balance sheet of the Borrower and its Restricted Subsidiaries.</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Cash Management Obligations</w:t>
      </w:r>
      <w:r>
        <w:rPr>
          <w:color w:val="000000"/>
        </w:rPr>
        <w:t xml:space="preserve">” </w:t>
      </w:r>
      <w:r>
        <w:rPr>
          <w:rFonts w:ascii="Times New Roman;sans-serif" w:hAnsi="Times New Roman;sans-serif"/>
          <w:b w:val="false"/>
          <w:color w:val="000000"/>
          <w:sz w:val="20"/>
        </w:rPr>
        <w:t>means (a) obligations of Holdings, any Intermediate Parent, the Borrower or any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Cash Management Services</w:t>
      </w:r>
      <w:r>
        <w:rPr>
          <w:color w:val="000000"/>
        </w:rPr>
        <w:t xml:space="preserve">” </w:t>
      </w:r>
      <w:r>
        <w:rPr>
          <w:rFonts w:ascii="Times New Roman;sans-serif" w:hAnsi="Times New Roman;sans-serif"/>
          <w:b w:val="false"/>
          <w:color w:val="000000"/>
          <w:sz w:val="20"/>
        </w:rPr>
        <w:t>has the meaning assigned to such term in the definition of “Secured Cash Management Obligations.”</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Casualty Event</w:t>
      </w:r>
      <w:r>
        <w:rPr>
          <w:color w:val="000000"/>
        </w:rPr>
        <w:t xml:space="preserve">” </w:t>
      </w:r>
      <w:r>
        <w:rPr>
          <w:rFonts w:ascii="Times New Roman;sans-serif" w:hAnsi="Times New Roman;sans-serif"/>
          <w:b w:val="false"/>
          <w:color w:val="000000"/>
          <w:sz w:val="20"/>
        </w:rPr>
        <w:t>means any event that gives rise to the receipt by the Borrower or any Subsidiary of any insurance proceeds or condemnation awards in an amount in excess of $20,000,000 in respect of any equipment, fixed assets or real property (including any improvements thereon) to replace or repair such equipment, fixed assets or real property.</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CBR Loan</w:t>
      </w:r>
      <w:r>
        <w:rPr>
          <w:color w:val="000000"/>
        </w:rPr>
        <w:t xml:space="preserve">” </w:t>
      </w:r>
      <w:r>
        <w:rPr>
          <w:rFonts w:ascii="Times New Roman;sans-serif" w:hAnsi="Times New Roman;sans-serif"/>
          <w:b w:val="false"/>
          <w:color w:val="000000"/>
          <w:sz w:val="20"/>
        </w:rPr>
        <w:t>means a Loan that bears interest at a rate determined by reference to the Central</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Rate.</w:t>
      </w:r>
    </w:p>
    <w:p>
      <w:pPr>
        <w:pStyle w:val="TextBody"/>
        <w:bidi w:val="0"/>
        <w:spacing w:before="10" w:after="283"/>
        <w:jc w:val="left"/>
        <w:rPr/>
      </w:pPr>
      <w:r>
        <w:rPr/>
      </w:r>
    </w:p>
    <w:p>
      <w:pPr>
        <w:pStyle w:val="TextBody"/>
        <w:bidi w:val="0"/>
        <w:spacing w:lineRule="auto" w:line="288"/>
        <w:jc w:val="left"/>
        <w:rPr/>
      </w:pPr>
      <w:r>
        <w:rPr>
          <w:color w:val="000000"/>
        </w:rPr>
        <w:t>“</w:t>
      </w:r>
      <w:r>
        <w:rPr>
          <w:rFonts w:ascii="Times New Roman;sans-serif" w:hAnsi="Times New Roman;sans-serif"/>
          <w:b w:val="false"/>
          <w:color w:val="000000"/>
          <w:sz w:val="20"/>
          <w:u w:val="single"/>
        </w:rPr>
        <w:t>CBR Spread</w:t>
      </w:r>
      <w:r>
        <w:rPr>
          <w:color w:val="000000"/>
        </w:rPr>
        <w:t xml:space="preserve">” </w:t>
      </w:r>
      <w:r>
        <w:rPr>
          <w:rFonts w:ascii="Times New Roman;sans-serif" w:hAnsi="Times New Roman;sans-serif"/>
          <w:b w:val="false"/>
          <w:color w:val="000000"/>
          <w:sz w:val="20"/>
        </w:rPr>
        <w:t>means the Applicable Rate, applicable to such Loan that is replaced by a CBR</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1155"/>
                <wp:effectExtent l="0" t="0" r="0" b="0"/>
                <wp:wrapNone/>
                <wp:docPr id="90" name="Frame8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w:t>
      </w:r>
    </w:p>
    <w:p>
      <w:pPr>
        <w:pStyle w:val="TextBody"/>
        <w:bidi w:val="0"/>
        <w:spacing w:before="60" w:after="283"/>
        <w:ind w:left="0" w:right="0" w:firstLine="1440"/>
        <w:jc w:val="both"/>
        <w:rPr/>
      </w:pPr>
      <w:r>
        <w:rPr/>
      </w:r>
    </w:p>
    <w:p>
      <w:pPr>
        <w:pStyle w:val="TextBody"/>
        <w:bidi w:val="0"/>
        <w:spacing w:lineRule="auto" w:line="288" w:before="60" w:after="283"/>
        <w:ind w:left="0" w:right="0" w:firstLine="1440"/>
        <w:jc w:val="both"/>
        <w:rPr/>
      </w:pPr>
      <w:r>
        <w:rPr>
          <w:color w:val="000000"/>
        </w:rPr>
        <w:t>“</w:t>
      </w:r>
      <w:r>
        <w:rPr>
          <w:rFonts w:ascii="Times New Roman;sans-serif" w:hAnsi="Times New Roman;sans-serif"/>
          <w:b w:val="false"/>
          <w:color w:val="000000"/>
          <w:sz w:val="20"/>
          <w:u w:val="single"/>
        </w:rPr>
        <w:t>Central Bank Rate</w:t>
      </w:r>
      <w:r>
        <w:rPr>
          <w:color w:val="000000"/>
        </w:rPr>
        <w:t xml:space="preserve">” </w:t>
      </w:r>
      <w:r>
        <w:rPr>
          <w:rFonts w:ascii="Times New Roman;sans-serif" w:hAnsi="Times New Roman;sans-serif"/>
          <w:b w:val="false"/>
          <w:color w:val="000000"/>
          <w:sz w:val="20"/>
        </w:rPr>
        <w:t>means, for any Loan denominated in Sterling, (a) the greater of (i) the Bank of England (or any successor thereto)’s “Bank Rate” as published by the Bank of England (or any successor thereto) from time to time, and (ii) the Floor; plus (b) the applicable Central Bank Rate Adjustment.</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Central Bank Rate Adjustment</w:t>
      </w:r>
      <w:r>
        <w:rPr>
          <w:color w:val="000000"/>
        </w:rPr>
        <w:t xml:space="preserve">” </w:t>
      </w:r>
      <w:r>
        <w:rPr>
          <w:rFonts w:ascii="Times New Roman;sans-serif" w:hAnsi="Times New Roman;sans-serif"/>
          <w:b w:val="false"/>
          <w:color w:val="000000"/>
          <w:sz w:val="20"/>
        </w:rPr>
        <w:t>means, for any day, for any Loan denominated in Sterling, a rate equal to the difference (which may be a positive or negative value or zero) of (a) the average of Adjusted Daily Simple SONIA for Sterling Borrowings for the five most recent SONIA Business Days preceding such day for which SONIA was available (excluding, from such averaging, the highest and the lowest such Adjusted Daily Simple SONIA applicable during such period of five SONIA Business Days) minus (b) the Central Bank Rate in respect of Sterling in effect on the last SONIA Business Day in such period.</w:t>
      </w:r>
    </w:p>
    <w:p>
      <w:pPr>
        <w:pStyle w:val="TextBody"/>
        <w:bidi w:val="0"/>
        <w:spacing w:before="13"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CFC</w:t>
      </w:r>
      <w:r>
        <w:rPr>
          <w:color w:val="000000"/>
        </w:rPr>
        <w:t xml:space="preserve">” </w:t>
      </w:r>
      <w:r>
        <w:rPr>
          <w:rFonts w:ascii="Times New Roman;sans-serif" w:hAnsi="Times New Roman;sans-serif"/>
          <w:b w:val="false"/>
          <w:color w:val="000000"/>
          <w:sz w:val="20"/>
        </w:rPr>
        <w:t>means a “controlled foreign corporation” within the meaning of Sections 956 and 957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Code.</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Change of Control</w:t>
      </w:r>
      <w:r>
        <w:rPr>
          <w:color w:val="000000"/>
        </w:rPr>
        <w:t xml:space="preserve">” </w:t>
      </w:r>
      <w:r>
        <w:rPr>
          <w:rFonts w:ascii="Times New Roman;sans-serif" w:hAnsi="Times New Roman;sans-serif"/>
          <w:b w:val="false"/>
          <w:color w:val="000000"/>
          <w:sz w:val="20"/>
        </w:rPr>
        <w:t>means (a) the failure of Holdings prior to an IPO, or, after the IPO, the IPO Entity, directly or indirectly through wholly owned subsidiaries, to own all of the Equity Interests of the Borrower,</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prior to an IPO, the failure by the Permitted Holders to own, directly or indirectly through one or more holding company parents of Holdings, beneficially and of record, Equity Interests in Holdings representing at least a majority of the aggregate ordinary voting power for the election of members of the Board of Directors of Holdings represented by the issued and outstanding Equity Interests in Holdings, unless the Permitted Holders otherwise have the right (pursuant to contract, proxy, ownership of Equity Interests or otherwise), directly or indirectly, to designate, nominate or appoint (and do so designate, nominate or appoint) a majority of the Board of Directors of Holdings,</w:t>
      </w:r>
    </w:p>
    <w:p>
      <w:pPr>
        <w:pStyle w:val="TextBody"/>
        <w:bidi w:val="0"/>
        <w:spacing w:lineRule="auto" w:line="288"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after an IPO, the acquisition of ownership, directly or indirectly, beneficially or of record, by any Person or group, other than the Permitted Holders (directly or indirectly, including through one or more holding companies), of Equity Interests representing 40% or more of the aggregate ordinary voting power represented by the issued and outstanding Equity Interests in the IPO Entity and the percentage of the aggregate ordinary voting power so held is greater than the percentage of the aggregate ordinary voting power represented by the Equity Interests in the IPO Entity held by the Permitted Holders, unless the Permitted Holders (directly or indirectly, including through one of more holding companies) otherwise have the right (pursuant to contract, proxy or otherwise), directly or indirectly, to designate, nominate or appoint (and do so designate, nominate or appoint) a majority of the Board of Directors of Holdings or the IPO Entity, (d) [Reserved] or (e) the occurrence of a “Change of Control” (or similar event, however denominated), as defined in the documentation governing any Junior Financing that is Material Indebtedness, unless such Junior Financing is repaid substantially simultaneously with the occurrence of such “Change of Control” under such documentation in a manner permitted hereunder.</w:t>
      </w:r>
    </w:p>
    <w:p>
      <w:pPr>
        <w:pStyle w:val="TextBody"/>
        <w:bidi w:val="0"/>
        <w:spacing w:before="15"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the IPO Entity or the Borrower, as applicable, directly or indirectly owned by the Permitted Holders that are part of such Person or “group” shall not be treated as being owned by such Person or “group” for purposes of determining whether clause (c) of this definition is triggered.</w:t>
      </w:r>
    </w:p>
    <w:p>
      <w:pPr>
        <w:pStyle w:val="TextBody"/>
        <w:bidi w:val="0"/>
        <w:spacing w:before="13"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Change in Law</w:t>
      </w:r>
      <w:r>
        <w:rPr>
          <w:color w:val="000000"/>
        </w:rPr>
        <w:t xml:space="preserve">” </w:t>
      </w:r>
      <w:r>
        <w:rPr>
          <w:rFonts w:ascii="Times New Roman;sans-serif" w:hAnsi="Times New Roman;sans-serif"/>
          <w:b w:val="false"/>
          <w:color w:val="000000"/>
          <w:sz w:val="20"/>
        </w:rPr>
        <w:t xml:space="preserve">means: (a) the adoption of any rule, regulation, treaty or other law after the date of this Agreement, (b) any change in any rule, regulation, treaty or other law or in the administration, interpretation or application thereof by any Governmental Authority after the date of this Agreement or (c) the making or issuance of any request, guideline or directive (whether or not having the force of law) of any Governmental Authority made or issued after the date of this Agreement;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notwithstanding anything herein to the contrary, (x) the Dodd-Frank Wall Street Reform and Consumer Protection Act and all rules, regulations, guidelines or directives thereunder or issued in connection therewith and (y) all requests, rules, guidelines or directives promulgated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1155"/>
                <wp:effectExtent l="0" t="0" r="0" b="0"/>
                <wp:wrapNone/>
                <wp:docPr id="91" name="Frame9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Bank of International Settlements, the Basel Committee on Banking Supervision (or any successor or similar authority) or by the United States, Canada, United Kingdom or other foreign regulatory authorities, in each case pursuant to Basel III, shall, in each case, be deemed to be a “Change in Law,” to the extent enacted, adopted, promulgated or issued after the date of this Agreement, but only to the extent such rules, regulations, or published interpretations or directives are applied to Holdings and its Subsidiaries by the First Lien Administrative Agent or any Lender in substantially the same manner as applied to other similarly situated borrowers under comparable syndicated credit facilities, including, without limitation, for purposes of Section 2.15.</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Citibank Letter of Credit Sublimit</w:t>
      </w:r>
      <w:r>
        <w:rPr>
          <w:color w:val="000000"/>
        </w:rPr>
        <w:t xml:space="preserve">” </w:t>
      </w:r>
      <w:r>
        <w:rPr>
          <w:rFonts w:ascii="Times New Roman;sans-serif" w:hAnsi="Times New Roman;sans-serif"/>
          <w:b w:val="false"/>
          <w:color w:val="000000"/>
          <w:sz w:val="20"/>
        </w:rPr>
        <w:t xml:space="preserve">means an amount equal to the amount listed on Schedule 2.01 as amended by Amendment No. </w:t>
      </w:r>
      <w:r>
        <w:rPr>
          <w:rFonts w:ascii="Times New Roman;sans-serif" w:hAnsi="Times New Roman;sans-serif"/>
          <w:b/>
          <w:strike/>
          <w:color w:val="FF0000"/>
          <w:sz w:val="20"/>
        </w:rPr>
        <w:t>3</w:t>
      </w:r>
      <w:r>
        <w:rPr>
          <w:rFonts w:ascii="Times New Roman;sans-serif" w:hAnsi="Times New Roman;sans-serif"/>
          <w:b/>
          <w:color w:val="0000FF"/>
          <w:sz w:val="20"/>
          <w:u w:val="single"/>
        </w:rPr>
        <w:t>5</w:t>
      </w:r>
      <w:r>
        <w:rPr>
          <w:rFonts w:ascii="Times New Roman;sans-serif" w:hAnsi="Times New Roman;sans-serif"/>
          <w:b w:val="false"/>
          <w:color w:val="000000"/>
          <w:sz w:val="20"/>
        </w:rPr>
        <w:t>. Letters of Credit issued pursuant to the Citibank Letter of Credit Sublimit will be issued by Citibank, N.A. in its capacity as an “Issuing Bank”.</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Citizens Letter of Credit Sublimit</w:t>
      </w:r>
      <w:r>
        <w:rPr>
          <w:color w:val="000000"/>
        </w:rPr>
        <w:t xml:space="preserve">” </w:t>
      </w:r>
      <w:r>
        <w:rPr>
          <w:rFonts w:ascii="Times New Roman;sans-serif" w:hAnsi="Times New Roman;sans-serif"/>
          <w:b w:val="false"/>
          <w:color w:val="000000"/>
          <w:sz w:val="20"/>
        </w:rPr>
        <w:t xml:space="preserve">means an amount equal to the amount listed on Schedule 2.01 as amended by Amendment No. </w:t>
      </w:r>
      <w:r>
        <w:rPr>
          <w:rFonts w:ascii="Times New Roman;sans-serif" w:hAnsi="Times New Roman;sans-serif"/>
          <w:b/>
          <w:strike/>
          <w:color w:val="FF0000"/>
          <w:sz w:val="20"/>
        </w:rPr>
        <w:t>3</w:t>
      </w:r>
      <w:r>
        <w:rPr>
          <w:rFonts w:ascii="Times New Roman;sans-serif" w:hAnsi="Times New Roman;sans-serif"/>
          <w:b/>
          <w:color w:val="0000FF"/>
          <w:sz w:val="20"/>
          <w:u w:val="single"/>
        </w:rPr>
        <w:t>5</w:t>
      </w:r>
      <w:r>
        <w:rPr>
          <w:rFonts w:ascii="Times New Roman;sans-serif" w:hAnsi="Times New Roman;sans-serif"/>
          <w:b w:val="false"/>
          <w:color w:val="000000"/>
          <w:sz w:val="20"/>
        </w:rPr>
        <w:t>. Letters of Credit issued pursuant to the Citizens Letter of Credit Sublimit will be issued by Citizens Bank, N.A. in its capacity as an “Issuing Bank”.</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Class</w:t>
      </w:r>
      <w:r>
        <w:rPr>
          <w:color w:val="000000"/>
        </w:rPr>
        <w:t xml:space="preserve">” </w:t>
      </w:r>
      <w:r>
        <w:rPr>
          <w:rFonts w:ascii="Times New Roman;sans-serif" w:hAnsi="Times New Roman;sans-serif"/>
          <w:b w:val="false"/>
          <w:color w:val="000000"/>
          <w:sz w:val="20"/>
        </w:rPr>
        <w:t>when used in reference to (a) any Loan or Borrowing, refers to whether such Loan, or the Loans comprising such Borrowing, are Revolving Loans, Other Revolving Loans, Term Loans, First Lien Incremental Term Loans, Other First Lien Term Loans, Swingline Loans, or 2024 Refinancing Term Loans, (b) any Commitment, refers to whether such Commitment is a Revolving Commitment, Additional/Replacement Revolving Commitment, Other Revolving Commitment, Term Commitment or Other First Lien Term Commitment and (c) any Lender, refers to whether such Lender has a Loan or Commitment with respect to a particular Class of Loans or Commitments. Other First Lien Term Commitments, Other First Lien Term Loans, Other Revolving Commitments (and the Other Revolving Loans made pursuant thereto), Additional/Replacement Revolving Commitments and First Lien Incremental Term Loans that have different terms and conditions shall be construed to be in different Classes.</w:t>
      </w:r>
    </w:p>
    <w:p>
      <w:pPr>
        <w:pStyle w:val="TextBody"/>
        <w:bidi w:val="0"/>
        <w:spacing w:before="14"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CME Term SOFR Administrator</w:t>
      </w:r>
      <w:r>
        <w:rPr>
          <w:color w:val="000000"/>
        </w:rPr>
        <w:t xml:space="preserve">” </w:t>
      </w:r>
      <w:r>
        <w:rPr>
          <w:rFonts w:ascii="Times New Roman;sans-serif" w:hAnsi="Times New Roman;sans-serif"/>
          <w:b w:val="false"/>
          <w:color w:val="000000"/>
          <w:sz w:val="20"/>
        </w:rPr>
        <w:t>means CME Group Benchmark Administration Limited as administrator of the forward-looking term Secured Overnight Financing Rate (SOFR) (or a successor administrator).</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Code</w:t>
      </w:r>
      <w:r>
        <w:rPr>
          <w:color w:val="000000"/>
        </w:rPr>
        <w:t xml:space="preserve">” </w:t>
      </w:r>
      <w:r>
        <w:rPr>
          <w:rFonts w:ascii="Times New Roman;sans-serif" w:hAnsi="Times New Roman;sans-serif"/>
          <w:b w:val="false"/>
          <w:color w:val="000000"/>
          <w:sz w:val="20"/>
        </w:rPr>
        <w:t>means the Internal Revenue Code of 1986, as amended from time to time.</w:t>
      </w:r>
    </w:p>
    <w:p>
      <w:pPr>
        <w:pStyle w:val="TextBody"/>
        <w:bidi w:val="0"/>
        <w:spacing w:before="10" w:after="283"/>
        <w:jc w:val="left"/>
        <w:rPr/>
      </w:pPr>
      <w:r>
        <w:rPr/>
      </w:r>
    </w:p>
    <w:p>
      <w:pPr>
        <w:pStyle w:val="TextBody"/>
        <w:bidi w:val="0"/>
        <w:spacing w:lineRule="auto" w:line="288" w:before="1" w:after="283"/>
        <w:ind w:left="0" w:right="0" w:firstLine="1505"/>
        <w:jc w:val="both"/>
        <w:rPr/>
      </w:pPr>
      <w:r>
        <w:rPr>
          <w:color w:val="000000"/>
        </w:rPr>
        <w:t>“</w:t>
      </w:r>
      <w:r>
        <w:rPr>
          <w:rFonts w:ascii="Times New Roman;sans-serif" w:hAnsi="Times New Roman;sans-serif"/>
          <w:b w:val="false"/>
          <w:color w:val="000000"/>
          <w:sz w:val="20"/>
          <w:u w:val="single"/>
        </w:rPr>
        <w:t>Collateral</w:t>
      </w:r>
      <w:r>
        <w:rPr>
          <w:color w:val="000000"/>
        </w:rPr>
        <w:t xml:space="preserve">” </w:t>
      </w:r>
      <w:r>
        <w:rPr>
          <w:rFonts w:ascii="Times New Roman;sans-serif" w:hAnsi="Times New Roman;sans-serif"/>
          <w:b w:val="false"/>
          <w:color w:val="000000"/>
          <w:sz w:val="20"/>
        </w:rPr>
        <w:t>means any and all assets, whether real or personal, tangible or intangible, on which Liens are purported to be granted pursuant to the Security Documents as security for the Secured Obligations.</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Collateral and Guarantee Requirement</w:t>
      </w:r>
      <w:r>
        <w:rPr>
          <w:color w:val="000000"/>
        </w:rPr>
        <w:t xml:space="preserve">” </w:t>
      </w:r>
      <w:r>
        <w:rPr>
          <w:rFonts w:ascii="Times New Roman;sans-serif" w:hAnsi="Times New Roman;sans-serif"/>
          <w:b w:val="false"/>
          <w:color w:val="000000"/>
          <w:sz w:val="20"/>
        </w:rPr>
        <w:t>means, at any time, the requirement that:</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(a)the First Lien Administrative Agent shall have received from (i) Holdings, any Intermediate Parent, the Borrower and each of the Restricted Subsidiaries (other than any Excluded Subsidiary) either (x) a counterpart of the First Lien Guarantee Agreement duly executed and delivered on behalf of such Person or (y) in the case of any Person that becomes a Loan Party after the Effective Date (including by ceasing to be an Excluded Subsidiary), a supplement to the First Lien Guarantee Agreement, in substantially the form specified therein, duly executed and delivered on behalf of such Person and</w:t>
      </w:r>
    </w:p>
    <w:p>
      <w:pPr>
        <w:pStyle w:val="TextBody"/>
        <w:bidi w:val="0"/>
        <w:spacing w:lineRule="auto" w:line="288"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(x)Holdings, any Intermediate Parent, the Borrower and each Subsidiary Loan Party either (x) a counterpart of the First Lien Collateral Agreement duly executed and delivered on behalf of such Person or</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(y)in the case of any Person that becomes a Subsidiary Loan Party after the Effective Date (including by ceasing to be an Excluded Subsidiary), a supplement to the First Lien Collateral Agreement, substantially the form specified therein, duly executed and delivered on behalf of such Person, in each case under this clause (a) together with, in the case of any such First Lien Loan Documents executed and delivered after the Effective Date, to the extent reasonably requested by the First Lien Administrative Agent, opinions and documents of the type referred to in Sections 4.01(b) and 4.01(d);</w:t>
      </w:r>
    </w:p>
    <w:p>
      <w:pPr>
        <w:pStyle w:val="TextBody"/>
        <w:bidi w:val="0"/>
        <w:spacing w:before="13" w:after="283"/>
        <w:jc w:val="left"/>
        <w:rPr/>
      </w:pPr>
      <w:r>
        <w:rPr/>
      </w:r>
    </w:p>
    <w:p>
      <w:pPr>
        <w:pStyle w:val="TextBody"/>
        <w:bidi w:val="0"/>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(b)all outstanding Equity Interests of the Borrower, any Intermediate Parent and each Restricted Subsidiary (other than any Equity Interests constituting Excluded Assets) owned by or on behalf of any Loan Party, shall have been pledged pursuant to the First Lien Collateral Agreement, and the First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1155"/>
                <wp:effectExtent l="0" t="0" r="0" b="0"/>
                <wp:wrapNone/>
                <wp:docPr id="92" name="Frame9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Lien Administrative Agent shall have received certificates, if any, representing all such Equity Interests to the extent constituting “certificated securities”, together with undated stock powers or other instruments of transfer with respect thereto endorsed in blank;</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(c)if any Indebtedness for borrowed money of Holdings, any Intermediate Parent, the Borrower or any Subsidiary in a principal amount of $20,000,000 or more is owing by such obligor to any Loan Party and such Indebtedness shall be evidenced by a promissory note, such promissory note shall be pledged pursuant to the First Lien Collateral Agreement, and the First Lien Administrative Agent shall have received all such promissory notes, together with undated instruments of transfer with respect thereto endorsed in blank;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however, that the foregoing delivery requirement with respect to any intercompany indebtedness may be satisfied by delivery of an omnibus or global intercompany note executed by all Loan Parties as payees and all such obligors as payors;</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(d)all certificates, agreements, documents and instruments, including Uniform Commercial Code financing statements and Intellectual Property Security Agreements with respect to any Trademarks, Patents and Copyrights that are registered, issued or applied-for in the United States and that constitute Collateral, for the filing with the United States Patent or Trademark Office and the United States Copyright Office to the extent required by this Agreement, the Security Documents, Requirements of Law and as reasonably requested by the First Lien Administrative Agent to be filed, delivered, registered or recorded to create the Liens intended to be created by the Security Documents and perfect such Liens to the extent required by, and with the priority required by, this Agreement, the Security Documents and the other provisions of the term “Collateral and Guarantee Requirement,” shall have been filed, registered or recorded or delivered to the First Lien Administrative Agent for filing, registration or recording; and</w:t>
      </w:r>
    </w:p>
    <w:p>
      <w:pPr>
        <w:pStyle w:val="TextBody"/>
        <w:bidi w:val="0"/>
        <w:spacing w:before="14" w:after="283"/>
        <w:jc w:val="left"/>
        <w:rPr/>
      </w:pPr>
      <w:r>
        <w:rPr/>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 xml:space="preserve">(e)the First Lien Administrative Agent shall have received (i) counterparts of a Mortgage with respect to each Material Real Property duly executed and delivered by the record owner of such Mortgaged Property (if the Mortgaged Property is in a jurisdiction that imposes a mortgage recording or similar tax on the amount secured by such Mortgage, then the amount secured by such Mortgage shall be limited to the Fair Market Value of such Mortgaged Property, as reasonably determined by Holdings), (ii) a policy or policies of title insurance (or marked unconditional commitment to issue such policy or policies) issued by a nationally recognized title insurance company insuring the Lien of each such Mortgage as a first priority Lien on the Mortgaged Property described therein, free of any other Liens except as expressly permitted by Section 6.02, together with such customary lender’s endorsements (other than a creditor’s rights endorsement) as the First Lien Administrative Agent may reasonably request to the extent available in the applicable jurisdiction at commercially reasonable rates (it being agreed that the First Lien Administrative Agent shall accept zoning reports from a nationally recognized zoning company in lieu of zoning endorsements to such title insurance policies), in an amount equal to the Fair Market Value of such Mortgaged Property or as otherwise reasonably agreed by the parties;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in no event will the Borrower be required to obtain independent appraisals of such Mortgaged Properties, unless required by FIRREA, (iii) a completed “Life-of-Loan” Federal Emergency Management Agency standard flood hazard determination with respect to each Mortgaged Property on a “Building” (as defined in 12 CFR Chapter III, Section 339.2) is located, and if any Mortgaged Property on which a “Building” (as defined in 12 CFR Chapter III, Section 339.2) is located in an area determined by the Federal Emergency Management Agency (or any successor agency) to be located in a special flood hazard area, a duly executed notice about special flood hazard area status and flood disaster assistance and evidence of such flood insurance as provided in Section 5.07(b), (iv) in each case if reasonably requested by the First Lien Administrative Agent, a customary legal opinion with respect to each such Mortgage, from counsel qualified to opine in each jurisdiction (i) where a Mortgaged Property is located regarding the enforceability of the Mortgage and (ii) where the applicable Loan Party granting the Mortgage on said Mortgaged Property is organized, regarding the due authorization, execution and delivery of such Mortgage, and in each case, such other customary matters as may be in form and substance reasonably satisfactory to the First Lien Administrative Agent, (v) a survey or existing survey together with a no change affidavit of such Mortgaged Property, in compliance with the 2016 Minimum Standard Detail Requirements for ALTA/ACSM Land Title Surveys (or 2011 Minimum Standard Detail Requirements for ALTA/ACSM Land Title Surveys in the case of any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1155"/>
                <wp:effectExtent l="0" t="0" r="0" b="0"/>
                <wp:wrapNone/>
                <wp:docPr id="93" name="Frame9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existing survey) and otherwise reasonably satisfactory to the First Lien Administrative Agent, and (vi) evidence of payment of title insurance premiums and expenses and all recording, mortgage, transfer and stamp taxes and fees payable in connection with recording the Mortgage, any amendments thereto and any fixture filings in appropriate county land office(s).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provisions of this definition or anything in this Agreement or any other First Lien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the First Lien Administrative Agent and the Borrower reasonably agree in writing that the cost, burden, difficulty or 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is excessive in relation to the benefits to be obtained by the Lenders therefrom; (b) Liens required to be granted from time to time pursuant to the term “Collateral and Guarantee Requirement” shall be subject to exceptions and limitations set forth in this Agreement and the Security Documents;</w:t>
      </w:r>
    </w:p>
    <w:p>
      <w:pPr>
        <w:pStyle w:val="TextBody"/>
        <w:bidi w:val="0"/>
        <w:spacing w:lineRule="auto" w:line="288" w:before="5"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in no event shall control agreements or other control or similar arrangements be required with respect to cash, Permitted Investments, other deposit accounts, securities and commodities accounts (including securities entitlements and related assets), letter of credit rights or other assets requiring perfection by control (but not, for avoidance of doubt, possession); (d) in no event shall any Loan Party be required to complete any filings or other action with respect to the perfection of security interests in any jurisdiction outside of a Covered Jurisdiction (or, with respect to Intellectual Property, in any jurisdiction outside the United States), and no actions in any non-Covered Jurisdiction (or, with respect to Intellectual Property, in any jurisdiction outside the United States) or required by the laws of any non-Covered Jurisdiction (or, with respect to Intellectual Property, by the laws of any jurisdiction outside the United States) shall be required to be taken to create any security interests in assets located or titled outside of any Covered Jurisdiction (including in any Equity Interests of Subsidiaries organized outside of a Covered Jurisdiction), or in any Intellectual Property governed by, arising, existing, registered or applied for under the laws of any jurisdiction other than the United States of America, any State or to perfect or make enforceable any security interests in any such assets (it being understood that there shall be no security agreements or pledge agreements governed under the laws of any non-U.S. jurisdiction); (e) in no event shall any Loan Party be required to complete any filings or other action with respect to perfection of security interests in assets subject to certificates of title beyond the filing of UCC financing statements; (f) other than the filing of UCC financing statements, no perfection shall be required with respect to promissory notes evidencing debt for borrowed money in a principal amount of less than $20,000,000; (g) in no event shall any Loan Party be required to complete any filings or other action with respect to security interests in Intellectual Property beyond the filing of Intellectual Property Security Agreements with the United States Patent and Trademark Office and the United States Copyright Office; (h) no actions shall be required to perfect a security interest in letter of credit rights (other than the filing of UCC financing statements) ; and (i) in no event shall the Collateral include any Excluded Assets. The First Lien Administrative Agent may grant extensions of time for the creation and perfection of security interests in or the obtaining of title insurance, legal opinions or other deliverables with respect to particular assets or the provision of any Guarantee by any Subsidiary or Intermediate Parent (including extensions beyond the Effective Date or in connection with assets acquired, or Subsidiaries formed or acquired, after the Effective Date) and any other obligations under this definition where it determines that such action cannot be accomplished without undue effort or expense by the time or times at which it would otherwise be required to be accomplished by this Agreement (including as set forth on Schedule 5.14) or the Security Documents.</w:t>
      </w:r>
    </w:p>
    <w:p>
      <w:pPr>
        <w:pStyle w:val="TextBody"/>
        <w:bidi w:val="0"/>
        <w:spacing w:before="2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Commitment</w:t>
      </w:r>
      <w:r>
        <w:rPr>
          <w:color w:val="000000"/>
        </w:rPr>
        <w:t xml:space="preserve">” </w:t>
      </w:r>
      <w:r>
        <w:rPr>
          <w:rFonts w:ascii="Times New Roman;sans-serif" w:hAnsi="Times New Roman;sans-serif"/>
          <w:b w:val="false"/>
          <w:color w:val="000000"/>
          <w:sz w:val="20"/>
        </w:rPr>
        <w:t>means (a) with respect to any Lender, its Revolving Commitment, Other Revolving Commitment of any Class, Term Commitment (including the 2024 Refinancing Term Commitment), Other First Lien Term Commitment of any Class or any combination thereof (as the context requires) and (b) with respect to any Swingline Lender, its Swingline Commitment.</w:t>
      </w:r>
    </w:p>
    <w:p>
      <w:pPr>
        <w:pStyle w:val="TextBody"/>
        <w:bidi w:val="0"/>
        <w:spacing w:before="12"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Commitment Fee Percentage</w:t>
      </w:r>
      <w:r>
        <w:rPr>
          <w:color w:val="000000"/>
        </w:rPr>
        <w:t xml:space="preserve">” </w:t>
      </w:r>
      <w:r>
        <w:rPr>
          <w:rFonts w:ascii="Times New Roman;sans-serif" w:hAnsi="Times New Roman;sans-serif"/>
          <w:b w:val="false"/>
          <w:color w:val="000000"/>
          <w:sz w:val="20"/>
        </w:rPr>
        <w:t xml:space="preserve">means, for any day, the applicable percentage set forth below under the caption “Commitment Fee Percentage” based upon the Senior Secured First Lien Net Leverage Ratio as of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1155"/>
                <wp:effectExtent l="0" t="0" r="0" b="0"/>
                <wp:wrapNone/>
                <wp:docPr id="94" name="Frame9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 xml:space="preserve">the end of the fiscal quarter of the Borrower for which consolidated financial statements have theretofore been most recently delivered pursuant to Section 5.01(a) or 5.01(b);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until the date of the delivery of the consolidated financial statements pursuant to Section 5.01(b) as of and for the fiscal year ended December 31, 2019, the Commitment Fee Percentage shall be based on the rates per annum set forth in Category 1:</w:t>
      </w:r>
    </w:p>
    <w:p>
      <w:pPr>
        <w:pStyle w:val="TextBody"/>
        <w:bidi w:val="0"/>
        <w:spacing w:before="10" w:after="1"/>
        <w:jc w:val="left"/>
        <w:rPr/>
      </w:pPr>
      <w:r>
        <w:rPr/>
      </w:r>
    </w:p>
    <w:tbl>
      <w:tblPr>
        <w:tblW w:w="7648" w:type="dxa"/>
        <w:jc w:val="left"/>
        <w:tblInd w:w="0" w:type="dxa"/>
        <w:tblLayout w:type="fixed"/>
        <w:tblCellMar>
          <w:top w:w="28" w:type="dxa"/>
          <w:left w:w="28" w:type="dxa"/>
          <w:bottom w:w="28" w:type="dxa"/>
          <w:right w:w="28" w:type="dxa"/>
        </w:tblCellMar>
      </w:tblPr>
      <w:tblGrid>
        <w:gridCol w:w="1873"/>
        <w:gridCol w:w="1648"/>
        <w:gridCol w:w="1653"/>
        <w:gridCol w:w="724"/>
        <w:gridCol w:w="724"/>
        <w:gridCol w:w="1026"/>
      </w:tblGrid>
      <w:tr>
        <w:trPr/>
        <w:tc>
          <w:tcPr>
            <w:tcW w:w="187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Senior Secured First    Lien Net Leverage Ratio</w:t>
            </w:r>
          </w:p>
        </w:tc>
        <w:tc>
          <w:tcPr>
            <w:tcW w:w="2474" w:type="dxa"/>
            <w:gridSpan w:val="3"/>
            <w:tcBorders>
              <w:top w:val="single" w:sz="16" w:space="0" w:color="000000"/>
              <w:left w:val="single" w:sz="8" w:space="0" w:color="010101"/>
              <w:right w:val="single" w:sz="16" w:space="0" w:color="000000"/>
            </w:tcBorders>
            <w:shd w:fill="DFDFDF" w:val="clear"/>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Commitment Fee Percentage</w:t>
            </w:r>
          </w:p>
        </w:tc>
      </w:tr>
      <w:tr>
        <w:trPr/>
        <w:tc>
          <w:tcPr>
            <w:tcW w:w="5174" w:type="dxa"/>
            <w:gridSpan w:val="3"/>
            <w:tcBorders>
              <w:top w:val="single" w:sz="16" w:space="0" w:color="010101"/>
              <w:left w:val="single" w:sz="16" w:space="0" w:color="000000"/>
            </w:tcBorders>
            <w:tcMar>
              <w:top w:w="30" w:type="dxa"/>
              <w:bottom w:w="0" w:type="dxa"/>
              <w:right w:w="0" w:type="dxa"/>
            </w:tcMar>
            <w:vAlign w:val="center"/>
          </w:tcPr>
          <w:p>
            <w:pPr>
              <w:pStyle w:val="TableContents"/>
              <w:bidi w:val="0"/>
              <w:spacing w:lineRule="atLeast" w:line="227"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Category 1</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5.00 to 1.00</w:t>
            </w:r>
          </w:p>
        </w:tc>
        <w:tc>
          <w:tcPr>
            <w:tcW w:w="2474" w:type="dxa"/>
            <w:gridSpan w:val="3"/>
            <w:tcBorders>
              <w:top w:val="single" w:sz="16" w:space="0" w:color="010101"/>
              <w:left w:val="single" w:sz="8" w:space="0" w:color="010101"/>
              <w:right w:val="single" w:sz="16" w:space="0" w:color="000000"/>
            </w:tcBorders>
            <w:tcMar>
              <w:top w:w="30" w:type="dxa"/>
              <w:bottom w:w="0" w:type="dxa"/>
            </w:tcMar>
            <w:vAlign w:val="center"/>
          </w:tcPr>
          <w:p>
            <w:pPr>
              <w:pStyle w:val="TableContents"/>
              <w:bidi w:val="0"/>
              <w:spacing w:lineRule="atLeast" w:line="22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0.500%</w:t>
            </w:r>
          </w:p>
        </w:tc>
      </w:tr>
      <w:tr>
        <w:trPr/>
        <w:tc>
          <w:tcPr>
            <w:tcW w:w="5174" w:type="dxa"/>
            <w:gridSpan w:val="3"/>
            <w:tcBorders>
              <w:top w:val="single" w:sz="8" w:space="0" w:color="010101"/>
              <w:left w:val="single" w:sz="16"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Category 2</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4.50 to 1.00, but less than or equal to 5.00 to 1.00</w:t>
            </w:r>
          </w:p>
        </w:tc>
        <w:tc>
          <w:tcPr>
            <w:tcW w:w="2474" w:type="dxa"/>
            <w:gridSpan w:val="3"/>
            <w:tcBorders>
              <w:top w:val="single" w:sz="8" w:space="0" w:color="010101"/>
              <w:left w:val="single" w:sz="8" w:space="0" w:color="010101"/>
              <w:right w:val="single" w:sz="16" w:space="0" w:color="000000"/>
            </w:tcBorders>
            <w:tcMar>
              <w:top w:w="30" w:type="dxa"/>
              <w:left w:w="9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0.375%</w:t>
            </w:r>
          </w:p>
        </w:tc>
      </w:tr>
      <w:tr>
        <w:trPr/>
        <w:tc>
          <w:tcPr>
            <w:tcW w:w="5174" w:type="dxa"/>
            <w:gridSpan w:val="3"/>
            <w:tcBorders>
              <w:top w:val="single" w:sz="8" w:space="0" w:color="010101"/>
              <w:left w:val="single" w:sz="16" w:space="0" w:color="000000"/>
              <w:bottom w:val="single" w:sz="16" w:space="0" w:color="000000"/>
            </w:tcBorders>
            <w:tcMar>
              <w:top w:w="3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Category 3</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4.50 to 1.00</w:t>
            </w:r>
          </w:p>
        </w:tc>
        <w:tc>
          <w:tcPr>
            <w:tcW w:w="2474" w:type="dxa"/>
            <w:gridSpan w:val="3"/>
            <w:tcBorders>
              <w:top w:val="single" w:sz="8" w:space="0" w:color="010101"/>
              <w:left w:val="single" w:sz="8" w:space="0" w:color="010101"/>
              <w:bottom w:val="single" w:sz="16" w:space="0" w:color="000000"/>
              <w:right w:val="single" w:sz="16" w:space="0" w:color="000000"/>
            </w:tcBorders>
            <w:tcMar>
              <w:top w:w="30" w:type="dxa"/>
              <w:left w:w="93"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0.250%</w:t>
            </w:r>
          </w:p>
        </w:tc>
      </w:tr>
    </w:tbl>
    <w:p>
      <w:pPr>
        <w:pStyle w:val="TextBody"/>
        <w:bidi w:val="0"/>
        <w:spacing w:lineRule="auto" w:line="288" w:before="219" w:after="283"/>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the foregoing, each change in the Commitment Fee Percentage resulting from a change in the Senior Secured First Lien Net Leverage Ratio shall be effective during the period commencing on and including the Business Day following the date of delivery to the First Lien Administrative Agent pursuant to Section 5.01(a) or 5.01(b) of the consolidated financial statements and related Compliance Certificate indicating such change and ending on the date immediately preceding the effective date of the next such change. Notwithstanding the foregoing, the Commitment Fee Percentage, at the option of the First Lien Administrative Agent or the Required Revolving Lenders, commencing upon written notice to the Borrower, shall be based on the rates per annum set forth in Category 1 (i) at any time that an Event of Default under Section 7.01(a) has occurred and is continuing and shall continue to so apply to but excluding the date on which such Event of Default shall cease to be continuing (and thereafter, the Category otherwise determined in accordance with this definition shall apply) or (ii)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pStyle w:val="TextBody"/>
        <w:bidi w:val="0"/>
        <w:spacing w:before="15" w:after="283"/>
        <w:jc w:val="left"/>
        <w:rPr/>
      </w:pPr>
      <w:r>
        <w:rPr/>
      </w:r>
    </w:p>
    <w:p>
      <w:pPr>
        <w:pStyle w:val="TextBody"/>
        <w:bidi w:val="0"/>
        <w:spacing w:lineRule="auto" w:line="288" w:before="0" w:after="0"/>
        <w:ind w:left="0" w:right="0" w:firstLine="1523"/>
        <w:jc w:val="left"/>
        <w:rPr/>
      </w:pPr>
      <w:r>
        <w:rPr>
          <w:color w:val="000000"/>
        </w:rPr>
        <w:t>“</w:t>
      </w:r>
      <w:r>
        <w:rPr>
          <w:rFonts w:ascii="Times New Roman;sans-serif" w:hAnsi="Times New Roman;sans-serif"/>
          <w:b w:val="false"/>
          <w:color w:val="000000"/>
          <w:sz w:val="20"/>
          <w:u w:val="single"/>
        </w:rPr>
        <w:t>Commodity Exchange Act</w:t>
      </w:r>
      <w:r>
        <w:rPr>
          <w:color w:val="000000"/>
        </w:rPr>
        <w:t xml:space="preserve">” </w:t>
      </w:r>
      <w:r>
        <w:rPr>
          <w:rFonts w:ascii="Times New Roman;sans-serif" w:hAnsi="Times New Roman;sans-serif"/>
          <w:b w:val="false"/>
          <w:color w:val="000000"/>
          <w:sz w:val="20"/>
        </w:rPr>
        <w:t xml:space="preserve">means the Commodity Exchange Act (7 U.S.C. § 1 </w:t>
      </w:r>
      <w:r>
        <w:rPr>
          <w:rFonts w:ascii="Times New Roman;sans-serif" w:hAnsi="Times New Roman;sans-serif"/>
          <w:b w:val="false"/>
          <w:color w:val="000000"/>
          <w:sz w:val="20"/>
          <w:u w:val="single"/>
        </w:rPr>
        <w:t>et</w:t>
      </w:r>
      <w:r>
        <w:rPr>
          <w:color w:val="000000"/>
        </w:rPr>
        <w:t xml:space="preserve"> </w:t>
      </w:r>
      <w:r>
        <w:rPr>
          <w:rFonts w:ascii="Times New Roman;sans-serif" w:hAnsi="Times New Roman;sans-serif"/>
          <w:b w:val="false"/>
          <w:color w:val="000000"/>
          <w:sz w:val="20"/>
          <w:u w:val="single"/>
        </w:rPr>
        <w:t>seq</w:t>
      </w:r>
      <w:r>
        <w:rPr>
          <w:rFonts w:ascii="Times New Roman;sans-serif" w:hAnsi="Times New Roman;sans-serif"/>
          <w:b w:val="false"/>
          <w:color w:val="000000"/>
          <w:sz w:val="20"/>
        </w:rPr>
        <w:t>.), as amended from time to time, and any successor statute.</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Compliance Certificate</w:t>
      </w:r>
      <w:r>
        <w:rPr>
          <w:color w:val="000000"/>
        </w:rPr>
        <w:t xml:space="preserve">” </w:t>
      </w:r>
      <w:r>
        <w:rPr>
          <w:rFonts w:ascii="Times New Roman;sans-serif" w:hAnsi="Times New Roman;sans-serif"/>
          <w:b w:val="false"/>
          <w:color w:val="000000"/>
          <w:sz w:val="20"/>
        </w:rPr>
        <w:t>means the certificate required to be delivered pursuant to Section</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5.01(d).</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Consenting Issuing Bank</w:t>
      </w:r>
      <w:r>
        <w:rPr>
          <w:color w:val="000000"/>
        </w:rPr>
        <w:t xml:space="preserve">” </w:t>
      </w:r>
      <w:r>
        <w:rPr>
          <w:rFonts w:ascii="Times New Roman;sans-serif" w:hAnsi="Times New Roman;sans-serif"/>
          <w:b w:val="false"/>
          <w:color w:val="000000"/>
          <w:sz w:val="20"/>
        </w:rPr>
        <w:t>means each Issuing Bank that has consented and agreed to the Transactions set forth in the Revolving Facilities Amendment by delivering an executed counterpart thereof to the First Lien Administrative Agent on or prior to March 26, 2021.</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Consolidated EBITDA</w:t>
      </w:r>
      <w:r>
        <w:rPr>
          <w:color w:val="000000"/>
        </w:rPr>
        <w:t xml:space="preserve">” </w:t>
      </w:r>
      <w:r>
        <w:rPr>
          <w:rFonts w:ascii="Times New Roman;sans-serif" w:hAnsi="Times New Roman;sans-serif"/>
          <w:b w:val="false"/>
          <w:color w:val="000000"/>
          <w:sz w:val="20"/>
        </w:rPr>
        <w:t xml:space="preserve">means, for any period, Consolidated Net Income for such period, </w:t>
      </w:r>
      <w:r>
        <w:rPr>
          <w:rFonts w:ascii="Times New Roman;sans-serif" w:hAnsi="Times New Roman;sans-serif"/>
          <w:b w:val="false"/>
          <w:color w:val="000000"/>
          <w:sz w:val="20"/>
          <w:u w:val="single"/>
        </w:rPr>
        <w:t>plus</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(a)without duplication and to the extent already deducted (and not added back) in arriving at such Consolidated Net Income, the sum of the following amounts for such period:</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(i)total interest expense and, to the extent not reflected in such total interest expense, the sum of (A) premium payments, debt discount, fees, charges and related expenses incurred in connection with borrowed money (including capitalized interest) or in connection with the deferred purchase price of assets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(B) the portion of rent expense with respect to such period under Capitalized Leases that is treated as interest expense in accordance with GAAP </w:t>
      </w:r>
      <w:r>
        <w:rPr>
          <w:rFonts w:ascii="Times New Roman;sans-serif" w:hAnsi="Times New Roman;sans-serif"/>
          <w:b w:val="false"/>
          <w:color w:val="000000"/>
          <w:sz w:val="20"/>
          <w:u w:val="single"/>
        </w:rPr>
        <w:t>plus</w:t>
      </w:r>
    </w:p>
    <w:p>
      <w:pPr>
        <w:pStyle w:val="TextBody"/>
        <w:bidi w:val="0"/>
        <w:spacing w:lineRule="auto" w:line="288" w:before="2" w:after="283"/>
        <w:jc w:val="both"/>
        <w:rPr/>
      </w:pPr>
      <w:r>
        <w:rPr>
          <w:rFonts w:ascii="Times New Roman;sans-serif" w:hAnsi="Times New Roman;sans-serif"/>
          <w:b w:val="false"/>
          <w:color w:val="000000"/>
          <w:sz w:val="20"/>
        </w:rPr>
        <w:t xml:space="preserve">(C) the implied interest component of synthetic leases with respect to such period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(D) any losses on hedging obligations or other derivative instruments entered into for the purpose of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1155"/>
                <wp:effectExtent l="0" t="0" r="0" b="0"/>
                <wp:wrapNone/>
                <wp:docPr id="95" name="Frame9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 w:after="283"/>
        <w:jc w:val="both"/>
        <w:rPr/>
      </w:pPr>
      <w:r>
        <w:rPr>
          <w:rFonts w:ascii="Times New Roman;sans-serif" w:hAnsi="Times New Roman;sans-serif"/>
          <w:b w:val="false"/>
          <w:color w:val="000000"/>
          <w:sz w:val="20"/>
        </w:rPr>
        <w:t xml:space="preserve">hedging interest rate risk, net of interest income and gains on such hedging obligations or such derivative instruments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(E) bank and letter of credit fees and costs of surety bonds in connection with financing activities,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(F) any commissions, discounts, yield and other fees and charges (including any interest expense) related to any Qualified Securitization Facility;</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(ii)provision for taxes based on income, profits or capital and sales taxes, including federal, provincial, territorial, foreign, state, local, franchise, excise, and similar taxes and foreign withholding taxes paid or accrued during such period (including in respect of repatriated funds) including penalties and interest related to such taxes or arising from any tax examinations (including, without limitation, any additions to such taxes, and any penalties and interest with respect thereto);</w:t>
      </w:r>
    </w:p>
    <w:p>
      <w:pPr>
        <w:pStyle w:val="TextBody"/>
        <w:bidi w:val="0"/>
        <w:spacing w:before="13" w:after="283"/>
        <w:jc w:val="left"/>
        <w:rPr/>
      </w:pPr>
      <w:r>
        <w:rPr/>
      </w:r>
    </w:p>
    <w:p>
      <w:pPr>
        <w:pStyle w:val="TextBody"/>
        <w:bidi w:val="0"/>
        <w:spacing w:lineRule="auto" w:line="288" w:before="0" w:after="0"/>
        <w:ind w:left="0" w:right="0" w:hanging="718"/>
        <w:jc w:val="left"/>
        <w:rPr>
          <w:rFonts w:ascii="Times New Roman;sans-serif" w:hAnsi="Times New Roman;sans-serif"/>
          <w:b w:val="false"/>
          <w:color w:val="000000"/>
          <w:sz w:val="20"/>
        </w:rPr>
      </w:pPr>
      <w:r>
        <w:rPr>
          <w:rFonts w:ascii="Times New Roman;sans-serif" w:hAnsi="Times New Roman;sans-serif"/>
          <w:b w:val="false"/>
          <w:color w:val="000000"/>
          <w:sz w:val="20"/>
        </w:rPr>
        <w:t>(iii)Non-Cash Charges;</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(iv)operating expenses incurred on or prior to the Effective Date attributable to (A) salary obligations paid to employees terminated prior to the Effective Date and (B) wages paid to executives in excess of the amounts the Borrower and its Subsidiaries are required to pay pursuant to any employment agreements;</w:t>
      </w:r>
    </w:p>
    <w:p>
      <w:pPr>
        <w:pStyle w:val="TextBody"/>
        <w:bidi w:val="0"/>
        <w:spacing w:before="12" w:after="283"/>
        <w:jc w:val="left"/>
        <w:rPr/>
      </w:pPr>
      <w:r>
        <w:rPr/>
      </w:r>
    </w:p>
    <w:p>
      <w:pPr>
        <w:pStyle w:val="TextBody"/>
        <w:bidi w:val="0"/>
        <w:spacing w:lineRule="auto" w:line="288" w:before="0" w:after="0"/>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(v)extraordinary losses or charges;</w:t>
      </w:r>
    </w:p>
    <w:p>
      <w:pPr>
        <w:pStyle w:val="TextBody"/>
        <w:bidi w:val="0"/>
        <w:spacing w:before="10" w:after="283"/>
        <w:jc w:val="left"/>
        <w:rPr/>
      </w:pPr>
      <w:r>
        <w:rPr/>
      </w:r>
    </w:p>
    <w:p>
      <w:pPr>
        <w:pStyle w:val="TextBody"/>
        <w:bidi w:val="0"/>
        <w:spacing w:lineRule="auto" w:line="288" w:before="1" w:after="283"/>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(vi)[Reserved];</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(vii)restructuring charges, accruals or reserves (including restructuring and integration costs related to acquisitions and adjustments to existing reserves), whether or not classified as restructuring expense on the consolidated financial statements;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(viii)the amount of any non-controlling interest consisting of income attributable to non-controlling interests of third parties in any Non-Wholly Owned Subsidiary deducted (and not added back in such period) in calculating Consolidated Net Income;</w:t>
      </w:r>
    </w:p>
    <w:p>
      <w:pPr>
        <w:pStyle w:val="TextBody"/>
        <w:bidi w:val="0"/>
        <w:spacing w:before="11"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(ix)(A) the amount of board of directors, management, monitoring, consulting and advisory fees, indemnities and related expenses paid or accrued in such period (including any termination fees payable in connection with the early termination of management and monitoring agreements) and (B) the amount of expenses relating to payments made to option holders of the Borrower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First Lien Loan Documents;</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(x)losses on asset sales, disposals or abandonments (other than asset sales, disposals or abandonments in the ordinary course of business);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(xi)losses, expenses or charges (including all fees and expenses or charges relating thereto) (A) from abandoned, closed, disposed or discontinued operations and any losses on disposal of abandoned, closed or discontinued operations and (B) attributable to business dispositions or asset dispositions (other than in the ordinary course of business) as determined in good faith by a Financial Officer;</w:t>
      </w:r>
    </w:p>
    <w:p>
      <w:pPr>
        <w:pStyle w:val="TextBody"/>
        <w:bidi w:val="0"/>
        <w:spacing w:before="12" w:after="283"/>
        <w:jc w:val="left"/>
        <w:rPr/>
      </w:pPr>
      <w:r>
        <w:rPr/>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(xii)any non-cash loss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loss has not been realized);</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1155"/>
                <wp:effectExtent l="0" t="0" r="0" b="0"/>
                <wp:wrapNone/>
                <wp:docPr id="96" name="Frame9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(xiii)any loss relating to amounts paid in cash prior to the stated settlement date of any hedging obligation that has been reflected in Consolidated Net Income for such period;</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(xiv)any gain relating to hedging obligations associated with transactions realized in the current period that has been reflected in Consolidated Net Income in prior periods and excluded from Consolidated EBITDA pursuant to clauses (c)(iv) and (c)(v) below;</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(xv)any costs or expenses incurred by Holdings, the Borrower or any Restricted Subsidiary pursuant to any management equity plan or stock option plan or any other management or employee benefit plan or agreement, any severance agreement or any stock subscription or shareholder agreement, to the extent that such costs or expenses are non-cash or otherwise funded with cash proceeds contributed to the capital of Holdings or Net Proceeds of an issuance of Equity Interests of Holdings (other than Disqualified Equity Interests);</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(xvi)any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pStyle w:val="TextBody"/>
        <w:bidi w:val="0"/>
        <w:spacing w:before="12" w:after="283"/>
        <w:jc w:val="left"/>
        <w:rPr/>
      </w:pPr>
      <w:r>
        <w:rPr/>
      </w:r>
    </w:p>
    <w:p>
      <w:pPr>
        <w:pStyle w:val="TextBody"/>
        <w:bidi w:val="0"/>
        <w:spacing w:lineRule="auto" w:line="288" w:before="0" w:after="0"/>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(xvii)any other add-backs and adjustments specified in the Model;</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(xviii)adjustments, exclusions and add-backs consistent with Regulation S-X or contained in a quality of earnings report in connection with a Permitted Acquisition or Investment made available to the First Lien Administrative Agent conducted by financial advisors (which are either nationally recognized or reasonably acceptable to the First Lien Administrative Agent (it being understood and agreed that any of the “Big Four” accounting firms are acceptable))</w:t>
      </w:r>
    </w:p>
    <w:p>
      <w:pPr>
        <w:pStyle w:val="TextBody"/>
        <w:bidi w:val="0"/>
        <w:spacing w:before="12" w:after="283"/>
        <w:jc w:val="left"/>
        <w:rPr/>
      </w:pPr>
      <w:r>
        <w:rPr/>
      </w:r>
    </w:p>
    <w:p>
      <w:pPr>
        <w:pStyle w:val="TextBody"/>
        <w:bidi w:val="0"/>
        <w:spacing w:lineRule="auto" w:line="288" w:before="1" w:after="283"/>
        <w:ind w:left="0" w:right="0" w:firstLine="769"/>
        <w:jc w:val="both"/>
        <w:rPr>
          <w:rFonts w:ascii="Times New Roman;sans-serif" w:hAnsi="Times New Roman;sans-serif"/>
          <w:b w:val="false"/>
          <w:color w:val="000000"/>
          <w:sz w:val="20"/>
        </w:rPr>
      </w:pPr>
      <w:r>
        <w:rPr>
          <w:rFonts w:ascii="Times New Roman;sans-serif" w:hAnsi="Times New Roman;sans-serif"/>
          <w:b w:val="false"/>
          <w:color w:val="000000"/>
          <w:sz w:val="20"/>
        </w:rPr>
        <w:t>(xix)the amount of losses on Dispositions of accounts receivable, Securitization Assets and related assets incurred in connection with a Qualified Securitization Facility;</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(xx)charges, losses, lost profits, expenses (including litigation expenses, fees and charges) or write-offs to the extent indemnified or insured by a third party, including expenses or losses covered by indemnification provisions or by any insurance provider in connection with the Transactions, a Permitted Acquisition or any other acquisition or Investment, disposition or any Casualty Event, in each case, to the extent that coverage has not been denied and so long as such amounts are actually reimbursed in cash within one year after the related amount is first added to Consolidated EBITDA pursuant to this clause (xix) (and if not so reimbursed within one year, such amount shall be deducted from Consolidated EBITDA for the first fiscal quarter ending after the end of such year); and</w:t>
      </w:r>
    </w:p>
    <w:p>
      <w:pPr>
        <w:pStyle w:val="TextBody"/>
        <w:bidi w:val="0"/>
        <w:spacing w:before="14" w:after="283"/>
        <w:jc w:val="left"/>
        <w:rPr/>
      </w:pPr>
      <w:r>
        <w:rPr/>
      </w:r>
    </w:p>
    <w:p>
      <w:pPr>
        <w:pStyle w:val="TextBody"/>
        <w:bidi w:val="0"/>
        <w:spacing w:lineRule="auto" w:line="568" w:before="0" w:after="0"/>
        <w:ind w:left="0" w:right="0" w:firstLine="49"/>
        <w:jc w:val="left"/>
        <w:rPr/>
      </w:pPr>
      <w:r>
        <w:rPr>
          <w:rFonts w:ascii="Times New Roman;sans-serif" w:hAnsi="Times New Roman;sans-serif"/>
          <w:b w:val="false"/>
          <w:color w:val="000000"/>
          <w:sz w:val="20"/>
        </w:rPr>
        <w:t xml:space="preserve">(xxi)Public Company Costs; </w:t>
      </w:r>
      <w:r>
        <w:rPr>
          <w:rFonts w:ascii="Times New Roman;sans-serif" w:hAnsi="Times New Roman;sans-serif"/>
          <w:b w:val="false"/>
          <w:color w:val="000000"/>
          <w:sz w:val="20"/>
          <w:u w:val="single"/>
        </w:rPr>
        <w:t>plus</w:t>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(b)without duplication, (i) the amount of “run rate” cost savings, operating expense reductions, other operating improvements and synergies related to any Specified Transaction, the Transactions, any restructuring, cost saving initiative or other initiative projected by the Borrower in good faith to be realized as a result of actions taken, committed to be taken or planned to be taken, in each case on or prior to the date that is 24 months after the end of the relevant Test Period (including actions initiated prior to the Effective Date) (which cost savings, operating expense reductions, other operating improvements and synergies shall be added to Consolidated EBITDA until fully realized and calculated on a pro forma basis as though such cost savings, operating expense reductions, other operating improvements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1155"/>
                <wp:effectExtent l="0" t="0" r="0" b="0"/>
                <wp:wrapNone/>
                <wp:docPr id="97" name="Frame9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both"/>
        <w:rPr/>
      </w:pPr>
      <w:r>
        <w:rPr>
          <w:rFonts w:ascii="Times New Roman;sans-serif" w:hAnsi="Times New Roman;sans-serif"/>
          <w:b w:val="false"/>
          <w:color w:val="000000"/>
          <w:sz w:val="20"/>
        </w:rPr>
        <w:t xml:space="preserve">and synergies had been realized on the first day of the relevant period), net of the amount of actual benefits realized from such actions;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 such cost savings, operating expense reductions, other operating improvements and synergies are reasonably identifiable and quantifiable and (B) no cost savings, operating expense reductions, other operating improvements or synergies shall be added pursuant to this clause (b) to the extent duplicative of any expenses or charges relating to such cost savings, operating expense reductions, other operating improvements or synergies that are included in clauses (a)(vi) and (a)(vii) above or in the definition of “Pro Forma Adjustment” (it being understood and agreed that “run rate” shall mean the full recurring benefit that is associated with any action taken);</w:t>
      </w:r>
    </w:p>
    <w:p>
      <w:pPr>
        <w:pStyle w:val="TextBody"/>
        <w:bidi w:val="0"/>
        <w:spacing w:before="13" w:after="283"/>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less</w:t>
      </w:r>
    </w:p>
    <w:p>
      <w:pPr>
        <w:pStyle w:val="TextBody"/>
        <w:bidi w:val="0"/>
        <w:spacing w:before="10" w:after="283"/>
        <w:jc w:val="left"/>
        <w:rPr/>
      </w:pPr>
      <w:r>
        <w:rPr/>
      </w:r>
    </w:p>
    <w:p>
      <w:pPr>
        <w:pStyle w:val="TextBody"/>
        <w:bidi w:val="0"/>
        <w:spacing w:lineRule="auto" w:line="288" w:before="1"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(c)without duplication and to the extent included in arriving at such Consolidated Net Income, the sum of the following amounts for such period:</w:t>
      </w:r>
    </w:p>
    <w:p>
      <w:pPr>
        <w:pStyle w:val="TextBody"/>
        <w:bidi w:val="0"/>
        <w:spacing w:before="10" w:after="283"/>
        <w:jc w:val="left"/>
        <w:rPr/>
      </w:pPr>
      <w:r>
        <w:rPr/>
      </w:r>
    </w:p>
    <w:p>
      <w:pPr>
        <w:pStyle w:val="TextBody"/>
        <w:bidi w:val="0"/>
        <w:spacing w:lineRule="auto" w:line="288" w:before="0" w:after="0"/>
        <w:ind w:left="0" w:right="0" w:firstLine="890"/>
        <w:jc w:val="both"/>
        <w:rPr>
          <w:rFonts w:ascii="Times New Roman;sans-serif" w:hAnsi="Times New Roman;sans-serif"/>
          <w:b w:val="false"/>
          <w:color w:val="000000"/>
          <w:sz w:val="20"/>
        </w:rPr>
      </w:pPr>
      <w:r>
        <w:rPr>
          <w:rFonts w:ascii="Times New Roman;sans-serif" w:hAnsi="Times New Roman;sans-serif"/>
          <w:b w:val="false"/>
          <w:color w:val="000000"/>
          <w:sz w:val="20"/>
        </w:rPr>
        <w:t>(i)extraordinary gains and unusual or non-recurring gains (other than gains arising from the receipt of business interruption insurance proceeds);</w:t>
      </w:r>
    </w:p>
    <w:p>
      <w:pPr>
        <w:pStyle w:val="TextBody"/>
        <w:bidi w:val="0"/>
        <w:spacing w:before="11" w:after="283"/>
        <w:jc w:val="left"/>
        <w:rPr/>
      </w:pPr>
      <w:r>
        <w:rPr/>
      </w:r>
    </w:p>
    <w:p>
      <w:pPr>
        <w:pStyle w:val="TextBody"/>
        <w:bidi w:val="0"/>
        <w:spacing w:lineRule="auto" w:line="288" w:before="0" w:after="0"/>
        <w:ind w:left="0" w:right="0" w:firstLine="835"/>
        <w:jc w:val="both"/>
        <w:rPr>
          <w:rFonts w:ascii="Times New Roman;sans-serif" w:hAnsi="Times New Roman;sans-serif"/>
          <w:b w:val="false"/>
          <w:color w:val="000000"/>
          <w:sz w:val="20"/>
        </w:rPr>
      </w:pPr>
      <w:r>
        <w:rPr>
          <w:rFonts w:ascii="Times New Roman;sans-serif" w:hAnsi="Times New Roman;sans-serif"/>
          <w:b w:val="false"/>
          <w:color w:val="000000"/>
          <w:sz w:val="20"/>
        </w:rPr>
        <w:t>(ii)non-cash gains (excluding any non-cash gain to the extent it represents the reversal of an accrual or reserve for a potential cash item that reduced Consolidated Net Income or Consolidated EBITDA in any prior period);</w:t>
      </w:r>
    </w:p>
    <w:p>
      <w:pPr>
        <w:pStyle w:val="TextBody"/>
        <w:bidi w:val="0"/>
        <w:spacing w:before="11" w:after="283"/>
        <w:jc w:val="left"/>
        <w:rPr/>
      </w:pPr>
      <w:r>
        <w:rPr/>
      </w:r>
    </w:p>
    <w:p>
      <w:pPr>
        <w:pStyle w:val="TextBody"/>
        <w:bidi w:val="0"/>
        <w:spacing w:lineRule="auto" w:line="288" w:before="1" w:after="283"/>
        <w:ind w:left="0" w:right="0" w:firstLine="780"/>
        <w:jc w:val="both"/>
        <w:rPr>
          <w:rFonts w:ascii="Times New Roman;sans-serif" w:hAnsi="Times New Roman;sans-serif"/>
          <w:b w:val="false"/>
          <w:color w:val="000000"/>
          <w:sz w:val="20"/>
        </w:rPr>
      </w:pPr>
      <w:r>
        <w:rPr>
          <w:rFonts w:ascii="Times New Roman;sans-serif" w:hAnsi="Times New Roman;sans-serif"/>
          <w:b w:val="false"/>
          <w:color w:val="000000"/>
          <w:sz w:val="20"/>
        </w:rPr>
        <w:t>(iii)gains on asset sales, disposals or abandonments (other than asset sales, disposals or abandonments in the ordinary course of business);</w:t>
      </w:r>
    </w:p>
    <w:p>
      <w:pPr>
        <w:pStyle w:val="TextBody"/>
        <w:bidi w:val="0"/>
        <w:spacing w:before="10" w:after="283"/>
        <w:jc w:val="left"/>
        <w:rPr/>
      </w:pPr>
      <w:r>
        <w:rPr/>
      </w:r>
    </w:p>
    <w:p>
      <w:pPr>
        <w:pStyle w:val="TextBody"/>
        <w:bidi w:val="0"/>
        <w:spacing w:lineRule="auto" w:line="288" w:before="0" w:after="0"/>
        <w:ind w:left="0" w:right="0" w:firstLine="792"/>
        <w:jc w:val="both"/>
        <w:rPr>
          <w:rFonts w:ascii="Times New Roman;sans-serif" w:hAnsi="Times New Roman;sans-serif"/>
          <w:b w:val="false"/>
          <w:color w:val="000000"/>
          <w:sz w:val="20"/>
        </w:rPr>
      </w:pPr>
      <w:r>
        <w:rPr>
          <w:rFonts w:ascii="Times New Roman;sans-serif" w:hAnsi="Times New Roman;sans-serif"/>
          <w:b w:val="false"/>
          <w:color w:val="000000"/>
          <w:sz w:val="20"/>
        </w:rPr>
        <w:t>(iv)any non-cash gain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gain has not been realized);</w:t>
      </w:r>
    </w:p>
    <w:p>
      <w:pPr>
        <w:pStyle w:val="TextBody"/>
        <w:bidi w:val="0"/>
        <w:spacing w:before="12" w:after="283"/>
        <w:jc w:val="left"/>
        <w:rPr/>
      </w:pPr>
      <w:r>
        <w:rPr/>
      </w:r>
    </w:p>
    <w:p>
      <w:pPr>
        <w:pStyle w:val="TextBody"/>
        <w:bidi w:val="0"/>
        <w:spacing w:lineRule="auto" w:line="288" w:before="0" w:after="0"/>
        <w:ind w:left="0" w:right="0" w:firstLine="847"/>
        <w:jc w:val="both"/>
        <w:rPr>
          <w:rFonts w:ascii="Times New Roman;sans-serif" w:hAnsi="Times New Roman;sans-serif"/>
          <w:b w:val="false"/>
          <w:color w:val="000000"/>
          <w:sz w:val="20"/>
        </w:rPr>
      </w:pPr>
      <w:r>
        <w:rPr>
          <w:rFonts w:ascii="Times New Roman;sans-serif" w:hAnsi="Times New Roman;sans-serif"/>
          <w:b w:val="false"/>
          <w:color w:val="000000"/>
          <w:sz w:val="20"/>
        </w:rPr>
        <w:t>(v)any gain relating to amounts received in cash prior to the stated settlement date of any hedging obligation that has been reflected in Consolidated Net Income in such period;</w:t>
      </w:r>
    </w:p>
    <w:p>
      <w:pPr>
        <w:pStyle w:val="TextBody"/>
        <w:bidi w:val="0"/>
        <w:spacing w:before="11" w:after="283"/>
        <w:jc w:val="left"/>
        <w:rPr/>
      </w:pPr>
      <w:r>
        <w:rPr/>
      </w:r>
    </w:p>
    <w:p>
      <w:pPr>
        <w:pStyle w:val="TextBody"/>
        <w:bidi w:val="0"/>
        <w:spacing w:lineRule="auto" w:line="288" w:before="0" w:after="0"/>
        <w:ind w:left="0" w:right="0" w:firstLine="792"/>
        <w:jc w:val="both"/>
        <w:rPr>
          <w:rFonts w:ascii="Times New Roman;sans-serif" w:hAnsi="Times New Roman;sans-serif"/>
          <w:b w:val="false"/>
          <w:color w:val="000000"/>
          <w:sz w:val="20"/>
        </w:rPr>
      </w:pPr>
      <w:r>
        <w:rPr>
          <w:rFonts w:ascii="Times New Roman;sans-serif" w:hAnsi="Times New Roman;sans-serif"/>
          <w:b w:val="false"/>
          <w:color w:val="000000"/>
          <w:sz w:val="20"/>
        </w:rPr>
        <w:t>(vi)any loss relating to hedging obligations associated with transactions realized in the current period that has been reflected in Consolidated Net Income in prior periods and excluded from Consolidated EBITDA pursuant to clauses (a)(xii) and (a)(xiii) above; and</w:t>
      </w:r>
    </w:p>
    <w:p>
      <w:pPr>
        <w:pStyle w:val="TextBody"/>
        <w:bidi w:val="0"/>
        <w:spacing w:before="11" w:after="283"/>
        <w:jc w:val="left"/>
        <w:rPr/>
      </w:pPr>
      <w:r>
        <w:rPr/>
      </w:r>
    </w:p>
    <w:p>
      <w:pPr>
        <w:pStyle w:val="TextBody"/>
        <w:bidi w:val="0"/>
        <w:spacing w:lineRule="auto" w:line="288" w:before="0" w:after="0"/>
        <w:ind w:left="0" w:right="0" w:firstLine="736"/>
        <w:jc w:val="both"/>
        <w:rPr/>
      </w:pPr>
      <w:r>
        <w:rPr>
          <w:rFonts w:ascii="Times New Roman;sans-serif" w:hAnsi="Times New Roman;sans-serif"/>
          <w:b w:val="false"/>
          <w:color w:val="000000"/>
          <w:sz w:val="20"/>
        </w:rPr>
        <w:t xml:space="preserve">(vii)the amount of any non-controlling interest consisting of loss attributable to non-controlling interests of third parties in any Non-Wholly Owned Subsidiary added (and not deducted in such period) to Consolidated Net Income; </w:t>
      </w:r>
      <w:r>
        <w:rPr>
          <w:rFonts w:ascii="Times New Roman;sans-serif" w:hAnsi="Times New Roman;sans-serif"/>
          <w:b w:val="false"/>
          <w:color w:val="000000"/>
          <w:sz w:val="20"/>
          <w:u w:val="single"/>
        </w:rPr>
        <w:t>plus</w:t>
      </w:r>
    </w:p>
    <w:p>
      <w:pPr>
        <w:pStyle w:val="TextBody"/>
        <w:bidi w:val="0"/>
        <w:spacing w:before="11"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000000"/>
          <w:sz w:val="20"/>
        </w:rPr>
        <w:t xml:space="preserve">(d)any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clause (c) if it were income of the Borrower or any of its Restricted Subsidiaries; </w:t>
      </w:r>
      <w:r>
        <w:rPr>
          <w:rFonts w:ascii="Times New Roman;sans-serif" w:hAnsi="Times New Roman;sans-serif"/>
          <w:b w:val="false"/>
          <w:color w:val="000000"/>
          <w:sz w:val="20"/>
          <w:u w:val="single"/>
        </w:rPr>
        <w:t xml:space="preserve">minus </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(e)any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clauses (a) and (b) above if it were a loss of the Borrower or any of its Restricted Subsidiaries; </w:t>
      </w:r>
      <w:r>
        <w:rPr>
          <w:rFonts w:ascii="Times New Roman;sans-serif" w:hAnsi="Times New Roman;sans-serif"/>
          <w:b w:val="false"/>
          <w:color w:val="000000"/>
          <w:sz w:val="20"/>
          <w:u w:val="single"/>
        </w:rPr>
        <w:t>plus</w:t>
      </w:r>
    </w:p>
    <w:p>
      <w:pPr>
        <w:pStyle w:val="TextBody"/>
        <w:bidi w:val="0"/>
        <w:spacing w:before="12" w:after="283"/>
        <w:jc w:val="left"/>
        <w:rPr/>
      </w:pPr>
      <w:r>
        <w:rPr/>
      </w:r>
    </w:p>
    <w:p>
      <w:pPr>
        <w:pStyle w:val="TextBody"/>
        <w:bidi w:val="0"/>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(f)an amount, with respect to investments recorded using the equity method of accounting or the cost method of accounting and without duplication of any amounts added pursuant to clause (d) above, equal to the amount attributable to each such investment that would be added to Consolidated EBITDA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1155"/>
                <wp:effectExtent l="0" t="0" r="0" b="0"/>
                <wp:wrapNone/>
                <wp:docPr id="98" name="Frame9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clauses (a) and (b) above if instead attributable to the Borrower or a Restricted Subsidiary, pro-rated according to the Borrower’s or the applicable Restricted Subsidiary’s percentage ownership in</w:t>
      </w:r>
    </w:p>
    <w:p>
      <w:pPr>
        <w:pStyle w:val="TextBody"/>
        <w:bidi w:val="0"/>
        <w:spacing w:before="60" w:after="283"/>
        <w:jc w:val="left"/>
        <w:rPr/>
      </w:pPr>
      <w:r>
        <w:rPr/>
      </w:r>
    </w:p>
    <w:p>
      <w:pPr>
        <w:pStyle w:val="TextBody"/>
        <w:bidi w:val="0"/>
        <w:spacing w:lineRule="auto" w:line="288" w:before="60" w:after="283"/>
        <w:jc w:val="left"/>
        <w:rPr/>
      </w:pPr>
      <w:r>
        <w:rPr>
          <w:rFonts w:ascii="Times New Roman;sans-serif" w:hAnsi="Times New Roman;sans-serif"/>
          <w:b w:val="false"/>
          <w:color w:val="000000"/>
          <w:sz w:val="20"/>
        </w:rPr>
        <w:t xml:space="preserve">such investment; </w:t>
      </w:r>
      <w:r>
        <w:rPr>
          <w:rFonts w:ascii="Times New Roman;sans-serif" w:hAnsi="Times New Roman;sans-serif"/>
          <w:b w:val="false"/>
          <w:color w:val="000000"/>
          <w:sz w:val="20"/>
          <w:u w:val="single"/>
        </w:rPr>
        <w:t>minus</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(g)an amount, with respect to investments recorded using the equity method of accounting or the cost method of accounting and without duplication of any amounts deducted pursuant to clause (e) above, equal to the amount attributable to each such investment that would be deducted from Consolidated EBITDA pursuant to clause (c) above if instead attributable to the Borrower or a Restricted Subsidiary, pro-rated according to the Borrower’s or the applicable Restricted Subsidiary’s percentage ownership in such investment;</w:t>
      </w:r>
    </w:p>
    <w:p>
      <w:pPr>
        <w:pStyle w:val="TextBody"/>
        <w:bidi w:val="0"/>
        <w:spacing w:before="12"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each case, as determined on a consolidated basis for the Borrower and the Restricted Subsidiaries in accordance with GAAP;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(II)to the extent included in Consolidated Net Income, there shall be excluded in determining Consolidated EBITDA for any period any adjustments resulting from the application of Financial Accounting Standards Codification No. 815—Derivatives and Hedging,</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(III)there shall be included in determining Consolidated EBITDA for any period, without duplication, (A) to the extent not included in Consolidated Net Income, the Acquired EBITDA of any Person, property, business or asset or attributable to any Person, property, business or asset acquired by the Borrower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Effective Date, and not subsequently so disposed of, an “</w:t>
      </w:r>
      <w:r>
        <w:rPr>
          <w:rFonts w:ascii="Times New Roman;sans-serif" w:hAnsi="Times New Roman;sans-serif"/>
          <w:b w:val="false"/>
          <w:color w:val="000000"/>
          <w:sz w:val="20"/>
          <w:u w:val="single"/>
        </w:rPr>
        <w:t>Acquired Entity or Business</w:t>
      </w:r>
      <w:r>
        <w:rPr>
          <w:color w:val="000000"/>
        </w:rPr>
        <w:t>”</w:t>
      </w:r>
      <w:r>
        <w:rPr>
          <w:rFonts w:ascii="Times New Roman;sans-serif" w:hAnsi="Times New Roman;sans-serif"/>
          <w:b w:val="false"/>
          <w:color w:val="000000"/>
          <w:sz w:val="20"/>
        </w:rPr>
        <w:t>), and the Acquired EBITDA of any Unrestricted Subsidiary that is converted into a Restricted Subsidiary during such period (each, a “</w:t>
      </w:r>
      <w:r>
        <w:rPr>
          <w:rFonts w:ascii="Times New Roman;sans-serif" w:hAnsi="Times New Roman;sans-serif"/>
          <w:b w:val="false"/>
          <w:color w:val="000000"/>
          <w:sz w:val="20"/>
          <w:u w:val="single"/>
        </w:rPr>
        <w:t>Converted Restricted Subsidiary</w:t>
      </w:r>
      <w:r>
        <w:rPr>
          <w:color w:val="000000"/>
        </w:rPr>
        <w:t>”</w:t>
      </w:r>
      <w:r>
        <w:rPr>
          <w:rFonts w:ascii="Times New Roman;sans-serif" w:hAnsi="Times New Roman;sans-serif"/>
          <w:b w:val="false"/>
          <w:color w:val="000000"/>
          <w:sz w:val="20"/>
        </w:rPr>
        <w:t>),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the Pro Forma Adjustment certificate delivered to the First Lien Administrative Agent (for further delivery to the Lenders);</w:t>
      </w:r>
    </w:p>
    <w:p>
      <w:pPr>
        <w:pStyle w:val="TextBody"/>
        <w:bidi w:val="0"/>
        <w:spacing w:before="0" w:after="0"/>
        <w:jc w:val="left"/>
        <w:rPr/>
      </w:pPr>
      <w:r>
        <w:rPr/>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(IV)there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in accordance with GAAP (other than (x) if so classified on the basis that it is being held for sale unless such sale has actually occurred during such period and (y) for periods prior to the applicable sale, transfer or other disposition, if the Disposed EBITDA of such Person, property, business or asset is positive (i.e., if such Disposed EBITDA is negative, it shall be added back in determining Consolidated EBITDA for any period)) by the Borrower or any Restricted Subsidiary during such period (each such Person, property, business or asset so sold, transferred or otherwise disposed of, closed or classified, a “</w:t>
      </w:r>
      <w:r>
        <w:rPr>
          <w:rFonts w:ascii="Times New Roman;sans-serif" w:hAnsi="Times New Roman;sans-serif"/>
          <w:b w:val="false"/>
          <w:color w:val="000000"/>
          <w:sz w:val="20"/>
          <w:u w:val="single"/>
        </w:rPr>
        <w:t>Sold Entity or Business</w:t>
      </w:r>
      <w:r>
        <w:rPr>
          <w:color w:val="000000"/>
        </w:rPr>
        <w:t>”</w:t>
      </w:r>
      <w:r>
        <w:rPr>
          <w:rFonts w:ascii="Times New Roman;sans-serif" w:hAnsi="Times New Roman;sans-serif"/>
          <w:b w:val="false"/>
          <w:color w:val="000000"/>
          <w:sz w:val="20"/>
        </w:rPr>
        <w:t>), and the Disposed EBITDA of any Restricted Subsidiary that is converted into an Unrestricted Subsidiary during such period (each, a “</w:t>
      </w:r>
      <w:r>
        <w:rPr>
          <w:rFonts w:ascii="Times New Roman;sans-serif" w:hAnsi="Times New Roman;sans-serif"/>
          <w:b w:val="false"/>
          <w:color w:val="000000"/>
          <w:sz w:val="20"/>
          <w:u w:val="single"/>
        </w:rPr>
        <w:t>Converted Unrestricted Subsidiary</w:t>
      </w:r>
      <w:r>
        <w:rPr>
          <w:color w:val="000000"/>
        </w:rPr>
        <w:t>”</w:t>
      </w:r>
      <w:r>
        <w:rPr>
          <w:rFonts w:ascii="Times New Roman;sans-serif" w:hAnsi="Times New Roman;sans-serif"/>
          <w:b w:val="false"/>
          <w:color w:val="000000"/>
          <w:sz w:val="20"/>
        </w:rPr>
        <w:t xml:space="preserve">),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1155"/>
                <wp:effectExtent l="0" t="0" r="0" b="0"/>
                <wp:wrapNone/>
                <wp:docPr id="99" name="Frame9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 as specified in the Pro Forma Disposal Adjustment certificate delivered to the First Lien Administrative Agent (for further delivery to the Lenders); and</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(V)to the extent included in Consolidated Net Income, there shall be excluded in determining Consolidated EBITDA any expense (or income) as a result of adjustments recorded to contingent consideration liabilities relating to the Transaction or any Permitted Acquisition (or other Investment not prohibited under this Agreement).</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Consolidated Interest Expense</w:t>
      </w:r>
      <w:r>
        <w:rPr>
          <w:color w:val="000000"/>
        </w:rPr>
        <w:t xml:space="preserve">” </w:t>
      </w:r>
      <w:r>
        <w:rPr>
          <w:rFonts w:ascii="Times New Roman;sans-serif" w:hAnsi="Times New Roman;sans-serif"/>
          <w:b w:val="false"/>
          <w:color w:val="000000"/>
          <w:sz w:val="20"/>
        </w:rPr>
        <w:t>means the sum of (a) the amount of cash interest expense (including that attributable to Capitalized Leases), net of cash interest income of the Borrower and the Restricted Subsidiaries with respect to all outstanding Indebtedness of the Borrower and the Restricted Subsidiaries, including all commissions, discounts and other fees and charges owed with respect to letters of credit and bankers’ acceptance financing and net costs under hedging agreements, plus (b) the aggregate amount of actual cash payments made with respect to any increase in the principal amount of Indebtedness as a result of pay-in-kind interest that are required to be made in connection with any repayment of such Indebtedness, and excluding, for the avoidance of doubt, (i) amortization of deferred financing costs, debt issuance costs (including bridge, commitment and other financing fees), commissions, fees and expenses and any other amounts of non-cash interest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(iv) all non-recurring cash interest expense consisting of liquidated damages for failure to timely comply with registration rights obligations, (v) any prepayment premium or penalty, (vii) penalties and interest relating to taxes, (viii) any accretion of accrued interest on discounted liabilities (other than Indebtedness except to the extent arising from the application of purchase accounting), (ix) any “additional interest” with respect to debt securities, (x) commissions, discounts, yield and other fees and charges (including any interest expense) related to any Securitization Facility and (xi) any interest expense attributable to the exercise of appraisal rights and the settlement of any claims or actions (whether actual, contingent or potential) with respect thereto and with respect to any Permitted Acquisition or other Investment, all as calculated on a consolidated basis in accordance with GAAP.</w:t>
      </w:r>
    </w:p>
    <w:p>
      <w:pPr>
        <w:pStyle w:val="TextBody"/>
        <w:bidi w:val="0"/>
        <w:spacing w:before="19" w:after="283"/>
        <w:jc w:val="left"/>
        <w:rPr/>
      </w:pPr>
      <w:r>
        <w:rPr/>
      </w:r>
    </w:p>
    <w:p>
      <w:pPr>
        <w:pStyle w:val="TextBody"/>
        <w:bidi w:val="0"/>
        <w:spacing w:lineRule="auto" w:line="288" w:before="0" w:after="0"/>
        <w:ind w:left="0" w:right="0" w:firstLine="1499"/>
        <w:jc w:val="both"/>
        <w:rPr/>
      </w:pPr>
      <w:r>
        <w:rPr>
          <w:color w:val="000000"/>
        </w:rPr>
        <w:t>“</w:t>
      </w:r>
      <w:r>
        <w:rPr>
          <w:rFonts w:ascii="Times New Roman;sans-serif" w:hAnsi="Times New Roman;sans-serif"/>
          <w:b w:val="false"/>
          <w:color w:val="000000"/>
          <w:sz w:val="20"/>
          <w:u w:val="single"/>
        </w:rPr>
        <w:t>Consolidated Net Income</w:t>
      </w:r>
      <w:r>
        <w:rPr>
          <w:color w:val="000000"/>
        </w:rPr>
        <w:t xml:space="preserve">” </w:t>
      </w:r>
      <w:r>
        <w:rPr>
          <w:rFonts w:ascii="Times New Roman;sans-serif" w:hAnsi="Times New Roman;sans-serif"/>
          <w:b w:val="false"/>
          <w:color w:val="000000"/>
          <w:sz w:val="20"/>
        </w:rPr>
        <w:t>means, for any period, the net income (loss) of the Borrower and its Restricted Subsidiaries for such period determined on a consolidated basis in accordance with GAAP, excluding, without duplication,</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(a)(x) extraordinary items for such period and (y) any unusual, non-recurring or exceptional expenses, losses or charges (including any unusual, non-recurring exceptional operating expenses, losses or charges directly attributable to the implementation of cost savings initiatives), severance, relocation costs, integration and facilities’ opening costs and other business optimization expenses and operating improvements (including related to new product introductions), recruiting fees,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contract terminations and professional and consulting fees incurred in connection with any of the foregoing,</w:t>
      </w:r>
    </w:p>
    <w:p>
      <w:pPr>
        <w:pStyle w:val="TextBody"/>
        <w:bidi w:val="0"/>
        <w:spacing w:before="14" w:after="283"/>
        <w:jc w:val="left"/>
        <w:rPr/>
      </w:pPr>
      <w:r>
        <w:rPr/>
      </w:r>
    </w:p>
    <w:p>
      <w:pPr>
        <w:pStyle w:val="TextBody"/>
        <w:bidi w:val="0"/>
        <w:spacing w:lineRule="auto" w:line="288" w:before="0" w:after="0"/>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(b)the cumulative effect of a change in accounting principles during such period,</w:t>
      </w:r>
    </w:p>
    <w:p>
      <w:pPr>
        <w:pStyle w:val="TextBody"/>
        <w:bidi w:val="0"/>
        <w:spacing w:before="10" w:after="283"/>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0"/>
        </w:rPr>
        <w:t>(c)any Transaction Costs incurred during such period</w:t>
      </w:r>
      <w:r>
        <w:rPr>
          <w:rFonts w:ascii="Times New Roman;sans-serif" w:hAnsi="Times New Roman;sans-serif"/>
          <w:b/>
          <w:color w:val="000000"/>
          <w:sz w:val="20"/>
        </w:rPr>
        <w:t>,</w:t>
      </w:r>
    </w:p>
    <w:p>
      <w:pPr>
        <w:pStyle w:val="TextBody"/>
        <w:bidi w:val="0"/>
        <w:spacing w:before="11" w:after="283"/>
        <w:jc w:val="left"/>
        <w:rPr/>
      </w:pPr>
      <w:r>
        <w:rPr/>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(d)any fees and expenses (including any transaction or retention bonus or similar payment) incurred during such period, or any amortization thereof for such period, in connection with any acquisition, non-recurring costs to acquire equipment to the extent not capitalized in accordance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1155"/>
                <wp:effectExtent l="0" t="0" r="0" b="0"/>
                <wp:wrapNone/>
                <wp:docPr id="100" name="Frame9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GAAP, Investment, recapitalization, asset disposition, non-competition agreement, issuance or repayment of debt, issuance of equity securities, refinancing transaction or amendment or other modification of or waiver or consent relating to any debt instrument (in each case, including the Transaction Costs and any such transaction consummated prior to the Effective Date and any such transaction undertaken but not completed) and any charges or non-recurring merger or amalgamation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(e)any income (loss) for such period attributable to the early extinguishment of Indebtedness, hedging agreements or other derivative instruments,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(f)accruals and reserves that are established or adjusted as a result of the Transactions or any Permitted Acquisition or other Investment not prohibited under this Agreement in accordance with GAAP (including any adjustment of estimated payouts on earn-outs) or changes as a result of the adoption or modification of accounting policies during such period,</w:t>
      </w:r>
    </w:p>
    <w:p>
      <w:pPr>
        <w:pStyle w:val="TextBody"/>
        <w:bidi w:val="0"/>
        <w:spacing w:before="12" w:after="283"/>
        <w:jc w:val="left"/>
        <w:rPr/>
      </w:pPr>
      <w:r>
        <w:rPr/>
      </w:r>
    </w:p>
    <w:p>
      <w:pPr>
        <w:pStyle w:val="TextBody"/>
        <w:bidi w:val="0"/>
        <w:spacing w:lineRule="auto" w:line="288" w:before="0" w:after="0"/>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(g)stock-based award compensation expenses,</w:t>
      </w:r>
    </w:p>
    <w:p>
      <w:pPr>
        <w:pStyle w:val="TextBody"/>
        <w:bidi w:val="0"/>
        <w:spacing w:before="10" w:after="283"/>
        <w:jc w:val="left"/>
        <w:rPr/>
      </w:pPr>
      <w:r>
        <w:rPr/>
      </w:r>
    </w:p>
    <w:p>
      <w:pPr>
        <w:pStyle w:val="TextBody"/>
        <w:bidi w:val="0"/>
        <w:spacing w:lineRule="auto" w:line="288" w:before="0" w:after="0"/>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(h)any income (loss) attributable to deferred compensation plans or trusts,</w:t>
      </w:r>
    </w:p>
    <w:p>
      <w:pPr>
        <w:pStyle w:val="TextBody"/>
        <w:bidi w:val="0"/>
        <w:spacing w:before="10" w:after="283"/>
        <w:jc w:val="left"/>
        <w:rPr/>
      </w:pPr>
      <w:r>
        <w:rPr/>
      </w:r>
    </w:p>
    <w:p>
      <w:pPr>
        <w:pStyle w:val="TextBody"/>
        <w:bidi w:val="0"/>
        <w:spacing w:lineRule="auto" w:line="288" w:before="1" w:after="283"/>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(i)any income (loss) from Investments recorded using the equity method, and</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(j)the amount of any expense required to be recorded as compensation expense related to contingent transaction consideration.</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There shall be included in Consolidated Net Income, without duplication, the amount of any cash tax benefits related to the tax amortization of intangible assets in such period. 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required or permitted by GAAP and related authoritative pronouncements (including the effects of such adjustments pushed down to the Borrower and its Restricted Subsidiaries), as a result of the Transactions, any acquisition or Investment consummated prior to the Effective Date and any Permitted Acquisitions (or other Investment not prohibited hereunder) or the amortization or write-off of any amounts thereof.</w:t>
      </w:r>
    </w:p>
    <w:p>
      <w:pPr>
        <w:pStyle w:val="TextBody"/>
        <w:bidi w:val="0"/>
        <w:spacing w:before="13"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extent not already included in Consolidated Net Income, Consolidated Net Income shall include the amount of proceeds received or due from business interruption insurance or reimbursement of expenses and charges pursuant to indemnification and other reimbursement provisions in connection with any acquisition or other Investment or any disposition of any asset permitted hereunder.</w:t>
      </w:r>
    </w:p>
    <w:p>
      <w:pPr>
        <w:pStyle w:val="TextBody"/>
        <w:bidi w:val="0"/>
        <w:spacing w:before="11"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Consolidated Senior Secured First Lien Net Indebtedness</w:t>
      </w:r>
      <w:r>
        <w:rPr>
          <w:color w:val="000000"/>
        </w:rPr>
        <w:t xml:space="preserve">” </w:t>
      </w:r>
      <w:r>
        <w:rPr>
          <w:rFonts w:ascii="Times New Roman;sans-serif" w:hAnsi="Times New Roman;sans-serif"/>
          <w:b w:val="false"/>
          <w:color w:val="000000"/>
          <w:sz w:val="20"/>
        </w:rPr>
        <w:t xml:space="preserve">means, as of any date of determination, the aggregate amount of Indebtedness of the Borrower and its Restricted Subsidiaries outstanding on such date that is not subordinated in right of payment to the First Lien Loan Document Obligations and that is secured by a Lien on the Collateral on an equal priority basis with Liens on the Collateral securing the First Lien Loan Document Obligations (for the avoidance of doubt, including the First Lien Loan Document Obligations but excluding any obligations in respect of Capitalized Leases and Cash Management Obligations),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consisting only of Senior Secured First Lien Indebtedness for borrowed money, drawn obligations under letters of credit that have not been reimbursed, and debt obligations evidenced by promissory notes or similar instruments, but excluding any obligations under or in respect of Qualified Securitization Facilities,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the aggregate amount of cash and Permitted Investments (in each case,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1155"/>
                <wp:effectExtent l="0" t="0" r="0" b="0"/>
                <wp:wrapNone/>
                <wp:docPr id="101" name="Frame10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 xml:space="preserve">free and clear of all liens, other than Liens permitted pursuant to Section 6.02), excluding cash and Permitted Investments that are listed as “restricted” on the consolidated balance sheet of the Borrower and its Restricted Subsidiaries as of such date, but including cash and Permitted Investments restricted in favor of the Secured Obligations (which may also secure other Indebtedness secured by a </w:t>
      </w:r>
      <w:r>
        <w:rPr>
          <w:rFonts w:ascii="Times New Roman;sans-serif" w:hAnsi="Times New Roman;sans-serif"/>
          <w:b w:val="false"/>
          <w:color w:val="000000"/>
          <w:sz w:val="20"/>
          <w:u w:val="single"/>
        </w:rPr>
        <w:t>pari passu</w:t>
      </w:r>
      <w:r>
        <w:rPr>
          <w:color w:val="000000"/>
        </w:rPr>
        <w:t xml:space="preserve"> </w:t>
      </w:r>
      <w:r>
        <w:rPr>
          <w:rFonts w:ascii="Times New Roman;sans-serif" w:hAnsi="Times New Roman;sans-serif"/>
          <w:b w:val="false"/>
          <w:color w:val="000000"/>
          <w:sz w:val="20"/>
        </w:rPr>
        <w:t>or junior lien on the Collateral along with the Secured Obligations).</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Consolidated Senior Secured Indebtedness</w:t>
      </w:r>
      <w:r>
        <w:rPr>
          <w:color w:val="000000"/>
        </w:rPr>
        <w:t xml:space="preserve">” </w:t>
      </w:r>
      <w:r>
        <w:rPr>
          <w:rFonts w:ascii="Times New Roman;sans-serif" w:hAnsi="Times New Roman;sans-serif"/>
          <w:b w:val="false"/>
          <w:color w:val="000000"/>
          <w:sz w:val="20"/>
        </w:rPr>
        <w:t xml:space="preserve">means, as of any date of determination, the aggregate amount of Indebtedness of the Borrower and its Restricted Subsidiaries outstanding on such date that is not subordinated in right of payment to the First Lien Loan Document Obligations and that is secured by a Lien on the Collateral (for the avoidance of doubt, including the First Lien Loan Document Obligations and the Second Lien Debt Document Obligations but excluding any obligations in respect of Capitalized Leases and Cash Management Obligations),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and consisting only of such Indebtedness for borrowed money, drawn obligations under letters of credit that have not been reimbursed, and debt obligations evidenced by promissory notes or similar instruments, but excluding any obligations under or in respect of Qualified Securitization Facilities,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the aggregate amount of cash and Permitted Investments (in each case, free and clear of all liens, other than Liens permitted pursuant to Section 6.02), excluding cash and Permitted Investments that are listed as “restricted” on the consolidated balance sheet of the Borrower and the Restricted Subsidiaries as of such date, but including, notwithstanding the foregoing, cash and Permitted Investments so restricted by virtue of being subject to any Permitted Encumbrance or to any Lien permitted under Section 6.02 that secures the Secured Obligations (which Lien may also secure other Indebtedness secured on a </w:t>
      </w:r>
      <w:r>
        <w:rPr>
          <w:rFonts w:ascii="Times New Roman;sans-serif" w:hAnsi="Times New Roman;sans-serif"/>
          <w:b w:val="false"/>
          <w:color w:val="000000"/>
          <w:sz w:val="20"/>
          <w:u w:val="single"/>
        </w:rPr>
        <w:t>pari passu</w:t>
      </w:r>
      <w:r>
        <w:rPr>
          <w:color w:val="000000"/>
        </w:rPr>
        <w:t xml:space="preserve"> </w:t>
      </w:r>
      <w:r>
        <w:rPr>
          <w:rFonts w:ascii="Times New Roman;sans-serif" w:hAnsi="Times New Roman;sans-serif"/>
          <w:b w:val="false"/>
          <w:color w:val="000000"/>
          <w:sz w:val="20"/>
        </w:rPr>
        <w:t>basis with, or a junior lien basis to, the Secured Obligations).</w:t>
      </w:r>
    </w:p>
    <w:p>
      <w:pPr>
        <w:pStyle w:val="TextBody"/>
        <w:bidi w:val="0"/>
        <w:spacing w:before="17"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Consolidated Total Net Indebtedness</w:t>
      </w:r>
      <w:r>
        <w:rPr>
          <w:color w:val="000000"/>
        </w:rPr>
        <w:t xml:space="preserve">” </w:t>
      </w:r>
      <w:r>
        <w:rPr>
          <w:rFonts w:ascii="Times New Roman;sans-serif" w:hAnsi="Times New Roman;sans-serif"/>
          <w:b w:val="false"/>
          <w:color w:val="000000"/>
          <w:sz w:val="20"/>
        </w:rPr>
        <w:t xml:space="preserve">means, as of any date of determination, the aggregate amount of Indebtedness of the Borrower and its Restricted Subsidiaries outstanding on such date,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consisting only of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the aggregate amount of cash and Permitted Investments (in each case, free and clear of all liens, other than Liens permitted pursuant to Section 6.02), excluding cash and Permitted Investments that are listed as “restricted” on the consolidated balance sheet of the Borrower and its Restricted Subsidiaries as of such date, but including cash and Permitted Investments restricted in favor of the Secured Obligations (which may also secure other Indebtedness secured by a </w:t>
      </w:r>
      <w:r>
        <w:rPr>
          <w:rFonts w:ascii="Times New Roman;sans-serif" w:hAnsi="Times New Roman;sans-serif"/>
          <w:b w:val="false"/>
          <w:color w:val="000000"/>
          <w:sz w:val="20"/>
          <w:u w:val="single"/>
        </w:rPr>
        <w:t>pari passu</w:t>
      </w:r>
      <w:r>
        <w:rPr>
          <w:color w:val="000000"/>
        </w:rPr>
        <w:t xml:space="preserve"> </w:t>
      </w:r>
      <w:r>
        <w:rPr>
          <w:rFonts w:ascii="Times New Roman;sans-serif" w:hAnsi="Times New Roman;sans-serif"/>
          <w:b w:val="false"/>
          <w:color w:val="000000"/>
          <w:sz w:val="20"/>
        </w:rPr>
        <w:t>or junior lien on the Collateral along with the Secured Obligations).</w:t>
      </w:r>
    </w:p>
    <w:p>
      <w:pPr>
        <w:pStyle w:val="TextBody"/>
        <w:bidi w:val="0"/>
        <w:spacing w:before="15"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Consolidated Working Capital</w:t>
      </w:r>
      <w:r>
        <w:rPr>
          <w:color w:val="000000"/>
        </w:rPr>
        <w:t xml:space="preserve">” </w:t>
      </w:r>
      <w:r>
        <w:rPr>
          <w:rFonts w:ascii="Times New Roman;sans-serif" w:hAnsi="Times New Roman;sans-serif"/>
          <w:b w:val="false"/>
          <w:color w:val="000000"/>
          <w:sz w:val="20"/>
        </w:rPr>
        <w:t xml:space="preserve">means, at any date, the excess of (a) the sum of all amounts (other than cash and Permitted Investments) that would, in conformity with GAAP, be set forth opposite the caption “total current assets” (or any like caption) on a consolidated balance sheet of the Borrower and its Restricted Subsidiaries at such date, excluding the current portion of deferred income taxes </w:t>
      </w:r>
      <w:r>
        <w:rPr>
          <w:rFonts w:ascii="Times New Roman;sans-serif" w:hAnsi="Times New Roman;sans-serif"/>
          <w:b w:val="false"/>
          <w:color w:val="000000"/>
          <w:sz w:val="20"/>
          <w:u w:val="single"/>
        </w:rPr>
        <w:t>over</w:t>
      </w:r>
      <w:r>
        <w:rPr>
          <w:color w:val="000000"/>
        </w:rPr>
        <w:t xml:space="preserve"> </w:t>
      </w:r>
      <w:r>
        <w:rPr>
          <w:rFonts w:ascii="Times New Roman;sans-serif" w:hAnsi="Times New Roman;sans-serif"/>
          <w:b w:val="false"/>
          <w:color w:val="000000"/>
          <w:sz w:val="20"/>
        </w:rPr>
        <w:t xml:space="preserve">(b) the sum of all amounts that would, in conformity with GAAP, be set forth opposite the caption “total current liabilities” (or any like caption) on a consolidated balance sheet of the Borrower and its Restricted Subsidiaries on such date, including deferred revenue but excluding, without duplication, (i) the current portion of any Funded Debt, (ii) all Indebtedness consisting of Loans and obligations under Letters of Credit to the extent otherwise included therein, (iii) the current portion of interest and (iv) the current portion of current and deferred income taxes;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for purposes of calculating Excess Cash Flow, increases or decreases in working capital (A) arising from acquisitions or dispositions by the Borrower and its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1155"/>
                <wp:effectExtent l="0" t="0" r="0" b="0"/>
                <wp:wrapNone/>
                <wp:docPr id="102" name="Frame10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6" w:after="283"/>
        <w:jc w:val="both"/>
        <w:rPr>
          <w:rFonts w:ascii="Times New Roman;sans-serif" w:hAnsi="Times New Roman;sans-serif"/>
          <w:b w:val="false"/>
          <w:color w:val="000000"/>
          <w:sz w:val="20"/>
        </w:rPr>
      </w:pPr>
      <w:r>
        <w:rPr>
          <w:rFonts w:ascii="Times New Roman;sans-serif" w:hAnsi="Times New Roman;sans-serif"/>
          <w:b w:val="false"/>
          <w:color w:val="000000"/>
          <w:sz w:val="20"/>
        </w:rPr>
        <w:t>(III) any changes in current assets or current liabilities as a result of (x) the effect of fluctuations in the amount of accrued or contingent obligations, assets or liabilities under hedging agreements or other derivative obligations, (y) any reclassification in accordance with GAAP of assets or liabilities, as applicable, between current and noncurrent or (z) the effects of acquisition method accounting.</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Contract Consideration</w:t>
      </w:r>
      <w:r>
        <w:rPr>
          <w:color w:val="000000"/>
        </w:rPr>
        <w:t xml:space="preserve">” </w:t>
      </w:r>
      <w:r>
        <w:rPr>
          <w:rFonts w:ascii="Times New Roman;sans-serif" w:hAnsi="Times New Roman;sans-serif"/>
          <w:b w:val="false"/>
          <w:color w:val="000000"/>
          <w:sz w:val="20"/>
        </w:rPr>
        <w:t>has the meaning assigned to such term in the definition of “Excess Cash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Flow.”</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Control</w:t>
      </w:r>
      <w:r>
        <w:rPr>
          <w:color w:val="000000"/>
        </w:rPr>
        <w:t xml:space="preserve">” </w:t>
      </w:r>
      <w:r>
        <w:rPr>
          <w:rFonts w:ascii="Times New Roman;sans-serif" w:hAnsi="Times New Roman;sans-serif"/>
          <w:b w:val="false"/>
          <w:color w:val="000000"/>
          <w:sz w:val="20"/>
        </w:rPr>
        <w:t>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sans-serif" w:hAnsi="Times New Roman;sans-serif"/>
          <w:b w:val="false"/>
          <w:color w:val="000000"/>
          <w:sz w:val="20"/>
          <w:u w:val="single"/>
        </w:rPr>
        <w:t>Controlling</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color w:val="000000"/>
          <w:sz w:val="20"/>
          <w:u w:val="single"/>
        </w:rPr>
        <w:t>Controlled</w:t>
      </w:r>
      <w:r>
        <w:rPr>
          <w:color w:val="000000"/>
        </w:rPr>
        <w:t xml:space="preserve">” </w:t>
      </w:r>
      <w:r>
        <w:rPr>
          <w:rFonts w:ascii="Times New Roman;sans-serif" w:hAnsi="Times New Roman;sans-serif"/>
          <w:b w:val="false"/>
          <w:color w:val="000000"/>
          <w:sz w:val="20"/>
        </w:rPr>
        <w:t>have meanings correlative thereto.</w:t>
      </w:r>
    </w:p>
    <w:p>
      <w:pPr>
        <w:pStyle w:val="TextBody"/>
        <w:bidi w:val="0"/>
        <w:spacing w:before="11"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Converted Restricted Subsidiary</w:t>
      </w:r>
      <w:r>
        <w:rPr>
          <w:color w:val="000000"/>
        </w:rPr>
        <w:t xml:space="preserve">” </w:t>
      </w:r>
      <w:r>
        <w:rPr>
          <w:rFonts w:ascii="Times New Roman;sans-serif" w:hAnsi="Times New Roman;sans-serif"/>
          <w:b w:val="false"/>
          <w:color w:val="000000"/>
          <w:sz w:val="20"/>
        </w:rPr>
        <w:t>has the meaning given such term in the definition of “Consolidated EBITDA.”</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Converted Unrestricted Subsidiary</w:t>
      </w:r>
      <w:r>
        <w:rPr>
          <w:color w:val="000000"/>
        </w:rPr>
        <w:t xml:space="preserve">” </w:t>
      </w:r>
      <w:r>
        <w:rPr>
          <w:rFonts w:ascii="Times New Roman;sans-serif" w:hAnsi="Times New Roman;sans-serif"/>
          <w:b w:val="false"/>
          <w:color w:val="000000"/>
          <w:sz w:val="20"/>
        </w:rPr>
        <w:t>has the meaning given such term in the definition of “Consolidated EBITDA.”</w:t>
      </w:r>
    </w:p>
    <w:p>
      <w:pPr>
        <w:pStyle w:val="TextBody"/>
        <w:bidi w:val="0"/>
        <w:spacing w:lineRule="auto" w:line="655" w:before="1" w:after="283"/>
        <w:jc w:val="left"/>
        <w:rPr/>
      </w:pPr>
      <w:r>
        <w:rPr>
          <w:color w:val="000000"/>
        </w:rPr>
        <w:t>“</w:t>
      </w:r>
      <w:r>
        <w:rPr>
          <w:rFonts w:ascii="Times New Roman;sans-serif" w:hAnsi="Times New Roman;sans-serif"/>
          <w:b w:val="false"/>
          <w:color w:val="000000"/>
          <w:sz w:val="20"/>
          <w:u w:val="single"/>
        </w:rPr>
        <w:t>Copyright</w:t>
      </w:r>
      <w:r>
        <w:rPr>
          <w:color w:val="000000"/>
        </w:rPr>
        <w:t xml:space="preserve">” </w:t>
      </w:r>
      <w:r>
        <w:rPr>
          <w:rFonts w:ascii="Times New Roman;sans-serif" w:hAnsi="Times New Roman;sans-serif"/>
          <w:b w:val="false"/>
          <w:color w:val="000000"/>
          <w:sz w:val="20"/>
        </w:rPr>
        <w:t>has the meaning assigned to such term in the First Lien Collateral Agreement. “</w:t>
      </w:r>
      <w:r>
        <w:rPr>
          <w:rFonts w:ascii="Times New Roman;sans-serif" w:hAnsi="Times New Roman;sans-serif"/>
          <w:b w:val="false"/>
          <w:color w:val="000000"/>
          <w:sz w:val="20"/>
          <w:u w:val="single"/>
        </w:rPr>
        <w:t>CORRA</w:t>
      </w:r>
      <w:r>
        <w:rPr>
          <w:color w:val="000000"/>
        </w:rPr>
        <w:t xml:space="preserve">” </w:t>
      </w:r>
      <w:r>
        <w:rPr>
          <w:rFonts w:ascii="Times New Roman;sans-serif" w:hAnsi="Times New Roman;sans-serif"/>
          <w:b w:val="false"/>
          <w:color w:val="000000"/>
          <w:sz w:val="20"/>
        </w:rPr>
        <w:t>means the Canadian Overnight Repo Rate Average administered and published by the</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Canada (or any successor administrator of the Canadian Overnight Repo Rate Average).</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Corresponding Tenor</w:t>
      </w:r>
      <w:r>
        <w:rPr>
          <w:color w:val="000000"/>
        </w:rPr>
        <w:t xml:space="preserve">” </w:t>
      </w:r>
      <w:r>
        <w:rPr>
          <w:rFonts w:ascii="Times New Roman;sans-serif" w:hAnsi="Times New Roman;sans-serif"/>
          <w:b w:val="false"/>
          <w:color w:val="000000"/>
          <w:sz w:val="20"/>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Covered Jurisdiction</w:t>
      </w:r>
      <w:r>
        <w:rPr>
          <w:color w:val="000000"/>
        </w:rPr>
        <w:t xml:space="preserve">” </w:t>
      </w:r>
      <w:r>
        <w:rPr>
          <w:rFonts w:ascii="Times New Roman;sans-serif" w:hAnsi="Times New Roman;sans-serif"/>
          <w:b w:val="false"/>
          <w:color w:val="000000"/>
          <w:sz w:val="20"/>
        </w:rPr>
        <w:t>means each of (a) the United States (or any state, commonwealth or territory thereof or the District of Columbia) and (b) any other jurisdiction as agreed in writing by the First Lien Administrative Agent and the Borrower.</w:t>
      </w:r>
    </w:p>
    <w:p>
      <w:pPr>
        <w:pStyle w:val="TextBody"/>
        <w:bidi w:val="0"/>
        <w:spacing w:before="11" w:after="283"/>
        <w:jc w:val="left"/>
        <w:rPr/>
      </w:pPr>
      <w:r>
        <w:rPr/>
      </w:r>
    </w:p>
    <w:p>
      <w:pPr>
        <w:pStyle w:val="TextBody"/>
        <w:bidi w:val="0"/>
        <w:spacing w:lineRule="auto" w:line="288"/>
        <w:ind w:left="0" w:right="0" w:firstLine="1499"/>
        <w:jc w:val="both"/>
        <w:rPr/>
      </w:pPr>
      <w:r>
        <w:rPr>
          <w:color w:val="000000"/>
        </w:rPr>
        <w:t>“</w:t>
      </w:r>
      <w:r>
        <w:rPr>
          <w:rFonts w:ascii="Times New Roman;sans-serif" w:hAnsi="Times New Roman;sans-serif"/>
          <w:b w:val="false"/>
          <w:color w:val="000000"/>
          <w:sz w:val="20"/>
          <w:u w:val="single"/>
        </w:rPr>
        <w:t>Credit Agreement Refinancing Indebtedness</w:t>
      </w:r>
      <w:r>
        <w:rPr>
          <w:color w:val="000000"/>
        </w:rPr>
        <w:t xml:space="preserve">” </w:t>
      </w:r>
      <w:r>
        <w:rPr>
          <w:rFonts w:ascii="Times New Roman;sans-serif" w:hAnsi="Times New Roman;sans-serif"/>
          <w:b w:val="false"/>
          <w:color w:val="000000"/>
          <w:sz w:val="20"/>
        </w:rPr>
        <w:t>means Indebtedness issued, incurred or otherwise obtained (including by means of the extension or renewal of existing Indebtedness) in exchange for, or to extend, renew, replace or refinance, in whole or part, existing Term Loans, Revolving Loans (or unused Revolving Commitments) or First Lien Incremental Equivalent Debt (“</w:t>
      </w:r>
      <w:r>
        <w:rPr>
          <w:rFonts w:ascii="Times New Roman;sans-serif" w:hAnsi="Times New Roman;sans-serif"/>
          <w:b w:val="false"/>
          <w:color w:val="000000"/>
          <w:sz w:val="20"/>
          <w:u w:val="single"/>
        </w:rPr>
        <w:t>Refinanced Debt</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such exchanging, extending, renewing, replacing or refinancing Indebtedness (a) is in an original aggregate principal amount not greater than the aggregate principal amount of the Refinanced Debt (plus any premium, accrued interest and fees and expenses (1) incurred in connection with such exchange, extension, renewal, replacement or refinancing or (2) paid in respect of the Refinanced Debt), (b) does not mature earlier than or, except in the case of Revolving Commitments, have a Weighted Average Life to Maturity shorter than the Refinanced Debt (except in the case of customary bridge loans which, subject to customary conditions (including no payment or bankruptcy event of default), would either automatically be converted into or required to be exchanged for permanent refinancing that does not mature earlier than the Refinanced Debt, (c) shall not be incurred or guaranteed by any entity that is not a Loan Party, (d) in the case of any secured Indebtedness (i) is not secured by any assets not securing the Secured Obligations and (ii) if not comprising Other First Lien Term Loans or Other Revolving Commitments hereunder that are secured on a pari passu basis with the Secured Obligations, is subject to a Customary Intercreditor Agreement(s) and (e) otherwise has terms and conditions that shall be reasonably satisfactory to the Borrower and the lenders providing such Credit Agreement Refinancing Indebtedness; provided that the conditions in clause (b) above shall not apply to any ABL Facility. For the avoidance of 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1155"/>
                <wp:effectExtent l="0" t="0" r="0" b="0"/>
                <wp:wrapNone/>
                <wp:docPr id="103" name="Frame10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percentage of Consolidated EBITDA on the date of such modification, refinancing, refunding, extension, renewal or replacement, such percentage of Consolidated EBITDA restriction shall not be deemed to be exceeded so long as such incurrence otherwise constitutes “Credit Agreement Refinancing Indebtedness”. Notwithstanding anything to the contrary, no Credit Agreement Refinancing Indebtedness shall be subject to any “most favored nation” pricing adjustments set forth in this Agreement.</w:t>
      </w:r>
    </w:p>
    <w:p>
      <w:pPr>
        <w:pStyle w:val="TextBody"/>
        <w:bidi w:val="0"/>
        <w:spacing w:before="11" w:after="283"/>
        <w:jc w:val="left"/>
        <w:rPr/>
      </w:pPr>
      <w:r>
        <w:rPr/>
      </w:r>
    </w:p>
    <w:p>
      <w:pPr>
        <w:pStyle w:val="TextBody"/>
        <w:bidi w:val="0"/>
        <w:spacing w:lineRule="auto" w:line="568" w:before="0" w:after="0"/>
        <w:jc w:val="left"/>
        <w:rPr/>
      </w:pPr>
      <w:r>
        <w:rPr>
          <w:color w:val="000000"/>
        </w:rPr>
        <w:t>“</w:t>
      </w:r>
      <w:r>
        <w:rPr>
          <w:rFonts w:ascii="Times New Roman;sans-serif" w:hAnsi="Times New Roman;sans-serif"/>
          <w:b w:val="false"/>
          <w:color w:val="000000"/>
          <w:sz w:val="20"/>
          <w:u w:val="single"/>
        </w:rPr>
        <w:t>Cure Amount</w:t>
      </w:r>
      <w:r>
        <w:rPr>
          <w:color w:val="000000"/>
        </w:rPr>
        <w:t xml:space="preserve">” </w:t>
      </w:r>
      <w:r>
        <w:rPr>
          <w:rFonts w:ascii="Times New Roman;sans-serif" w:hAnsi="Times New Roman;sans-serif"/>
          <w:b w:val="false"/>
          <w:color w:val="000000"/>
          <w:sz w:val="20"/>
        </w:rPr>
        <w:t>has the meaning assigned to such term in Section 7.02(a). “</w:t>
      </w:r>
      <w:r>
        <w:rPr>
          <w:rFonts w:ascii="Times New Roman;sans-serif" w:hAnsi="Times New Roman;sans-serif"/>
          <w:b w:val="false"/>
          <w:color w:val="000000"/>
          <w:sz w:val="20"/>
          <w:u w:val="single"/>
        </w:rPr>
        <w:t>Cure Right</w:t>
      </w:r>
      <w:r>
        <w:rPr>
          <w:color w:val="000000"/>
        </w:rPr>
        <w:t xml:space="preserve">” </w:t>
      </w:r>
      <w:r>
        <w:rPr>
          <w:rFonts w:ascii="Times New Roman;sans-serif" w:hAnsi="Times New Roman;sans-serif"/>
          <w:b w:val="false"/>
          <w:color w:val="000000"/>
          <w:sz w:val="20"/>
        </w:rPr>
        <w:t>has the meaning assigned to such term in Section 7.02(a).</w: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Customary Intercreditor Agreement</w:t>
      </w:r>
      <w:r>
        <w:rPr>
          <w:color w:val="000000"/>
        </w:rPr>
        <w:t xml:space="preserve">” </w:t>
      </w:r>
      <w:r>
        <w:rPr>
          <w:rFonts w:ascii="Times New Roman;sans-serif" w:hAnsi="Times New Roman;sans-serif"/>
          <w:b w:val="false"/>
          <w:color w:val="000000"/>
          <w:sz w:val="20"/>
        </w:rPr>
        <w:t>means (a) to the extent executed in connection with the incurrence of Indebtedness secured by Liens on the Collateral which are intended to rank equal in priority to the Liens on the Collateral securing the Secured Obligations, at the option of the Borrower, either (i) an intercreditor agreement substantially in the form of the First Lien Pari Passu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which agreement shall provide that the Liens on the Collateral securing such Indebtedness shall rank equal in priority to the Liens on the Collateral securing the Secured Obligations and (b) to the extent executed in connection with the incurrence of Indebtedness secured by Liens on the Collateral which are intended to rank junior to the Liens on the Collateral securing the Secured Obligations, at the option of the Borrower, either (i) an intercreditor agreement substantially in the form of the First/Second Lien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and the Borrower, which agreement shall provide that the Liens on the Collateral securing such Indebtedness shall rank junior to the Liens on the Collateral securing the Secured Obligations. With regard to any changes in light of prevailing market conditions as set forth above in clauses (a)(i) or (b)(i) or with regard to clauses (a)(ii) or (b)(ii), such changes or agreement, as applicable, shall be posted to the Lenders not less than five (5) Business Days before execution thereof and, if the Required Lenders shall not have objected to such changes within three (3) Business Days after posting, then the Required Lenders shall be deemed to have agreed that the First Lien Administrative Agent’s entry into such intercreditor agreement (including with such changes) is reasonable and to have consented to such intercreditor agreement (including with such changes) and to the First Lien Administrative Agent’s execution thereof.</w:t>
      </w:r>
    </w:p>
    <w:p>
      <w:pPr>
        <w:pStyle w:val="TextBody"/>
        <w:bidi w:val="0"/>
        <w:spacing w:before="17"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Daily Simple RFR</w:t>
      </w:r>
      <w:r>
        <w:rPr>
          <w:color w:val="000000"/>
        </w:rPr>
        <w:t xml:space="preserve">” </w:t>
      </w:r>
      <w:r>
        <w:rPr>
          <w:rFonts w:ascii="Times New Roman;sans-serif" w:hAnsi="Times New Roman;sans-serif"/>
          <w:b w:val="false"/>
          <w:color w:val="000000"/>
          <w:sz w:val="20"/>
        </w:rPr>
        <w:t>means, for any day (an “</w:t>
      </w:r>
      <w:r>
        <w:rPr>
          <w:rFonts w:ascii="Times New Roman;sans-serif" w:hAnsi="Times New Roman;sans-serif"/>
          <w:b w:val="false"/>
          <w:color w:val="000000"/>
          <w:sz w:val="20"/>
          <w:u w:val="single"/>
        </w:rPr>
        <w:t>RFR Interest Day</w:t>
      </w:r>
      <w:r>
        <w:rPr>
          <w:color w:val="000000"/>
        </w:rPr>
        <w:t>”</w:t>
      </w:r>
      <w:r>
        <w:rPr>
          <w:rFonts w:ascii="Times New Roman;sans-serif" w:hAnsi="Times New Roman;sans-serif"/>
          <w:b w:val="false"/>
          <w:color w:val="000000"/>
          <w:sz w:val="20"/>
        </w:rPr>
        <w:t>), an interest rate per annum equal to, for any RFR Loan denominated in (i) Sterling, Adjusted Daily Simple SONIA for the day that is 5 RFR Business Days prior to (A) if such RFR Interest Day is an RFR Business Day, such RFR Interest Day or (B) if such RFR Interest Day is not an RFR Business Day, the RFR Business Day immediately preceding such RFR, and (ii) Dollars, Adjusted Daily Simple SOFR.</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Daily Simple SOFR</w:t>
      </w:r>
      <w:r>
        <w:rPr>
          <w:color w:val="000000"/>
        </w:rPr>
        <w:t xml:space="preserve">” </w:t>
      </w:r>
      <w:r>
        <w:rPr>
          <w:rFonts w:ascii="Times New Roman;sans-serif" w:hAnsi="Times New Roman;sans-serif"/>
          <w:b w:val="false"/>
          <w:color w:val="000000"/>
          <w:sz w:val="20"/>
        </w:rPr>
        <w:t>means, for any day (a “</w:t>
      </w:r>
      <w:r>
        <w:rPr>
          <w:rFonts w:ascii="Times New Roman;sans-serif" w:hAnsi="Times New Roman;sans-serif"/>
          <w:b w:val="false"/>
          <w:color w:val="000000"/>
          <w:sz w:val="20"/>
          <w:u w:val="single"/>
        </w:rPr>
        <w:t>SOFR Rate Day</w:t>
      </w:r>
      <w:r>
        <w:rPr>
          <w:color w:val="000000"/>
        </w:rPr>
        <w:t>”</w:t>
      </w:r>
      <w:r>
        <w:rPr>
          <w:rFonts w:ascii="Times New Roman;sans-serif" w:hAnsi="Times New Roman;sans-serif"/>
          <w:b w:val="false"/>
          <w:color w:val="000000"/>
          <w:sz w:val="20"/>
        </w:rPr>
        <w:t>), a rate per annum equal to SOFR for the day that is five (5) RFR Business Days prior to (i) if such SOFR Rate Day is a RFR Business Day, such SOFR Rate Day or (ii) if such SOFR Rate Day is not a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Daily Simple SONIA</w:t>
      </w:r>
      <w:r>
        <w:rPr>
          <w:color w:val="000000"/>
        </w:rPr>
        <w:t xml:space="preserve">” </w:t>
      </w:r>
      <w:r>
        <w:rPr>
          <w:rFonts w:ascii="Times New Roman;sans-serif" w:hAnsi="Times New Roman;sans-serif"/>
          <w:b w:val="false"/>
          <w:color w:val="000000"/>
          <w:sz w:val="20"/>
        </w:rPr>
        <w:t>means, for any day (a “</w:t>
      </w:r>
      <w:r>
        <w:rPr>
          <w:rFonts w:ascii="Times New Roman;sans-serif" w:hAnsi="Times New Roman;sans-serif"/>
          <w:b w:val="false"/>
          <w:color w:val="000000"/>
          <w:sz w:val="20"/>
          <w:u w:val="single"/>
        </w:rPr>
        <w:t>SONIA Interest Day</w:t>
      </w:r>
      <w:r>
        <w:rPr>
          <w:color w:val="000000"/>
        </w:rPr>
        <w:t>”</w:t>
      </w:r>
      <w:r>
        <w:rPr>
          <w:rFonts w:ascii="Times New Roman;sans-serif" w:hAnsi="Times New Roman;sans-serif"/>
          <w:b w:val="false"/>
          <w:color w:val="000000"/>
          <w:sz w:val="20"/>
        </w:rPr>
        <w:t>), an interest rate per annum equal to SONIA for the day that is five SONIA Business Days prior to (a) if such SONIA Interest Day is a SONIA Business Day, such SONIA Interest Day or (b) if such SONIA Interest Day is not a SONIA Business Day, the SONIA Business Day immediately preceding such SONIA Interest Day.</w:t>
      </w:r>
    </w:p>
    <w:p>
      <w:pPr>
        <w:pStyle w:val="TextBody"/>
        <w:bidi w:val="0"/>
        <w:spacing w:before="12"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Debtor Relief Laws</w:t>
      </w:r>
      <w:r>
        <w:rPr>
          <w:color w:val="000000"/>
        </w:rPr>
        <w:t xml:space="preserve">” </w:t>
      </w:r>
      <w:r>
        <w:rPr>
          <w:rFonts w:ascii="Times New Roman;sans-serif" w:hAnsi="Times New Roman;sans-serif"/>
          <w:b w:val="false"/>
          <w:color w:val="000000"/>
          <w:sz w:val="20"/>
        </w:rPr>
        <w:t xml:space="preserve">means the Bankruptcy Code and all other liquidation, conservatorship, bankruptcy, assignment for the benefit of creditors, moratorium, rearrangement, receivership, insolvency,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1155"/>
                <wp:effectExtent l="0" t="0" r="0" b="0"/>
                <wp:wrapNone/>
                <wp:docPr id="104" name="Frame10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reorganization, or similar debtor relief laws of the United States or other applicable jurisdictions (domestic or foreign) from time to time in effect and affecting the rights of creditors generally.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Default</w:t>
      </w:r>
      <w:r>
        <w:rPr>
          <w:color w:val="000000"/>
        </w:rPr>
        <w:t xml:space="preserve">” </w:t>
      </w:r>
      <w:r>
        <w:rPr>
          <w:rFonts w:ascii="Times New Roman;sans-serif" w:hAnsi="Times New Roman;sans-serif"/>
          <w:b w:val="false"/>
          <w:color w:val="000000"/>
          <w:sz w:val="20"/>
        </w:rPr>
        <w:t>means any event or condition that constitutes an Event of Default or that upon notice, lapse of time or both would, unless cured or waived, become an Event of Default.</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Defaulting Lender</w:t>
      </w:r>
      <w:r>
        <w:rPr>
          <w:color w:val="000000"/>
        </w:rPr>
        <w:t xml:space="preserve">” </w:t>
      </w:r>
      <w:r>
        <w:rPr>
          <w:rFonts w:ascii="Times New Roman;sans-serif" w:hAnsi="Times New Roman;sans-serif"/>
          <w:b w:val="false"/>
          <w:color w:val="000000"/>
          <w:sz w:val="20"/>
        </w:rPr>
        <w:t>means, subject to Section 2.22(b), any Lender that (a) has failed to perform any of its funding obligations hereunder, including in respect of its Loans or participations in respect of Letters of Credit or Swingline Loans, within two (2) Business Days of the date required to be funded by it hereunder unless such Lender notifies the First Lien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Borrower, the First Lien Administrative Agent, any Issuing Bank, any Swingline Lender or any Lender that it does not intend to comply with its funding obligations or has made a public statement or provided any written notification to any Person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request by the First Lien Administrative Agent (whether acting on its own behalf or at the reasonable request of the Borrower (it being understood that the First Lien Administrative Agent shall comply with any such reasonable request)) or any Issuing Bank, to confirm in a manner satisfactory to the First Lien Administrative Agent, such Issuing Bank and the Borrower that it will comply with its funding obligations (provided that such Lender shall cease to be a Defaulting Lender pursuant to this clause (c) upon receipt of such written confirmation by the First Lien Administrative Agent and the Borrower), or (d) has, or has a direct or indirect parent company that has, other than via an Undisclosed Administration, (i) become or is insolvent, (ii) become the subject of a proceeding under any Debtor Relief Law, (iii) had a receiver, conservator, trustee, administrator, assignee for the benefit of creditors or similar Person charged with reorganization or liquidation of its business or a custodian appointed for it, (iv) taken any action in furtherance of, or indicated its consent to, approval of or acquiescence in any such proceeding or appointment; or (v) become the subject of a Bail-in Action provided that a Lender shall not be a Defaulting Lender solely by virtue of the ownership or acquisition of any equity interest in that Lender or any direct or indirect parent company thereof by a Governmental Authority, where such ownership interest or proceeding does not result in or provide such Lender or Person with immunity from the jurisdiction 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w:t>
      </w:r>
    </w:p>
    <w:p>
      <w:pPr>
        <w:pStyle w:val="TextBody"/>
        <w:bidi w:val="0"/>
        <w:spacing w:before="22"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Defaulting Lender Fronting Exposure</w:t>
      </w:r>
      <w:r>
        <w:rPr>
          <w:color w:val="000000"/>
        </w:rPr>
        <w:t xml:space="preserve">” </w:t>
      </w:r>
      <w:r>
        <w:rPr>
          <w:rFonts w:ascii="Times New Roman;sans-serif" w:hAnsi="Times New Roman;sans-serif"/>
          <w:b w:val="false"/>
          <w:color w:val="000000"/>
          <w:sz w:val="20"/>
        </w:rPr>
        <w:t>means, at any time there is a Defaulting Lender, (a) with respect to any Issuing Bank, such Defaulting Lender’s Applicable Percentage of the First Lien Loan Document Obligations with respect to the Letters of Credit issued by such Issuing Bank other than First Lien Loan Document Obligations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or cash collateralized in accordance with the terms hereof.</w:t>
      </w:r>
    </w:p>
    <w:p>
      <w:pPr>
        <w:pStyle w:val="TextBody"/>
        <w:bidi w:val="0"/>
        <w:spacing w:before="13" w:after="283"/>
        <w:jc w:val="left"/>
        <w:rPr/>
      </w:pPr>
      <w:r>
        <w:rPr/>
      </w:r>
    </w:p>
    <w:p>
      <w:pPr>
        <w:pStyle w:val="TextBody"/>
        <w:bidi w:val="0"/>
        <w:spacing w:lineRule="auto" w:line="288" w:before="0" w:after="0"/>
        <w:ind w:left="0" w:right="0" w:firstLine="1511"/>
        <w:jc w:val="both"/>
        <w:rPr/>
      </w:pPr>
      <w:r>
        <w:rPr>
          <w:color w:val="000000"/>
        </w:rPr>
        <w:t>“</w:t>
      </w:r>
      <w:r>
        <w:rPr>
          <w:rFonts w:ascii="Times New Roman;sans-serif" w:hAnsi="Times New Roman;sans-serif"/>
          <w:b w:val="false"/>
          <w:color w:val="000000"/>
          <w:sz w:val="20"/>
          <w:u w:val="single"/>
        </w:rPr>
        <w:t>Designated Non-Cash Consideration</w:t>
      </w:r>
      <w:r>
        <w:rPr>
          <w:color w:val="000000"/>
        </w:rPr>
        <w:t xml:space="preserve">” </w:t>
      </w:r>
      <w:r>
        <w:rPr>
          <w:rFonts w:ascii="Times New Roman;sans-serif" w:hAnsi="Times New Roman;sans-serif"/>
          <w:b w:val="false"/>
          <w:color w:val="000000"/>
          <w:sz w:val="20"/>
        </w:rPr>
        <w:t>means the Fair Market Value of non-cash consideration received by the Borrower or a Subsidiary in connection with a Disposition pursuant to Section 6.05(k)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pStyle w:val="TextBody"/>
        <w:bidi w:val="0"/>
        <w:spacing w:before="12"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1155"/>
                <wp:effectExtent l="0" t="0" r="0" b="0"/>
                <wp:wrapNone/>
                <wp:docPr id="105" name="Frame10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Discount Prepayment Accepting Lender</w:t>
      </w:r>
      <w:r>
        <w:rPr>
          <w:color w:val="000000"/>
        </w:rPr>
        <w:t xml:space="preserve">” </w:t>
      </w:r>
      <w:r>
        <w:rPr>
          <w:rFonts w:ascii="Times New Roman;sans-serif" w:hAnsi="Times New Roman;sans-serif"/>
          <w:b w:val="false"/>
          <w:color w:val="000000"/>
          <w:sz w:val="20"/>
        </w:rPr>
        <w:t>has the meaning assigned to such term in Section 2.11(a)(ii)(B)(2).</w:t>
      </w:r>
    </w:p>
    <w:p>
      <w:pPr>
        <w:pStyle w:val="TextBody"/>
        <w:bidi w:val="0"/>
        <w:spacing w:before="60" w:after="283"/>
        <w:jc w:val="left"/>
        <w:rPr/>
      </w:pPr>
      <w:r>
        <w:rPr/>
      </w:r>
    </w:p>
    <w:p>
      <w:pPr>
        <w:pStyle w:val="TextBody"/>
        <w:bidi w:val="0"/>
        <w:spacing w:lineRule="auto" w:line="288" w:before="60" w:after="283"/>
        <w:jc w:val="left"/>
        <w:rPr/>
      </w:pPr>
      <w:r>
        <w:rPr>
          <w:color w:val="000000"/>
        </w:rPr>
        <w:t>“</w:t>
      </w:r>
      <w:r>
        <w:rPr>
          <w:rFonts w:ascii="Times New Roman;sans-serif" w:hAnsi="Times New Roman;sans-serif"/>
          <w:b w:val="false"/>
          <w:color w:val="000000"/>
          <w:sz w:val="20"/>
          <w:u w:val="single"/>
        </w:rPr>
        <w:t>Discount Range</w:t>
      </w:r>
      <w:r>
        <w:rPr>
          <w:color w:val="000000"/>
        </w:rPr>
        <w:t xml:space="preserve">” </w:t>
      </w:r>
      <w:r>
        <w:rPr>
          <w:rFonts w:ascii="Times New Roman;sans-serif" w:hAnsi="Times New Roman;sans-serif"/>
          <w:b w:val="false"/>
          <w:color w:val="000000"/>
          <w:sz w:val="20"/>
        </w:rPr>
        <w:t>has the meaning assigned to such term in Section 2.11(a)(ii)(C)(1).</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Discount Range Prepayment Amount</w:t>
      </w:r>
      <w:r>
        <w:rPr>
          <w:color w:val="000000"/>
        </w:rPr>
        <w:t xml:space="preserve">” </w:t>
      </w:r>
      <w:r>
        <w:rPr>
          <w:rFonts w:ascii="Times New Roman;sans-serif" w:hAnsi="Times New Roman;sans-serif"/>
          <w:b w:val="false"/>
          <w:color w:val="000000"/>
          <w:sz w:val="20"/>
        </w:rPr>
        <w:t>has the meaning assigned to such term in Section 2.11(a)(ii)(C)(1).</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Discount Range Prepayment Notice</w:t>
      </w:r>
      <w:r>
        <w:rPr>
          <w:color w:val="000000"/>
        </w:rPr>
        <w:t xml:space="preserve">” </w:t>
      </w:r>
      <w:r>
        <w:rPr>
          <w:rFonts w:ascii="Times New Roman;sans-serif" w:hAnsi="Times New Roman;sans-serif"/>
          <w:b w:val="false"/>
          <w:color w:val="000000"/>
          <w:sz w:val="20"/>
        </w:rPr>
        <w:t>means a written notice of a Borrower Solicitation of Discount Range Prepayment Offers made pursuant to Section 2.11(a)(ii)(C) substantially in the form of Exhibit I.</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Discount Range Prepayment Offer</w:t>
      </w:r>
      <w:r>
        <w:rPr>
          <w:color w:val="000000"/>
        </w:rPr>
        <w:t xml:space="preserve">” </w:t>
      </w:r>
      <w:r>
        <w:rPr>
          <w:rFonts w:ascii="Times New Roman;sans-serif" w:hAnsi="Times New Roman;sans-serif"/>
          <w:b w:val="false"/>
          <w:color w:val="000000"/>
          <w:sz w:val="20"/>
        </w:rPr>
        <w:t>means the irrevocable written offer by a Term Lender, substantially in the form of Exhibit J, submitted in response to an invitation to submit offers following the Auction Agent’s receipt of a Discount Range Prepayment Notice.</w:t>
      </w:r>
    </w:p>
    <w:p>
      <w:pPr>
        <w:pStyle w:val="TextBody"/>
        <w:bidi w:val="0"/>
        <w:spacing w:before="11"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Discount Range Prepayment Response Date</w:t>
      </w:r>
      <w:r>
        <w:rPr>
          <w:color w:val="000000"/>
        </w:rPr>
        <w:t xml:space="preserve">” </w:t>
      </w:r>
      <w:r>
        <w:rPr>
          <w:rFonts w:ascii="Times New Roman;sans-serif" w:hAnsi="Times New Roman;sans-serif"/>
          <w:b w:val="false"/>
          <w:color w:val="000000"/>
          <w:sz w:val="20"/>
        </w:rPr>
        <w:t>has the meaning assigned to such term in Section 2.11(a)(ii)(C)(1).</w:t>
      </w:r>
    </w:p>
    <w:p>
      <w:pPr>
        <w:pStyle w:val="TextBody"/>
        <w:bidi w:val="0"/>
        <w:spacing w:lineRule="auto" w:line="655" w:before="0" w:after="0"/>
        <w:jc w:val="left"/>
        <w:rPr/>
      </w:pPr>
      <w:r>
        <w:rPr>
          <w:color w:val="000000"/>
        </w:rPr>
        <w:t>“</w:t>
      </w:r>
      <w:r>
        <w:rPr>
          <w:rFonts w:ascii="Times New Roman;sans-serif" w:hAnsi="Times New Roman;sans-serif"/>
          <w:b w:val="false"/>
          <w:color w:val="000000"/>
          <w:sz w:val="20"/>
          <w:u w:val="single"/>
        </w:rPr>
        <w:t>Discount Range Proration</w:t>
      </w:r>
      <w:r>
        <w:rPr>
          <w:color w:val="000000"/>
        </w:rPr>
        <w:t xml:space="preserve">” </w:t>
      </w:r>
      <w:r>
        <w:rPr>
          <w:rFonts w:ascii="Times New Roman;sans-serif" w:hAnsi="Times New Roman;sans-serif"/>
          <w:b w:val="false"/>
          <w:color w:val="000000"/>
          <w:sz w:val="20"/>
        </w:rPr>
        <w:t>has the meaning assigned to such term in Section 2.11(a)(ii)(C)(3). “</w:t>
      </w:r>
      <w:r>
        <w:rPr>
          <w:rFonts w:ascii="Times New Roman;sans-serif" w:hAnsi="Times New Roman;sans-serif"/>
          <w:b w:val="false"/>
          <w:color w:val="000000"/>
          <w:sz w:val="20"/>
          <w:u w:val="single"/>
        </w:rPr>
        <w:t>Discounted Prepayment Determination Date</w:t>
      </w:r>
      <w:r>
        <w:rPr>
          <w:color w:val="000000"/>
        </w:rPr>
        <w:t xml:space="preserve">” </w:t>
      </w:r>
      <w:r>
        <w:rPr>
          <w:rFonts w:ascii="Times New Roman;sans-serif" w:hAnsi="Times New Roman;sans-serif"/>
          <w:b w:val="false"/>
          <w:color w:val="000000"/>
          <w:sz w:val="20"/>
        </w:rPr>
        <w:t>has the meaning assigned to such term in</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2.11(a)(ii)(D)(3).</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Discounted Prepayment Effective Date</w:t>
      </w:r>
      <w:r>
        <w:rPr>
          <w:color w:val="000000"/>
        </w:rPr>
        <w:t xml:space="preserve">” </w:t>
      </w:r>
      <w:r>
        <w:rPr>
          <w:rFonts w:ascii="Times New Roman;sans-serif" w:hAnsi="Times New Roman;sans-serif"/>
          <w:b w:val="false"/>
          <w:color w:val="000000"/>
          <w:sz w:val="20"/>
        </w:rPr>
        <w:t>means in the case of a Borrower Offer of Specified Discount Prepayment or Borrower Solicitation of Discount Range Prepayment Offer, five (5) Business Days following the receipt by each relevant Term Lender of notice from the Auction Agent in accordance with Section 2.11(a)(ii)(B), Section 2.11(a)(ii)(C) or Section 2.11(a)(ii)(D), as applicable unless a shorter period is agreed to between the Borrower and the Auction Agent.</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Discounted Term Loan Prepayment</w:t>
      </w:r>
      <w:r>
        <w:rPr>
          <w:color w:val="000000"/>
        </w:rPr>
        <w:t xml:space="preserve">” </w:t>
      </w:r>
      <w:r>
        <w:rPr>
          <w:rFonts w:ascii="Times New Roman;sans-serif" w:hAnsi="Times New Roman;sans-serif"/>
          <w:b w:val="false"/>
          <w:color w:val="000000"/>
          <w:sz w:val="20"/>
        </w:rPr>
        <w:t>has the meaning assigned to such term in Section 2.11(a)(ii)(A).</w:t>
      </w:r>
    </w:p>
    <w:p>
      <w:pPr>
        <w:pStyle w:val="TextBody"/>
        <w:bidi w:val="0"/>
        <w:spacing w:lineRule="auto" w:line="655" w:before="1" w:after="283"/>
        <w:jc w:val="left"/>
        <w:rPr/>
      </w:pPr>
      <w:r>
        <w:rPr>
          <w:color w:val="000000"/>
        </w:rPr>
        <w:t>“</w:t>
      </w:r>
      <w:r>
        <w:rPr>
          <w:rFonts w:ascii="Times New Roman;sans-serif" w:hAnsi="Times New Roman;sans-serif"/>
          <w:b w:val="false"/>
          <w:color w:val="000000"/>
          <w:sz w:val="20"/>
          <w:u w:val="single"/>
        </w:rPr>
        <w:t>Dispose</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color w:val="000000"/>
          <w:sz w:val="20"/>
          <w:u w:val="single"/>
        </w:rPr>
        <w:t>Disposition</w:t>
      </w:r>
      <w:r>
        <w:rPr>
          <w:color w:val="000000"/>
        </w:rPr>
        <w:t xml:space="preserve">” </w:t>
      </w:r>
      <w:r>
        <w:rPr>
          <w:rFonts w:ascii="Times New Roman;sans-serif" w:hAnsi="Times New Roman;sans-serif"/>
          <w:b w:val="false"/>
          <w:color w:val="000000"/>
          <w:sz w:val="20"/>
        </w:rPr>
        <w:t>each has the meaning assigned to such term in Section 6.05. “</w:t>
      </w:r>
      <w:r>
        <w:rPr>
          <w:rFonts w:ascii="Times New Roman;sans-serif" w:hAnsi="Times New Roman;sans-serif"/>
          <w:b w:val="false"/>
          <w:color w:val="000000"/>
          <w:sz w:val="20"/>
          <w:u w:val="single"/>
        </w:rPr>
        <w:t>Disposed EBITDA</w:t>
      </w:r>
      <w:r>
        <w:rPr>
          <w:color w:val="000000"/>
        </w:rPr>
        <w:t xml:space="preserve">” </w:t>
      </w:r>
      <w:r>
        <w:rPr>
          <w:rFonts w:ascii="Times New Roman;sans-serif" w:hAnsi="Times New Roman;sans-serif"/>
          <w:b w:val="false"/>
          <w:color w:val="000000"/>
          <w:sz w:val="20"/>
        </w:rPr>
        <w:t>means, with respect to any Sold Entity or Business or Converted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Unrestricted Subsidiary for any period through (but not after) the date of such disposition, the amount for such period of Consolidated EBITDA of such Sold Entity or Business or Converted Unrestricted Subsidiary (determined as if references to the Borrower and its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pStyle w:val="TextBody"/>
        <w:bidi w:val="0"/>
        <w:spacing w:before="13"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Disqualified Equity Interest</w:t>
      </w:r>
      <w:r>
        <w:rPr>
          <w:color w:val="000000"/>
        </w:rPr>
        <w:t xml:space="preserve">” </w:t>
      </w:r>
      <w:r>
        <w:rPr>
          <w:rFonts w:ascii="Times New Roman;sans-serif" w:hAnsi="Times New Roman;sans-serif"/>
          <w:b w:val="false"/>
          <w:color w:val="000000"/>
          <w:sz w:val="20"/>
        </w:rPr>
        <w:t>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pStyle w:val="TextBody"/>
        <w:bidi w:val="0"/>
        <w:spacing w:before="11"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1155"/>
                <wp:effectExtent l="0" t="0" r="0" b="0"/>
                <wp:wrapNone/>
                <wp:docPr id="106" name="Frame10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11" w:after="283"/>
        <w:jc w:val="left"/>
        <w:rPr/>
      </w:pPr>
      <w:r>
        <w:rPr/>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pStyle w:val="TextBody"/>
        <w:bidi w:val="0"/>
        <w:spacing w:before="11" w:after="283"/>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each case, on or prior to the date ninety-one (91) days after the Latest Maturity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shall not constitute a Disqualified Equity Interest if any such requirement becomes operative only after the Termination Date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pStyle w:val="TextBody"/>
        <w:bidi w:val="0"/>
        <w:spacing w:before="14"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Disqualified Lenders</w:t>
      </w:r>
      <w:r>
        <w:rPr>
          <w:color w:val="000000"/>
        </w:rPr>
        <w:t xml:space="preserve">” </w:t>
      </w:r>
      <w:r>
        <w:rPr>
          <w:rFonts w:ascii="Times New Roman;sans-serif" w:hAnsi="Times New Roman;sans-serif"/>
          <w:b w:val="false"/>
          <w:color w:val="000000"/>
          <w:sz w:val="20"/>
        </w:rPr>
        <w:t xml:space="preserve">means, (i) those Persons identified by the Borrower to the First Lien Administrative Agent in writing (x) with respect to the 2024 Refinancing Term Loans, (I) prior to the Amendment No. 4 Effective Date as being “Disqualified Lenders” or (II) in writing on or after the Amendment No. 4 Effective Date with the consent of the First Lien Administrative Agent (such consent not to be unreasonably withheld, conditioned or delayed) as being “Disqualified Lenders”, which designation shall become effective two (2) Business Days after delivery of each such written designation to the First Lien Administrative Agent but which shall not apply retroactively to disqualify any Persons that previously acquired an assignment or participation interest in any Loan or Commitment prior to such second Business Day after such written designation and (y) with respect to the Revolving Loans, (I) prior to the Amendment No. </w:t>
      </w:r>
      <w:r>
        <w:rPr>
          <w:rFonts w:ascii="Times New Roman;sans-serif" w:hAnsi="Times New Roman;sans-serif"/>
          <w:b/>
          <w:strike/>
          <w:color w:val="FF0000"/>
          <w:sz w:val="20"/>
        </w:rPr>
        <w:t>3</w:t>
      </w:r>
      <w:r>
        <w:rPr>
          <w:rFonts w:ascii="Times New Roman;sans-serif" w:hAnsi="Times New Roman;sans-serif"/>
          <w:b/>
          <w:color w:val="0000FF"/>
          <w:sz w:val="20"/>
          <w:u w:val="single"/>
        </w:rPr>
        <w:t>5</w:t>
      </w:r>
      <w:r>
        <w:rPr>
          <w:color w:val="0000FF"/>
        </w:rPr>
        <w:t xml:space="preserve"> </w:t>
      </w:r>
      <w:r>
        <w:rPr>
          <w:rFonts w:ascii="Times New Roman;sans-serif" w:hAnsi="Times New Roman;sans-serif"/>
          <w:b w:val="false"/>
          <w:color w:val="000000"/>
          <w:sz w:val="20"/>
        </w:rPr>
        <w:t xml:space="preserve">Effective Date as being “Disqualified Lenders” or (II) in writing on or after the Amendment No. </w:t>
      </w:r>
      <w:r>
        <w:rPr>
          <w:rFonts w:ascii="Times New Roman;sans-serif" w:hAnsi="Times New Roman;sans-serif"/>
          <w:b/>
          <w:strike/>
          <w:color w:val="FF0000"/>
          <w:sz w:val="20"/>
        </w:rPr>
        <w:t>3</w:t>
      </w:r>
      <w:r>
        <w:rPr>
          <w:rFonts w:ascii="Times New Roman;sans-serif" w:hAnsi="Times New Roman;sans-serif"/>
          <w:b/>
          <w:color w:val="0000FF"/>
          <w:sz w:val="20"/>
          <w:u w:val="single"/>
        </w:rPr>
        <w:t>5</w:t>
      </w:r>
      <w:r>
        <w:rPr>
          <w:color w:val="0000FF"/>
        </w:rPr>
        <w:t xml:space="preserve"> </w:t>
      </w:r>
      <w:r>
        <w:rPr>
          <w:rFonts w:ascii="Times New Roman;sans-serif" w:hAnsi="Times New Roman;sans-serif"/>
          <w:b w:val="false"/>
          <w:color w:val="000000"/>
          <w:sz w:val="20"/>
        </w:rPr>
        <w:t>Effective Date with the consent of the First Lien Administrative Agent (such consent not to be unreasonably withheld, conditioned or delayed) as being “Disqualified Lenders”, which designation shall become effective two (2) Business Days after delivery of each such written designation to the First Lien Administrative Agent but which shall not apply retroactively to disqualify any Persons that previously acquired an assignment or participation interest in any Loan or Commitment prior to such second Business Day after such written designation, (ii) those Persons who are competitors of the Borrower and its Subsidiaries (other than any bona fide diversified debt investment fund) and are identified by the Sponsor or the Borrower to the First Lien Administrative Agent from time to time in writing which designation shall become effective two (2) Business Days after delivery of each such written designation to the First Lien Administrative Agent, but which shall not apply retroactively to disqualify any Persons that previously acquired an assignment or participation interest in any Loan prior to such second Business Day after such written designation, (iii) Excluded Affiliates, (iv) in the case of each Person identified pursuant to clauses (i) or (ii) above, any of their Affiliates that are either (x) identified in writing by the Sponsor or the Borrower to the First Lien Administrative Agent from time to time or (y) known or reasonably identifiable as an Affiliate of any such Person, (v) any Lender that has made an incorrect representation or warranty or deemed representation or warranty with respect to not being a Net Short Lender, in each case as provided in the final sentence of Section 9.02(h) or (vi) solely with respect to the Revolving Loans, any Lender that informs the First Lien Administrative Agent that it is a Net Short Lender. Upon inquiry by any Lender to the First Lien Administrative Agent as to whether a specified potential assignee or prospective participant is a Disqualified Lender, the First Lien Administrative Agent shall be permitted to disclose to such Lender (x) whether such specific potential assignee or prospective participant is a Disqualified Lender or (y) the identity of any other Disqualified Lender which the First Lien Administrative Agent reasonably believes may be an Affiliate of such specified potential assignee or prospective participant.</w:t>
      </w:r>
    </w:p>
    <w:p>
      <w:pPr>
        <w:pStyle w:val="TextBody"/>
        <w:bidi w:val="0"/>
        <w:spacing w:before="23"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Dollar Amount</w:t>
      </w:r>
      <w:r>
        <w:rPr>
          <w:color w:val="000000"/>
        </w:rPr>
        <w:t xml:space="preserve">” </w:t>
      </w:r>
      <w:r>
        <w:rPr>
          <w:rFonts w:ascii="Times New Roman;sans-serif" w:hAnsi="Times New Roman;sans-serif"/>
          <w:b w:val="false"/>
          <w:color w:val="000000"/>
          <w:sz w:val="20"/>
        </w:rPr>
        <w:t>means, at any time:</w:t>
      </w:r>
    </w:p>
    <w:p>
      <w:pPr>
        <w:pStyle w:val="TextBody"/>
        <w:bidi w:val="0"/>
        <w:spacing w:before="11" w:after="283"/>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(a)with respect to an amount denominated in Dollars, such amount;</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1155"/>
                <wp:effectExtent l="0" t="0" r="0" b="0"/>
                <wp:wrapNone/>
                <wp:docPr id="107" name="Frame10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(b)with respect to any amount denominated in a currency other than Dollars, where a determination of such amount is required to be made under any First Lien Loan Document by the First Lien Administrative Agent or any Issuing Bank, the equivalent amount thereof in Dollars as determined by the First Lien Administrative Agent or such Issuing Bank, as the case may be, at such time on the basis of the Spot Rate (determined in respect of the most recent LC Revaluation Date or other applicable date of determination) for the purchase of Dollars with such Alternative Currency; and</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(c)with respect to any amount denominated in a currency other than Dollars, where a determination of such amount is required to be made under any First Lien Loan Document by Holdings, any Intermediate Parent, the Borrower or any Restricted Subsidiary, the equivalent amount thereof in Dollars as determined on the basis of the Average Exchange Rate for such currency.</w:t>
      </w:r>
    </w:p>
    <w:p>
      <w:pPr>
        <w:pStyle w:val="TextBody"/>
        <w:bidi w:val="0"/>
        <w:spacing w:before="12"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Dollars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w:t>
      </w:r>
      <w:r>
        <w:rPr>
          <w:color w:val="000000"/>
        </w:rPr>
        <w:t xml:space="preserve">” </w:t>
      </w:r>
      <w:r>
        <w:rPr>
          <w:rFonts w:ascii="Times New Roman;sans-serif" w:hAnsi="Times New Roman;sans-serif"/>
          <w:b w:val="false"/>
          <w:color w:val="000000"/>
          <w:sz w:val="20"/>
        </w:rPr>
        <w:t>refers to lawful money of the United States of America.</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Domestic Foreign Holdco</w:t>
      </w:r>
      <w:r>
        <w:rPr>
          <w:color w:val="000000"/>
        </w:rPr>
        <w:t xml:space="preserve">” </w:t>
      </w:r>
      <w:r>
        <w:rPr>
          <w:rFonts w:ascii="Times New Roman;sans-serif" w:hAnsi="Times New Roman;sans-serif"/>
          <w:b w:val="false"/>
          <w:color w:val="000000"/>
          <w:sz w:val="20"/>
        </w:rPr>
        <w:t>means any Subsidiary substantially all of whose assets (directly and/or indirectly through one or more Subsidiaries) are capital stock (and, if applicable, debt) of one or more Subsidiaries that are CFCs.</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ECF Percentage</w:t>
      </w:r>
      <w:r>
        <w:rPr>
          <w:color w:val="000000"/>
        </w:rPr>
        <w:t xml:space="preserve">” </w:t>
      </w:r>
      <w:r>
        <w:rPr>
          <w:rFonts w:ascii="Times New Roman;sans-serif" w:hAnsi="Times New Roman;sans-serif"/>
          <w:b w:val="false"/>
          <w:color w:val="000000"/>
          <w:sz w:val="20"/>
        </w:rPr>
        <w:t>means, with respect to the prepayment required by Section 2.11(d) with respect to any fiscal year of the Borrower, if the Senior Secured First Lien Net Leverage Ratio (prior to giving effect to the applicable prepayment pursuant to Section 2.11(d), but after giving effect to any voluntary prepayments made pursuant to Section 2.11(a) or otherwise in manner not prohibited by Section 9.04(g) prior to the date of such prepayment) as of the end of such fiscal year is (a) greater than 5.00 to 1.00, 50% of Excess Cash Flow for such fiscal year, (b) greater than 4.50 to 1.00 but less than or equal to 5.00 to 1.00, 25% of Excess Cash Flow for such fiscal year and (c) less than or equal to 4.50 to 1.00, 0% of Excess Cash Flow for such fiscal year.</w:t>
      </w:r>
    </w:p>
    <w:p>
      <w:pPr>
        <w:pStyle w:val="TextBody"/>
        <w:bidi w:val="0"/>
        <w:spacing w:before="13"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EEA Financial Institution</w:t>
      </w:r>
      <w:r>
        <w:rPr>
          <w:color w:val="000000"/>
        </w:rPr>
        <w:t xml:space="preserve">” </w:t>
      </w:r>
      <w:r>
        <w:rPr>
          <w:rFonts w:ascii="Times New Roman;sans-serif" w:hAnsi="Times New Roman;sans-serif"/>
          <w:b w:val="false"/>
          <w:color w:val="000000"/>
          <w:sz w:val="20"/>
        </w:rPr>
        <w:t>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12"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EEA Member Country</w:t>
      </w:r>
      <w:r>
        <w:rPr>
          <w:color w:val="000000"/>
        </w:rPr>
        <w:t xml:space="preserve">” </w:t>
      </w:r>
      <w:r>
        <w:rPr>
          <w:rFonts w:ascii="Times New Roman;sans-serif" w:hAnsi="Times New Roman;sans-serif"/>
          <w:b w:val="false"/>
          <w:color w:val="000000"/>
          <w:sz w:val="20"/>
        </w:rPr>
        <w:t>shall mean any of the member states of the European Union, Iceland, Liechtenstein, Norway and the United Kingdom.</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EEA Resolution Authority</w:t>
      </w:r>
      <w:r>
        <w:rPr>
          <w:color w:val="000000"/>
        </w:rPr>
        <w:t xml:space="preserve">” </w:t>
      </w:r>
      <w:r>
        <w:rPr>
          <w:rFonts w:ascii="Times New Roman;sans-serif" w:hAnsi="Times New Roman;sans-serif"/>
          <w:b w:val="false"/>
          <w:color w:val="000000"/>
          <w:sz w:val="20"/>
        </w:rPr>
        <w:t>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11" w:after="283"/>
        <w:jc w:val="left"/>
        <w:rPr/>
      </w:pPr>
      <w:r>
        <w:rPr/>
      </w:r>
    </w:p>
    <w:p>
      <w:pPr>
        <w:pStyle w:val="TextBody"/>
        <w:bidi w:val="0"/>
        <w:spacing w:lineRule="auto" w:line="288" w:before="1" w:after="283"/>
        <w:jc w:val="left"/>
        <w:rPr/>
      </w:pPr>
      <w:r>
        <w:rPr>
          <w:color w:val="000000"/>
        </w:rPr>
        <w:t>“</w:t>
      </w:r>
      <w:r>
        <w:rPr>
          <w:rFonts w:ascii="Times New Roman;sans-serif" w:hAnsi="Times New Roman;sans-serif"/>
          <w:b w:val="false"/>
          <w:color w:val="000000"/>
          <w:sz w:val="20"/>
          <w:u w:val="single"/>
        </w:rPr>
        <w:t>Effective Date</w:t>
      </w:r>
      <w:r>
        <w:rPr>
          <w:color w:val="000000"/>
        </w:rPr>
        <w:t xml:space="preserve">” </w:t>
      </w:r>
      <w:r>
        <w:rPr>
          <w:rFonts w:ascii="Times New Roman;sans-serif" w:hAnsi="Times New Roman;sans-serif"/>
          <w:b w:val="false"/>
          <w:color w:val="000000"/>
          <w:sz w:val="20"/>
        </w:rPr>
        <w:t>means December 13, 2019.</w:t>
      </w:r>
    </w:p>
    <w:p>
      <w:pPr>
        <w:pStyle w:val="TextBody"/>
        <w:bidi w:val="0"/>
        <w:spacing w:before="10"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Effective Yield</w:t>
      </w:r>
      <w:r>
        <w:rPr>
          <w:color w:val="000000"/>
        </w:rPr>
        <w:t xml:space="preserve">” </w:t>
      </w:r>
      <w:r>
        <w:rPr>
          <w:rFonts w:ascii="Times New Roman;sans-serif" w:hAnsi="Times New Roman;sans-serif"/>
          <w:b w:val="false"/>
          <w:color w:val="000000"/>
          <w:sz w:val="20"/>
        </w:rPr>
        <w:t xml:space="preserve">means, as to any Indebtedness, the effective yield on such Indebtedness in the reasonable determination of the First Lien Administrative Agent and the Borrower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paid with respect to the initial incurrence of any Class of Loans or series of Indebtedness, as applicable (amortized over the shorter of (a) the remaining Weighted Average Life to Maturity of such Indebtedness and (b) the four years following the date of incurrence thereof) payable generally to lenders or other institutions providing such Indebtedness, but excluding any (i) arrangement, syndication, commitment, underwriting, structuring, unused line, consent, amendment, success, advisory, exit, ticking and commitment fees and prepayment premium or penalty payable in connection therewith (regardless of whether shared or paid, in whole or in part, with or to any or all lenders), (ii) other fees payable in connection therewith that are not generally paid to all relevant lenders providing such Indebtedness of such type and (iii) if applicable, consent or waiver fees for an amendment paid generally to consenting or waiving lenders;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1155"/>
                <wp:effectExtent l="0" t="0" r="0" b="0"/>
                <wp:wrapNone/>
                <wp:docPr id="108" name="Frame10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any Indebtedness that includes a “SOFR floor” or “Base Rate floor,” (i) to the extent that the Term SOFR Reference Rate (with an Interest Period of three months), SOFR, or Alternate Base Rate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the Term SOFR Reference Rate (with an Interest Period of three months), SOFR or the Alternate Base Rate (without giving effect to any floors in such definitions), as applicable, on the date that the Effective Yield is being calculated is greater than such floor, then the floor shall be disregarded in calculating the Effective Yield.</w:t>
      </w:r>
    </w:p>
    <w:p>
      <w:pPr>
        <w:pStyle w:val="TextBody"/>
        <w:bidi w:val="0"/>
        <w:spacing w:before="12"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Eligible Assignee</w:t>
      </w:r>
      <w:r>
        <w:rPr>
          <w:color w:val="000000"/>
        </w:rPr>
        <w:t xml:space="preserve">” </w:t>
      </w:r>
      <w:r>
        <w:rPr>
          <w:rFonts w:ascii="Times New Roman;sans-serif" w:hAnsi="Times New Roman;sans-serif"/>
          <w:b w:val="false"/>
          <w:color w:val="000000"/>
          <w:sz w:val="20"/>
        </w:rPr>
        <w:t>means (a) a Lender, (b) an Affiliate of a Lender, (c) an Approved Fund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(d)any other Person (other than Holdings, any Intermediate Parent, the Borrower or any of their respective Affiliates), other than, in each case, (i) a natural person, (ii) a Defaulting Lender or (iii) a Disqualified Lender. Notwithstanding the foregoing, each Loan Party and the Lenders acknowledge and agree that the First Lien Administrative Agent shall have no responsibility or liability for monitoring or enforcing the list of Disqualified Lenders or for any assignment made to a Disqualified Lender unless (i) (A) such assignment resulted from the First Lien Administrative Agent’s gross negligence, bad faith or willful misconduct (as determined by a court of competent jurisdiction in a final and non-appealable judgment) or (B) such assignment resulted from a material breach of the First Lien Loan Documents by the First Lien Administrative Agent (as determined by a court of competent jurisdiction in a final and non-appealable judgment) and (ii) the Borrower has not consented to such assignment or is not deemed to have consented to such assignment to the extent required by Section 9.04(b).</w:t>
      </w:r>
    </w:p>
    <w:p>
      <w:pPr>
        <w:pStyle w:val="TextBody"/>
        <w:bidi w:val="0"/>
        <w:spacing w:before="14"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EMU Legislation</w:t>
      </w:r>
      <w:r>
        <w:rPr>
          <w:color w:val="000000"/>
        </w:rPr>
        <w:t xml:space="preserve">” </w:t>
      </w:r>
      <w:r>
        <w:rPr>
          <w:rFonts w:ascii="Times New Roman;sans-serif" w:hAnsi="Times New Roman;sans-serif"/>
          <w:b w:val="false"/>
          <w:color w:val="000000"/>
          <w:sz w:val="20"/>
        </w:rPr>
        <w:t>means the legislative measures of the European Council for the introduction of, changeover to or operation of a single or unified European currency.</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Environmental Laws</w:t>
      </w:r>
      <w:r>
        <w:rPr>
          <w:color w:val="000000"/>
        </w:rPr>
        <w:t xml:space="preserve">” </w:t>
      </w:r>
      <w:r>
        <w:rPr>
          <w:rFonts w:ascii="Times New Roman;sans-serif" w:hAnsi="Times New Roman;sans-serif"/>
          <w:b w:val="false"/>
          <w:color w:val="000000"/>
          <w:sz w:val="20"/>
        </w:rPr>
        <w:t>means all applicable treaties, rules, regulations, codes, ordinances, judgments, orders, decrees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 Release of any Hazardous Material or to the extent relating to exposure to Hazardous Materials, to health or safety matters.</w:t>
      </w:r>
    </w:p>
    <w:p>
      <w:pPr>
        <w:pStyle w:val="TextBody"/>
        <w:bidi w:val="0"/>
        <w:spacing w:before="13"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Environmental Liability</w:t>
      </w:r>
      <w:r>
        <w:rPr>
          <w:color w:val="000000"/>
        </w:rPr>
        <w:t xml:space="preserve">” </w:t>
      </w:r>
      <w:r>
        <w:rPr>
          <w:rFonts w:ascii="Times New Roman;sans-serif" w:hAnsi="Times New Roman;sans-serif"/>
          <w:b w:val="false"/>
          <w:color w:val="000000"/>
          <w:sz w:val="20"/>
        </w:rPr>
        <w:t>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directly or indirectly resulting from or based upon (a) any actual or alleged violation of any Environmental Law or permit, license or approval issued thereunder, (b) the generation, use, handling, transportation, storage, or treatment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pStyle w:val="TextBody"/>
        <w:bidi w:val="0"/>
        <w:spacing w:before="13" w:after="283"/>
        <w:jc w:val="left"/>
        <w:rPr/>
      </w:pPr>
      <w:r>
        <w:rPr/>
      </w:r>
    </w:p>
    <w:p>
      <w:pPr>
        <w:pStyle w:val="TextBody"/>
        <w:bidi w:val="0"/>
        <w:spacing w:lineRule="auto" w:line="288" w:before="0" w:after="0"/>
        <w:ind w:left="0" w:right="0" w:firstLine="1501"/>
        <w:jc w:val="both"/>
        <w:rPr/>
      </w:pPr>
      <w:r>
        <w:rPr>
          <w:color w:val="000000"/>
        </w:rPr>
        <w:t>“</w:t>
      </w:r>
      <w:r>
        <w:rPr>
          <w:rFonts w:ascii="Times New Roman;sans-serif" w:hAnsi="Times New Roman;sans-serif"/>
          <w:b w:val="false"/>
          <w:color w:val="000000"/>
          <w:sz w:val="20"/>
          <w:u w:val="single"/>
        </w:rPr>
        <w:t>Equity Interests</w:t>
      </w:r>
      <w:r>
        <w:rPr>
          <w:color w:val="000000"/>
        </w:rPr>
        <w:t xml:space="preserve">” </w:t>
      </w:r>
      <w:r>
        <w:rPr>
          <w:rFonts w:ascii="Times New Roman;sans-serif" w:hAnsi="Times New Roman;sans-serif"/>
          <w:b w:val="false"/>
          <w:color w:val="000000"/>
          <w:sz w:val="20"/>
        </w:rPr>
        <w:t>means shares of capital stock, partnership interests, membership interests in a limited liability company, beneficial interests in a trust or other equity ownership interests in a Person.</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ERISA</w:t>
      </w:r>
      <w:r>
        <w:rPr>
          <w:color w:val="000000"/>
        </w:rPr>
        <w:t xml:space="preserve">” </w:t>
      </w:r>
      <w:r>
        <w:rPr>
          <w:rFonts w:ascii="Times New Roman;sans-serif" w:hAnsi="Times New Roman;sans-serif"/>
          <w:b w:val="false"/>
          <w:color w:val="000000"/>
          <w:sz w:val="20"/>
        </w:rPr>
        <w:t>means the Employee Retirement Income Security Act of 1974, as amended from time to</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ERISA Affiliate</w:t>
      </w:r>
      <w:r>
        <w:rPr>
          <w:color w:val="000000"/>
        </w:rPr>
        <w:t xml:space="preserve">” </w:t>
      </w:r>
      <w:r>
        <w:rPr>
          <w:rFonts w:ascii="Times New Roman;sans-serif" w:hAnsi="Times New Roman;sans-serif"/>
          <w:b w:val="false"/>
          <w:color w:val="000000"/>
          <w:sz w:val="20"/>
        </w:rPr>
        <w:t>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w:t>
      </w:r>
    </w:p>
    <w:p>
      <w:pPr>
        <w:pStyle w:val="TextBody"/>
        <w:bidi w:val="0"/>
        <w:spacing w:before="11"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ERISA Event</w:t>
      </w:r>
      <w:r>
        <w:rPr>
          <w:color w:val="000000"/>
        </w:rPr>
        <w:t xml:space="preserve">” </w:t>
      </w:r>
      <w:r>
        <w:rPr>
          <w:rFonts w:ascii="Times New Roman;sans-serif" w:hAnsi="Times New Roman;sans-serif"/>
          <w:b w:val="false"/>
          <w:color w:val="000000"/>
          <w:sz w:val="20"/>
        </w:rPr>
        <w:t xml:space="preserve">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1155"/>
                <wp:effectExtent l="0" t="0" r="0" b="0"/>
                <wp:wrapNone/>
                <wp:docPr id="109" name="Frame10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or by application of Section 4069 of ERISA with respect to any terminated plan; (f) the receipt by a Loan Party or any ERISA Affiliate from the PBGC or a plan administrator of any notice to terminate any Plan or Plans or to appoint a trustee to administer any Plan, or to terminate or to appoint a trustee to administer any plan or plans in respect of which such Loan Party or ERISA Affiliate would be deemed to be an employer under Section 4069 of ERISA; (g) the incurrence by a Loan Party or any ERISA Affiliate of any liability with respect to the withdrawal or partial withdrawal from any Multiemployer Plan; (h) the receipt by a Loan Party or any ERISA Affiliate of any notice, or the receipt by any Multiemployer Plan from a Loan Party or any ERISA Affiliate of any notice, concerning the imposition of Withdrawal Liability, or the failure of a Loan Party or any ERISA Affiliate to pay when due, after the expiration of any applicable grace period, any installment payment with respect to any Withdrawal Liability; or (i) 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pStyle w:val="TextBody"/>
        <w:bidi w:val="0"/>
        <w:spacing w:before="15" w:after="283"/>
        <w:jc w:val="left"/>
        <w:rPr/>
      </w:pPr>
      <w:r>
        <w:rPr/>
      </w:r>
    </w:p>
    <w:p>
      <w:pPr>
        <w:pStyle w:val="TextBody"/>
        <w:bidi w:val="0"/>
        <w:spacing w:lineRule="auto" w:line="288" w:before="1" w:after="283"/>
        <w:jc w:val="center"/>
        <w:rPr/>
      </w:pPr>
      <w:r>
        <w:rPr>
          <w:color w:val="000000"/>
        </w:rPr>
        <w:t>“</w:t>
      </w:r>
      <w:r>
        <w:rPr>
          <w:rFonts w:ascii="Times New Roman;sans-serif" w:hAnsi="Times New Roman;sans-serif"/>
          <w:b w:val="false"/>
          <w:color w:val="000000"/>
          <w:sz w:val="20"/>
          <w:u w:val="single"/>
        </w:rPr>
        <w:t>Erroneous Payment</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9.22(a)</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w:t>
      </w:r>
      <w:r>
        <w:rPr>
          <w:rFonts w:ascii="Times New Roman;sans-serif" w:hAnsi="Times New Roman;sans-serif"/>
          <w:b w:val="false"/>
          <w:color w:val="000000"/>
          <w:sz w:val="20"/>
          <w:u w:val="single"/>
        </w:rPr>
        <w:t>Erroneous Payment Subrogation Rights</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 xml:space="preserve">Section </w:t>
      </w:r>
    </w:p>
    <w:p>
      <w:pPr>
        <w:pStyle w:val="TextBody"/>
        <w:bidi w:val="0"/>
        <w:spacing w:lineRule="auto" w:line="288" w:before="1" w:after="283"/>
        <w:jc w:val="left"/>
        <w:rPr/>
      </w:pPr>
      <w:r>
        <w:rPr>
          <w:rFonts w:ascii="Times New Roman;sans-serif" w:hAnsi="Times New Roman;sans-serif"/>
          <w:b w:val="false"/>
          <w:color w:val="000000"/>
          <w:sz w:val="20"/>
          <w:u w:val="single"/>
        </w:rPr>
        <w:t>9.22(d)</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EU Bail-In Legislation Schedule</w:t>
      </w:r>
      <w:r>
        <w:rPr>
          <w:color w:val="000000"/>
        </w:rPr>
        <w:t xml:space="preserve">” </w:t>
      </w:r>
      <w:r>
        <w:rPr>
          <w:rFonts w:ascii="Times New Roman;sans-serif" w:hAnsi="Times New Roman;sans-serif"/>
          <w:b w:val="false"/>
          <w:color w:val="000000"/>
          <w:sz w:val="20"/>
        </w:rPr>
        <w:t>shall mean the EU Bail-In Legislation Schedule published by the Loan Market Association (or any successor person), as in effect from time to time.</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EURIBOR Interpolated Rate</w:t>
      </w:r>
      <w:r>
        <w:rPr>
          <w:color w:val="000000"/>
        </w:rPr>
        <w:t xml:space="preserve">” </w:t>
      </w:r>
      <w:r>
        <w:rPr>
          <w:rFonts w:ascii="Times New Roman;sans-serif" w:hAnsi="Times New Roman;sans-serif"/>
          <w:b w:val="false"/>
          <w:color w:val="000000"/>
          <w:sz w:val="20"/>
        </w:rPr>
        <w:t>means, at any time, with respect to any Term Benchmark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provided that, if any EURIBOR Interpolated Rate shall be less than 0.00%, such rate shall be deemed to be 0.00% for the purposes of this Agreement.</w:t>
      </w:r>
    </w:p>
    <w:p>
      <w:pPr>
        <w:pStyle w:val="TextBody"/>
        <w:bidi w:val="0"/>
        <w:spacing w:before="13"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EURIBOR</w:t>
      </w:r>
      <w:r>
        <w:rPr>
          <w:color w:val="000000"/>
        </w:rPr>
        <w:t xml:space="preserve">” </w:t>
      </w:r>
      <w:r>
        <w:rPr>
          <w:rFonts w:ascii="Times New Roman;sans-serif" w:hAnsi="Times New Roman;sans-serif"/>
          <w:b w:val="false"/>
          <w:color w:val="000000"/>
          <w:sz w:val="20"/>
        </w:rPr>
        <w:t>means, with respect to any Term Benchmark Borrowing denominated in Euros and for any Interest Period, the EURIBOR Screen Rate at approximately 11:00 a.m., Brussels time, two TARGET Days prior to the commencement of such Interest Period; provided that, if the EURIBOR Screen Rate shall not be available at such time for such Interest Period (an “</w:t>
      </w:r>
      <w:r>
        <w:rPr>
          <w:rFonts w:ascii="Times New Roman;sans-serif" w:hAnsi="Times New Roman;sans-serif"/>
          <w:b w:val="false"/>
          <w:color w:val="000000"/>
          <w:sz w:val="20"/>
          <w:u w:val="single"/>
        </w:rPr>
        <w:t>Impacted EURIBOR Rate Interest Period</w:t>
      </w:r>
      <w:r>
        <w:rPr>
          <w:color w:val="000000"/>
        </w:rPr>
        <w:t>”</w:t>
      </w:r>
      <w:r>
        <w:rPr>
          <w:rFonts w:ascii="Times New Roman;sans-serif" w:hAnsi="Times New Roman;sans-serif"/>
          <w:b w:val="false"/>
          <w:color w:val="000000"/>
          <w:sz w:val="20"/>
        </w:rPr>
        <w:t>) with respect to Euros then EURIBOR shall be the EURIBOR Interpolated Rate.</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EURIBOR Screen Rate</w:t>
      </w:r>
      <w:r>
        <w:rPr>
          <w:color w:val="000000"/>
        </w:rPr>
        <w:t xml:space="preserve">” </w:t>
      </w:r>
      <w:r>
        <w:rPr>
          <w:rFonts w:ascii="Times New Roman;sans-serif" w:hAnsi="Times New Roman;sans-serif"/>
          <w:b w:val="false"/>
          <w:color w:val="000000"/>
          <w:sz w:val="20"/>
        </w:rPr>
        <w:t>means, means the euro interbank offered rate administered by the European Money Markets Institute (or any other person which takes over the administration of that rate) for the relevant period displayed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First Lien Administrative Agent may specify another page or service displaying the relevant rate after consultation with the Borrower. If the EURIBOR Screen Rate shall be less than 0.00%, the EURIBOR Screen Rate shall be deemed to be 0.00% for purposes of this Agreement.</w:t>
      </w:r>
    </w:p>
    <w:p>
      <w:pPr>
        <w:pStyle w:val="TextBody"/>
        <w:bidi w:val="0"/>
        <w:spacing w:before="13" w:after="283"/>
        <w:jc w:val="left"/>
        <w:rPr/>
      </w:pPr>
      <w:r>
        <w:rPr/>
      </w:r>
    </w:p>
    <w:p>
      <w:pPr>
        <w:pStyle w:val="TextBody"/>
        <w:bidi w:val="0"/>
        <w:spacing w:lineRule="auto" w:line="288" w:before="1" w:after="283"/>
        <w:jc w:val="left"/>
        <w:rPr/>
      </w:pPr>
      <w:r>
        <w:rPr>
          <w:color w:val="000000"/>
        </w:rPr>
        <w:t>“</w:t>
      </w:r>
      <w:r>
        <w:rPr>
          <w:rFonts w:ascii="Times New Roman;sans-serif" w:hAnsi="Times New Roman;sans-serif"/>
          <w:b w:val="false"/>
          <w:color w:val="000000"/>
          <w:sz w:val="20"/>
          <w:u w:val="single"/>
        </w:rPr>
        <w:t>Euro</w:t>
      </w:r>
      <w:r>
        <w:rPr>
          <w:color w:val="000000"/>
        </w:rPr>
        <w:t xml:space="preserve">” </w:t>
      </w:r>
      <w:r>
        <w:rPr>
          <w:rFonts w:ascii="Times New Roman;sans-serif" w:hAnsi="Times New Roman;sans-serif"/>
          <w:b w:val="false"/>
          <w:color w:val="000000"/>
          <w:sz w:val="20"/>
        </w:rPr>
        <w:t>means the lawful single currency of the European Union.</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1155"/>
                <wp:effectExtent l="0" t="0" r="0" b="0"/>
                <wp:wrapNone/>
                <wp:docPr id="110" name="Frame10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Event of Default</w:t>
      </w:r>
      <w:r>
        <w:rPr>
          <w:color w:val="000000"/>
        </w:rPr>
        <w:t xml:space="preserve">” </w:t>
      </w:r>
      <w:r>
        <w:rPr>
          <w:rFonts w:ascii="Times New Roman;sans-serif" w:hAnsi="Times New Roman;sans-serif"/>
          <w:b w:val="false"/>
          <w:color w:val="000000"/>
          <w:sz w:val="20"/>
        </w:rPr>
        <w:t>has the meaning assigned to such term in Section 7.01.</w:t>
      </w:r>
    </w:p>
    <w:p>
      <w:pPr>
        <w:pStyle w:val="TextBody"/>
        <w:bidi w:val="0"/>
        <w:spacing w:before="60" w:after="283"/>
        <w:jc w:val="center"/>
        <w:rPr/>
      </w:pPr>
      <w:r>
        <w:rPr/>
      </w:r>
    </w:p>
    <w:p>
      <w:pPr>
        <w:pStyle w:val="TextBody"/>
        <w:bidi w:val="0"/>
        <w:spacing w:lineRule="auto" w:line="288" w:before="60" w:after="283"/>
        <w:jc w:val="center"/>
        <w:rPr/>
      </w:pPr>
      <w:r>
        <w:rPr>
          <w:color w:val="000000"/>
        </w:rPr>
        <w:t>“</w:t>
      </w:r>
      <w:r>
        <w:rPr>
          <w:rFonts w:ascii="Times New Roman;sans-serif" w:hAnsi="Times New Roman;sans-serif"/>
          <w:b w:val="false"/>
          <w:color w:val="000000"/>
          <w:sz w:val="20"/>
          <w:u w:val="single"/>
        </w:rPr>
        <w:t>Excess Cash Flow</w:t>
      </w:r>
      <w:r>
        <w:rPr>
          <w:color w:val="000000"/>
        </w:rPr>
        <w:t xml:space="preserve">” </w:t>
      </w:r>
      <w:r>
        <w:rPr>
          <w:rFonts w:ascii="Times New Roman;sans-serif" w:hAnsi="Times New Roman;sans-serif"/>
          <w:b w:val="false"/>
          <w:color w:val="000000"/>
          <w:sz w:val="20"/>
        </w:rPr>
        <w:t>means, for any period, an amount equal to the excess of:</w:t>
      </w:r>
    </w:p>
    <w:p>
      <w:pPr>
        <w:pStyle w:val="TextBody"/>
        <w:bidi w:val="0"/>
        <w:spacing w:before="10" w:after="283"/>
        <w:jc w:val="left"/>
        <w:rPr/>
      </w:pPr>
      <w:r>
        <w:rPr/>
      </w:r>
    </w:p>
    <w:p>
      <w:pPr>
        <w:pStyle w:val="TextBody"/>
        <w:bidi w:val="0"/>
        <w:spacing w:lineRule="auto" w:line="288" w:before="1"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(a)the sum, without duplication, of:</w:t>
      </w:r>
    </w:p>
    <w:p>
      <w:pPr>
        <w:pStyle w:val="TextBody"/>
        <w:bidi w:val="0"/>
        <w:spacing w:before="10" w:after="283"/>
        <w:jc w:val="left"/>
        <w:rPr/>
      </w:pPr>
      <w:r>
        <w:rPr/>
      </w:r>
    </w:p>
    <w:p>
      <w:pPr>
        <w:pStyle w:val="TextBody"/>
        <w:bidi w:val="0"/>
        <w:spacing w:lineRule="auto" w:line="288" w:before="0" w:after="0"/>
        <w:ind w:left="0" w:right="0" w:hanging="550"/>
        <w:jc w:val="left"/>
        <w:rPr>
          <w:rFonts w:ascii="Times New Roman;sans-serif" w:hAnsi="Times New Roman;sans-serif"/>
          <w:b w:val="false"/>
          <w:color w:val="000000"/>
          <w:sz w:val="20"/>
        </w:rPr>
      </w:pPr>
      <w:r>
        <w:rPr>
          <w:rFonts w:ascii="Times New Roman;sans-serif" w:hAnsi="Times New Roman;sans-serif"/>
          <w:b w:val="false"/>
          <w:color w:val="000000"/>
          <w:sz w:val="20"/>
        </w:rPr>
        <w:t>(i)Consolidated Net Income for such period,</w:t>
      </w:r>
    </w:p>
    <w:p>
      <w:pPr>
        <w:pStyle w:val="TextBody"/>
        <w:bidi w:val="0"/>
        <w:spacing w:before="10" w:after="283"/>
        <w:jc w:val="left"/>
        <w:rPr/>
      </w:pPr>
      <w:r>
        <w:rPr/>
      </w:r>
    </w:p>
    <w:p>
      <w:pPr>
        <w:pStyle w:val="TextBody"/>
        <w:bidi w:val="0"/>
        <w:spacing w:lineRule="auto" w:line="288" w:before="0" w:after="0"/>
        <w:ind w:left="0" w:right="0" w:firstLine="835"/>
        <w:jc w:val="both"/>
        <w:rPr>
          <w:rFonts w:ascii="Times New Roman;sans-serif" w:hAnsi="Times New Roman;sans-serif"/>
          <w:b w:val="false"/>
          <w:color w:val="000000"/>
          <w:sz w:val="20"/>
        </w:rPr>
      </w:pPr>
      <w:r>
        <w:rPr>
          <w:rFonts w:ascii="Times New Roman;sans-serif" w:hAnsi="Times New Roman;sans-serif"/>
          <w:b w:val="false"/>
          <w:color w:val="000000"/>
          <w:sz w:val="20"/>
        </w:rPr>
        <w:t>(ii)an amount equal to the amount of all Non-Cash Charges to the extent deducted in arriving at such Consolidated Net Income,</w:t>
      </w:r>
    </w:p>
    <w:p>
      <w:pPr>
        <w:pStyle w:val="TextBody"/>
        <w:bidi w:val="0"/>
        <w:spacing w:before="11" w:after="283"/>
        <w:jc w:val="left"/>
        <w:rPr/>
      </w:pPr>
      <w:r>
        <w:rPr/>
      </w:r>
    </w:p>
    <w:p>
      <w:pPr>
        <w:pStyle w:val="TextBody"/>
        <w:bidi w:val="0"/>
        <w:spacing w:lineRule="auto" w:line="288" w:before="0" w:after="0"/>
        <w:ind w:left="0" w:right="0" w:firstLine="780"/>
        <w:jc w:val="both"/>
        <w:rPr/>
      </w:pPr>
      <w:r>
        <w:rPr>
          <w:rFonts w:ascii="Times New Roman;sans-serif" w:hAnsi="Times New Roman;sans-serif"/>
          <w:b w:val="false"/>
          <w:color w:val="000000"/>
          <w:sz w:val="20"/>
        </w:rPr>
        <w:t>(iii)decreases in Consolidated Working Capital and long-term account receivables for such period (other than decreases relating to Dispositions permitted pursuant to Section 6.05(h) or Section 6.05(o))</w:t>
      </w:r>
      <w:r>
        <w:rPr>
          <w:rFonts w:ascii="Times New Roman;sans-serif" w:hAnsi="Times New Roman;sans-serif"/>
          <w:b/>
          <w:color w:val="000000"/>
          <w:sz w:val="20"/>
        </w:rPr>
        <w:t xml:space="preserve">, </w:t>
      </w:r>
      <w:r>
        <w:rPr>
          <w:rFonts w:ascii="Times New Roman;sans-serif" w:hAnsi="Times New Roman;sans-serif"/>
          <w:b w:val="false"/>
          <w:color w:val="000000"/>
          <w:sz w:val="20"/>
        </w:rPr>
        <w:t>and</w:t>
      </w:r>
    </w:p>
    <w:p>
      <w:pPr>
        <w:pStyle w:val="TextBody"/>
        <w:bidi w:val="0"/>
        <w:spacing w:before="11" w:after="283"/>
        <w:jc w:val="left"/>
        <w:rPr/>
      </w:pPr>
      <w:r>
        <w:rPr/>
      </w:r>
    </w:p>
    <w:p>
      <w:pPr>
        <w:pStyle w:val="TextBody"/>
        <w:bidi w:val="0"/>
        <w:spacing w:lineRule="auto" w:line="288" w:before="1" w:after="283"/>
        <w:ind w:left="0" w:right="0" w:firstLine="792"/>
        <w:jc w:val="both"/>
        <w:rPr/>
      </w:pPr>
      <w:r>
        <w:rPr>
          <w:rFonts w:ascii="Times New Roman;sans-serif" w:hAnsi="Times New Roman;sans-serif"/>
          <w:b w:val="false"/>
          <w:color w:val="000000"/>
          <w:sz w:val="20"/>
        </w:rPr>
        <w:t xml:space="preserve">(iv)an amount equal to the aggregate net non-cash loss on dispositions by the Borrower and its Restricted Subsidiaries during such period (other than dispositions in the ordinary course of business) to the extent deducted in arriving at such Consolidated Net Income, </w:t>
      </w:r>
      <w:r>
        <w:rPr>
          <w:rFonts w:ascii="Times New Roman;sans-serif" w:hAnsi="Times New Roman;sans-serif"/>
          <w:b w:val="false"/>
          <w:color w:val="000000"/>
          <w:sz w:val="20"/>
          <w:u w:val="single"/>
        </w:rPr>
        <w:t>less</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(b)the sum, without duplication, of:</w:t>
      </w:r>
    </w:p>
    <w:p>
      <w:pPr>
        <w:pStyle w:val="TextBody"/>
        <w:bidi w:val="0"/>
        <w:spacing w:before="11" w:after="283"/>
        <w:jc w:val="left"/>
        <w:rPr/>
      </w:pPr>
      <w:r>
        <w:rPr/>
      </w:r>
    </w:p>
    <w:p>
      <w:pPr>
        <w:pStyle w:val="TextBody"/>
        <w:bidi w:val="0"/>
        <w:spacing w:lineRule="auto" w:line="288" w:before="0" w:after="0"/>
        <w:ind w:left="0" w:right="0" w:firstLine="890"/>
        <w:jc w:val="both"/>
        <w:rPr>
          <w:rFonts w:ascii="Times New Roman;sans-serif" w:hAnsi="Times New Roman;sans-serif"/>
          <w:b w:val="false"/>
          <w:color w:val="000000"/>
          <w:sz w:val="20"/>
        </w:rPr>
      </w:pPr>
      <w:r>
        <w:rPr>
          <w:rFonts w:ascii="Times New Roman;sans-serif" w:hAnsi="Times New Roman;sans-serif"/>
          <w:b w:val="false"/>
          <w:color w:val="000000"/>
          <w:sz w:val="20"/>
        </w:rPr>
        <w:t>(i)an amount equal to the amount of all non-cash credits included in arriving at such Consolidated Net Income (including any amounts included in Consolidated Net Income of proceeds received or due from business interruption insurance or reimbursement of expenses and charges that are covered by indemnification and other reimbursement provisions in connection with any acquisition or other Investment or any disposition of any asset permitted under this Agreement to the extent such amounts are due but not received during such period) and cash charges included in clauses (a) through (j) of the definition of “Consolidated Net Income” (other than cash charges in respect of Transaction Costs paid on or about the Effective Date to the extent financed with the proceeds of Indebtedness incurred on the Effective Date or an equity investment on the Effective Date),</w:t>
      </w:r>
    </w:p>
    <w:p>
      <w:pPr>
        <w:pStyle w:val="TextBody"/>
        <w:bidi w:val="0"/>
        <w:spacing w:before="14" w:after="283"/>
        <w:jc w:val="left"/>
        <w:rPr/>
      </w:pPr>
      <w:r>
        <w:rPr/>
      </w:r>
    </w:p>
    <w:p>
      <w:pPr>
        <w:pStyle w:val="TextBody"/>
        <w:bidi w:val="0"/>
        <w:spacing w:lineRule="auto" w:line="288" w:before="0" w:after="0"/>
        <w:ind w:left="0" w:right="0" w:firstLine="835"/>
        <w:jc w:val="both"/>
        <w:rPr>
          <w:rFonts w:ascii="Times New Roman;sans-serif" w:hAnsi="Times New Roman;sans-serif"/>
          <w:b w:val="false"/>
          <w:color w:val="000000"/>
          <w:sz w:val="20"/>
        </w:rPr>
      </w:pPr>
      <w:r>
        <w:rPr>
          <w:rFonts w:ascii="Times New Roman;sans-serif" w:hAnsi="Times New Roman;sans-serif"/>
          <w:b w:val="false"/>
          <w:color w:val="000000"/>
          <w:sz w:val="20"/>
        </w:rPr>
        <w:t>(ii)the aggregate amount of all principal payments of Indebtedness (including (1) the principal component of payments in respect of Capitalized Leases and (2) the amount of any mandatory prepayment of Loans to the extent required due to a Disposition that resulted in an increase to Consolidated Net Income and not in excess of the amount of such increase, but excluding all other prepayments of Term Loans or other Senior Secured First Lien Indebtedness and all prepayments of revolving loans and swingline loans (including Revolving Loans (except to the extent the prepayment thereof reduces the Borrower’s prepayment obligation pursuant to clause (i) of the proviso to the first sentence of Section 2.11(d)) and Swingline Loans)) made during such period, other than (A) in respect of any revolving credit facility or swingline facility except to the extent there is an equivalent permanent reduction in commitments thereunder and (B) to the extent financed with the proceeds of other Indebtedness of the Borrower or its Restricted Subsidiaries,</w:t>
      </w:r>
    </w:p>
    <w:p>
      <w:pPr>
        <w:pStyle w:val="TextBody"/>
        <w:bidi w:val="0"/>
        <w:spacing w:before="15" w:after="283"/>
        <w:jc w:val="left"/>
        <w:rPr/>
      </w:pPr>
      <w:r>
        <w:rPr/>
      </w:r>
    </w:p>
    <w:p>
      <w:pPr>
        <w:pStyle w:val="TextBody"/>
        <w:bidi w:val="0"/>
        <w:spacing w:lineRule="auto" w:line="288" w:before="0" w:after="0"/>
        <w:ind w:left="0" w:right="0" w:firstLine="780"/>
        <w:jc w:val="both"/>
        <w:rPr>
          <w:rFonts w:ascii="Times New Roman;sans-serif" w:hAnsi="Times New Roman;sans-serif"/>
          <w:b w:val="false"/>
          <w:color w:val="000000"/>
          <w:sz w:val="20"/>
        </w:rPr>
      </w:pPr>
      <w:r>
        <w:rPr>
          <w:rFonts w:ascii="Times New Roman;sans-serif" w:hAnsi="Times New Roman;sans-serif"/>
          <w:b w:val="false"/>
          <w:color w:val="000000"/>
          <w:sz w:val="20"/>
        </w:rPr>
        <w:t>(iii)an amount equal to the aggregate net non-cash gain on dispositions by the Borrower and its Restricted Subsidiaries during such period (other than dispositions in the ordinary course of business) to the extent included in arriving at such Consolidated Net Income,</w:t>
      </w:r>
    </w:p>
    <w:p>
      <w:pPr>
        <w:pStyle w:val="TextBody"/>
        <w:bidi w:val="0"/>
        <w:spacing w:before="11" w:after="283"/>
        <w:jc w:val="left"/>
        <w:rPr/>
      </w:pPr>
      <w:r>
        <w:rPr/>
      </w:r>
    </w:p>
    <w:p>
      <w:pPr>
        <w:pStyle w:val="TextBody"/>
        <w:bidi w:val="0"/>
        <w:spacing w:lineRule="auto" w:line="288"/>
        <w:ind w:left="0" w:right="0" w:firstLine="792"/>
        <w:jc w:val="both"/>
        <w:rPr>
          <w:rFonts w:ascii="Times New Roman;sans-serif" w:hAnsi="Times New Roman;sans-serif"/>
          <w:b w:val="false"/>
          <w:color w:val="000000"/>
          <w:sz w:val="20"/>
        </w:rPr>
      </w:pPr>
      <w:r>
        <w:rPr>
          <w:rFonts w:ascii="Times New Roman;sans-serif" w:hAnsi="Times New Roman;sans-serif"/>
          <w:b w:val="false"/>
          <w:color w:val="000000"/>
          <w:sz w:val="20"/>
        </w:rPr>
        <w:t>(iv)increases in Consolidated Working Capital and long-term account receivables for such period,</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1155"/>
                <wp:effectExtent l="0" t="0" r="0" b="0"/>
                <wp:wrapNone/>
                <wp:docPr id="111" name="Frame1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ind w:left="0" w:right="0" w:firstLine="847"/>
        <w:jc w:val="both"/>
        <w:rPr>
          <w:rFonts w:ascii="Times New Roman;sans-serif" w:hAnsi="Times New Roman;sans-serif"/>
          <w:b w:val="false"/>
          <w:color w:val="000000"/>
          <w:sz w:val="20"/>
        </w:rPr>
      </w:pPr>
      <w:r>
        <w:rPr>
          <w:rFonts w:ascii="Times New Roman;sans-serif" w:hAnsi="Times New Roman;sans-serif"/>
          <w:b w:val="false"/>
          <w:color w:val="000000"/>
          <w:sz w:val="20"/>
        </w:rPr>
        <w:t>(v)cash payments by the Borrower and its Restricted Subsidiaries during such period in respect of long-term liabilities of the Borrower and its Restricted Subsidiaries other than Indebtedness,</w:t>
      </w:r>
    </w:p>
    <w:p>
      <w:pPr>
        <w:pStyle w:val="TextBody"/>
        <w:bidi w:val="0"/>
        <w:spacing w:before="11" w:after="283"/>
        <w:jc w:val="left"/>
        <w:rPr/>
      </w:pPr>
      <w:r>
        <w:rPr/>
      </w:r>
    </w:p>
    <w:p>
      <w:pPr>
        <w:pStyle w:val="TextBody"/>
        <w:bidi w:val="0"/>
        <w:spacing w:lineRule="auto" w:line="288" w:before="0" w:after="0"/>
        <w:ind w:left="0" w:right="0" w:firstLine="792"/>
        <w:jc w:val="both"/>
        <w:rPr>
          <w:rFonts w:ascii="Times New Roman;sans-serif" w:hAnsi="Times New Roman;sans-serif"/>
          <w:b w:val="false"/>
          <w:color w:val="000000"/>
          <w:sz w:val="20"/>
        </w:rPr>
      </w:pPr>
      <w:r>
        <w:rPr>
          <w:rFonts w:ascii="Times New Roman;sans-serif" w:hAnsi="Times New Roman;sans-serif"/>
          <w:b w:val="false"/>
          <w:color w:val="000000"/>
          <w:sz w:val="20"/>
        </w:rPr>
        <w:t>(vi)the aggregate amount of payments and expenditures actually made by the Borrower and its Restricted Subsidiaries in cash during such period (including expenditures for the payment of financing fees) to the extent that such payments and expenditures are not expensed during such period,</w:t>
      </w:r>
    </w:p>
    <w:p>
      <w:pPr>
        <w:pStyle w:val="TextBody"/>
        <w:bidi w:val="0"/>
        <w:spacing w:before="12" w:after="283"/>
        <w:jc w:val="left"/>
        <w:rPr/>
      </w:pPr>
      <w:r>
        <w:rPr/>
      </w:r>
    </w:p>
    <w:p>
      <w:pPr>
        <w:pStyle w:val="TextBody"/>
        <w:bidi w:val="0"/>
        <w:spacing w:lineRule="auto" w:line="288" w:before="0" w:after="0"/>
        <w:ind w:left="0" w:right="0" w:firstLine="736"/>
        <w:jc w:val="both"/>
        <w:rPr>
          <w:rFonts w:ascii="Times New Roman;sans-serif" w:hAnsi="Times New Roman;sans-serif"/>
          <w:b w:val="false"/>
          <w:color w:val="000000"/>
          <w:sz w:val="20"/>
        </w:rPr>
      </w:pPr>
      <w:r>
        <w:rPr>
          <w:rFonts w:ascii="Times New Roman;sans-serif" w:hAnsi="Times New Roman;sans-serif"/>
          <w:b w:val="false"/>
          <w:color w:val="000000"/>
          <w:sz w:val="20"/>
        </w:rPr>
        <w:t>(vii)cash payments by the Borrower and its Restricted Subsidiaries during such period in respect of Non-Cash Charges included in the calculation of Consolidated Net Income in any prior period,</w:t>
      </w:r>
    </w:p>
    <w:p>
      <w:pPr>
        <w:pStyle w:val="TextBody"/>
        <w:bidi w:val="0"/>
        <w:spacing w:before="11" w:after="283"/>
        <w:jc w:val="left"/>
        <w:rPr/>
      </w:pPr>
      <w:r>
        <w:rPr/>
      </w:r>
    </w:p>
    <w:p>
      <w:pPr>
        <w:pStyle w:val="TextBody"/>
        <w:bidi w:val="0"/>
        <w:spacing w:lineRule="auto" w:line="288" w:before="0" w:after="0"/>
        <w:ind w:left="0" w:right="0" w:firstLine="681"/>
        <w:jc w:val="both"/>
        <w:rPr>
          <w:rFonts w:ascii="Times New Roman;sans-serif" w:hAnsi="Times New Roman;sans-serif"/>
          <w:b w:val="false"/>
          <w:color w:val="000000"/>
          <w:sz w:val="20"/>
        </w:rPr>
      </w:pPr>
      <w:r>
        <w:rPr>
          <w:rFonts w:ascii="Times New Roman;sans-serif" w:hAnsi="Times New Roman;sans-serif"/>
          <w:b w:val="false"/>
          <w:color w:val="000000"/>
          <w:sz w:val="20"/>
        </w:rPr>
        <w:t>(viii)the aggregate amount of any premium, make-whole or penalty payments actually paid in cash by the Borrower and its Restricted Subsidiaries during such period that are required to be made in connection with any prepayment of Indebtedness, and</w:t>
      </w:r>
    </w:p>
    <w:p>
      <w:pPr>
        <w:pStyle w:val="TextBody"/>
        <w:bidi w:val="0"/>
        <w:spacing w:before="12" w:after="283"/>
        <w:jc w:val="left"/>
        <w:rPr/>
      </w:pPr>
      <w:r>
        <w:rPr/>
      </w:r>
    </w:p>
    <w:p>
      <w:pPr>
        <w:pStyle w:val="TextBody"/>
        <w:bidi w:val="0"/>
        <w:spacing w:lineRule="auto" w:line="288" w:before="0" w:after="0"/>
        <w:ind w:left="0" w:right="0" w:firstLine="792"/>
        <w:jc w:val="both"/>
        <w:rPr>
          <w:rFonts w:ascii="Times New Roman;sans-serif" w:hAnsi="Times New Roman;sans-serif"/>
          <w:b w:val="false"/>
          <w:color w:val="000000"/>
          <w:sz w:val="20"/>
        </w:rPr>
      </w:pPr>
      <w:r>
        <w:rPr>
          <w:rFonts w:ascii="Times New Roman;sans-serif" w:hAnsi="Times New Roman;sans-serif"/>
          <w:b w:val="false"/>
          <w:color w:val="000000"/>
          <w:sz w:val="20"/>
        </w:rPr>
        <w:t>(ix)the amount of taxes (including penalties and interest) paid in cash and/or tax reserves set aside or payable (without duplication) in such period to the extent they exceed the amount of tax expense deducted in determining Consolidated Net Income for such period.</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Exchange Act</w:t>
      </w:r>
      <w:r>
        <w:rPr>
          <w:color w:val="000000"/>
        </w:rPr>
        <w:t xml:space="preserve">” </w:t>
      </w:r>
      <w:r>
        <w:rPr>
          <w:rFonts w:ascii="Times New Roman;sans-serif" w:hAnsi="Times New Roman;sans-serif"/>
          <w:b w:val="false"/>
          <w:color w:val="000000"/>
          <w:sz w:val="20"/>
        </w:rPr>
        <w:t>means the United States Securities Exchange Act of 1934, as amended from time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time.</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Excluded Affiliates</w:t>
      </w:r>
      <w:r>
        <w:rPr>
          <w:color w:val="000000"/>
        </w:rPr>
        <w:t xml:space="preserve">” </w:t>
      </w:r>
      <w:r>
        <w:rPr>
          <w:rFonts w:ascii="Times New Roman;sans-serif" w:hAnsi="Times New Roman;sans-serif"/>
          <w:b w:val="false"/>
          <w:color w:val="000000"/>
          <w:sz w:val="20"/>
        </w:rPr>
        <w:t>means any employees of any Affiliate of any Joint Lead Arranger that are engaged as principals primarily in private equity, mezzanine financing or venture capital transactions (other than (x) such employees engaged by the Borrower (or its Affiliates) as part of the Transactions, (y) such senior employees who are required, in accordance with industry regulations or such Joint Lead Arranger’s (or its Affiliate’s) internal policies and procedures, to act in a supervisory capacity or (z) such Joint Lead Arranger’s (or its Affiliate’s) internal legal, compliance, risk management, credit or investment committee members).</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Excluded Assets</w:t>
      </w:r>
      <w:r>
        <w:rPr>
          <w:color w:val="000000"/>
        </w:rPr>
        <w:t xml:space="preserve">” </w:t>
      </w:r>
      <w:r>
        <w:rPr>
          <w:rFonts w:ascii="Times New Roman;sans-serif" w:hAnsi="Times New Roman;sans-serif"/>
          <w:b w:val="false"/>
          <w:color w:val="000000"/>
          <w:sz w:val="20"/>
        </w:rPr>
        <w:t>means (a) any fee-owned real property that is not Material Real Property and all leasehold (including ground lease) interests in real property (including requirements to deliver landlord lien waivers, estoppels and collateral access letters), (b) motor vehicles and other assets subject to certificates of title or ownership, (c) Letter of Credit rights (except to the extent constituting supporting obligations (as defined under the UCC) in which a security interest can be perfected with the filing of a UCC-1 financing statement), (d) Commercial Tort Claims (as defined in the First Lien Collateral Agreement) with a value of less than $20,000,000 and commercial tort claims for which no complaint or counterclaim has been filed in a court of competent jurisdiction,</w:t>
      </w:r>
    </w:p>
    <w:p>
      <w:pPr>
        <w:pStyle w:val="TextBody"/>
        <w:bidi w:val="0"/>
        <w:spacing w:lineRule="auto" w:line="288" w:before="3" w:after="283"/>
        <w:jc w:val="both"/>
        <w:rPr>
          <w:rFonts w:ascii="Times New Roman;sans-serif" w:hAnsi="Times New Roman;sans-serif"/>
          <w:b w:val="false"/>
          <w:color w:val="000000"/>
          <w:sz w:val="20"/>
        </w:rPr>
      </w:pPr>
      <w:r>
        <w:rPr>
          <w:rFonts w:ascii="Times New Roman;sans-serif" w:hAnsi="Times New Roman;sans-serif"/>
          <w:b w:val="false"/>
          <w:color w:val="000000"/>
          <w:sz w:val="20"/>
        </w:rPr>
        <w:t>(e)Excluded Equity Interests, (f) any lease, contract, license, sublicense, other agreement or document, government approval or franchise with any Person if, to the extent and for so long as, the grant of a Lien thereon to secure the Secured Obligations would require the consent of a third party (unless such consent has been received), violates or invalidates, constitutes a breach of or a default under, or creates a right of termination in favor of any other party thereto (other than any Loan Party) to, such lease, contract, license, sublicense, other agreement or document, government approval or franchise (but only to the extent any of the foregoing is not rendered ineffective by, or is otherwise unenforceable under, the Uniform Commercial Code, or any other applicable Requirements of Law),</w:t>
      </w:r>
    </w:p>
    <w:p>
      <w:pPr>
        <w:pStyle w:val="TextBody"/>
        <w:bidi w:val="0"/>
        <w:spacing w:lineRule="auto" w:line="288" w:before="3" w:after="283"/>
        <w:jc w:val="both"/>
        <w:rPr>
          <w:rFonts w:ascii="Times New Roman;sans-serif" w:hAnsi="Times New Roman;sans-serif"/>
          <w:b w:val="false"/>
          <w:color w:val="000000"/>
          <w:sz w:val="20"/>
        </w:rPr>
      </w:pPr>
      <w:r>
        <w:rPr>
          <w:rFonts w:ascii="Times New Roman;sans-serif" w:hAnsi="Times New Roman;sans-serif"/>
          <w:b w:val="false"/>
          <w:color w:val="000000"/>
          <w:sz w:val="20"/>
        </w:rPr>
        <w:t>(g) any asset subject to a Lien of the type permitted by Section 6.02(iv) (whether or not incurred pursuant to such Section) or a Lien permitted by Section 6.02(xi), in each case if, to the extent and for so long as the grant of a Lien thereon to secure the Secured Obligations constitutes a breach of or a default under, or creates a right of termination in favor of any party (other than any Loan Party) to, any agreement pursuant to which such Lien has been created (but only to the extent any of the foregoing is not rendered ineffective by, or is otherwise unenforceable under, the Uniform Commercial Code, or any other applicable Requirements of Law), (h) any intent-to-use trademark applications filed in the United States Patent and Trademark Office, pursuant to Section 1(b) of the Lanham Act, 15</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1155"/>
                <wp:effectExtent l="0" t="0" r="0" b="0"/>
                <wp:wrapNone/>
                <wp:docPr id="112" name="Frame1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3"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and any other Intellectual Property in any jurisdiction where the grant of a Lien thereon would cause the invalidation or abandonment of such Intellectual Property under applicable law, (i) any asset if, to the extent and for so long as the grant of a Lien thereon to secure the Secured Obligations is prohibited by any Requirements of Law, rule or regulation, contractual obligation existing on the Effective Date (or, if later, the date of acquisition of such asset, or the date a Person that owns such assets becomes a Loan Guarantor, so long as any such prohibition is not created in contemplation of such acquisition or of such Person becoming a Loan Guarantor) or any permitted agreement with any Governmental Authority binding on such asset (in each case, other than to the extent that any such prohibition would be rendered ineffective pursuant to the UCC or any other applicable Requirements of Law) or (ii) would require the consent, approval, license or authorization from any Governmental Authority or regulatory authority, unless such consent, approval, license or authorization has been received (other than to the extent that any such requirement would be rendered ineffective pursuant to the UCC or any other applicable Requirements of Law) (j) margin stock (within the meaning of Regulation U of the Board of Governors, as in effect from time to time) and pledges and security interests prohibited by applicable law, rule or regulation or agreements with any Governmental Authority, (k) Securitization Assets, (l) any Deposit Account (as defined in the First Lien Collateral Agreement) or Securities Account (as defined in the First Lien Collateral Agreement) that is used as a pension fund, escrow (including, without limitation, any escrow accounts for the benefit of customers), trust, or similar account, in each case, for the benefit of third parties, (m) assets to the extent a security interest in such assets would result in an investment in “United States property” by a CFC or would otherwise result in a material adverse tax consequence, as reasonably determined by the Borrower in consultation with the First Lien Administrative Agent (it being understood that no more than 65% of the voting equity interests of any foreign Subsidiary that is a CFC and that is owned directly by the Borrower or a Loan Guarantor shall be included in the Collateral) and (n) any assets with respect to which, in the reasonable judgment of the First Lien Administrative Agent and the Borrower (as agreed to in writing), the cost, burden, difficulty or other consequences (including adverse tax consequences) of pledging such assets or perfecting a security interest therein shall be excessive in view of the benefits to be obtained by the Lenders therefrom.</w:t>
      </w:r>
    </w:p>
    <w:p>
      <w:pPr>
        <w:pStyle w:val="TextBody"/>
        <w:bidi w:val="0"/>
        <w:spacing w:before="21" w:after="283"/>
        <w:jc w:val="left"/>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u w:val="single"/>
        </w:rPr>
        <w:t>Excluded Equity Interests</w:t>
      </w:r>
      <w:r>
        <w:rPr>
          <w:color w:val="000000"/>
        </w:rPr>
        <w:t xml:space="preserve">” </w:t>
      </w:r>
      <w:r>
        <w:rPr>
          <w:rFonts w:ascii="Times New Roman;sans-serif" w:hAnsi="Times New Roman;sans-serif"/>
          <w:b w:val="false"/>
          <w:color w:val="000000"/>
          <w:sz w:val="20"/>
        </w:rPr>
        <w:t>means Equity Interests in any (a) Unrestricted Subsidiary,</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Immaterial Subsidiary, (c) Subsidiary organized under the laws of a jurisdiction that is not a Covered Jurisdiction (except that up to 65% of the voting equity interests of any foreign Subsidiary that is a CFC and that is owned directly by the Borrower or a Loan Guarantor shall not be Excluded Equity Interests), (d) any Equity Interests to the extent the pledge thereof would be prohibited or limited by any applicable Requirement of Law existing on the date hereof or on the date such Equity Interests are acquired by the Borrower or any other Grantor (as defined in the First Lien Collateral Agreement) or on the date the issuer of such Equity Interests is created other than to the extent that any such prohibition would be rendered ineffective pursuant to the applicable anti-assignment provisions in the Uniform Commercial Code of any applicable jurisdiction, (e) Subsidiary (other than any Loan Guarantor) to the extent the pledge thereof to the First Lien Administrative Agent is not permitted by the terms of such Subsidiary’s organizational (except in the case of any Wholly Owned Subsidiary of Holdings) or joint venture documents, in each case, after giving effect to the applicable anti-assignment provisions of the Uniform Commercial Code and (f) not-for-profit Subsidiary, captive insurance company or special purpose securitization vehicle (or similar entity), including any Securitization Subsidiary.</w:t>
      </w:r>
    </w:p>
    <w:p>
      <w:pPr>
        <w:pStyle w:val="TextBody"/>
        <w:bidi w:val="0"/>
        <w:spacing w:lineRule="auto" w:line="655" w:before="5" w:after="283"/>
        <w:jc w:val="left"/>
        <w:rPr/>
      </w:pPr>
      <w:r>
        <w:rPr>
          <w:color w:val="000000"/>
        </w:rPr>
        <w:t>“</w:t>
      </w:r>
      <w:r>
        <w:rPr>
          <w:rFonts w:ascii="Times New Roman;sans-serif" w:hAnsi="Times New Roman;sans-serif"/>
          <w:b w:val="false"/>
          <w:color w:val="000000"/>
          <w:sz w:val="20"/>
          <w:u w:val="single"/>
        </w:rPr>
        <w:t>Excluded Information</w:t>
      </w:r>
      <w:r>
        <w:rPr>
          <w:color w:val="000000"/>
        </w:rPr>
        <w:t xml:space="preserve">” </w:t>
      </w:r>
      <w:r>
        <w:rPr>
          <w:rFonts w:ascii="Times New Roman;sans-serif" w:hAnsi="Times New Roman;sans-serif"/>
          <w:b w:val="false"/>
          <w:color w:val="000000"/>
          <w:sz w:val="20"/>
        </w:rPr>
        <w:t>has the meaning assigned to such term in Section 2.11(a)(ii)(A). “</w:t>
      </w:r>
      <w:r>
        <w:rPr>
          <w:rFonts w:ascii="Times New Roman;sans-serif" w:hAnsi="Times New Roman;sans-serif"/>
          <w:b w:val="false"/>
          <w:color w:val="000000"/>
          <w:sz w:val="20"/>
          <w:u w:val="single"/>
        </w:rPr>
        <w:t>Excluded Subsidiary</w:t>
      </w:r>
      <w:r>
        <w:rPr>
          <w:color w:val="000000"/>
        </w:rPr>
        <w:t xml:space="preserve">” </w:t>
      </w:r>
      <w:r>
        <w:rPr>
          <w:rFonts w:ascii="Times New Roman;sans-serif" w:hAnsi="Times New Roman;sans-serif"/>
          <w:b w:val="false"/>
          <w:color w:val="000000"/>
          <w:sz w:val="20"/>
        </w:rPr>
        <w:t>means (a) any Subsidiary that is not a Wholly Owned Subsidiary of</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Holdings, (b) each Subsidiary listed on Schedule 1.01, (c) any Subsidiary that is prohibited by applicable law, rule or regulation or contractual obligation existing on the Effective Date or, if later, the date such Subsidiary first becomes a Restricted Subsidiary, from guaranteeing the Secured Obligations or which would require any governmental or regulatory consent, approval, license or authorization to do so, unless such consent, approval, license or authorization has been obtained, (d) any Immaterial Subsidiary, (e) any direct or indirect Subsidiary with respect to which, in the reasonable judgment of the First Lien Administrative Agent and the Borrower (as agreed in writing), the cost or other consequences (including any adverse tax consequences) of providing a Guarantee under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1155"/>
                <wp:effectExtent l="0" t="0" r="0" b="0"/>
                <wp:wrapNone/>
                <wp:docPr id="113" name="Frame1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 w:after="283"/>
        <w:jc w:val="both"/>
        <w:rPr/>
      </w:pPr>
      <w:r>
        <w:rPr>
          <w:rFonts w:ascii="Times New Roman;sans-serif" w:hAnsi="Times New Roman;sans-serif"/>
          <w:b w:val="false"/>
          <w:color w:val="000000"/>
          <w:sz w:val="20"/>
        </w:rPr>
        <w:t xml:space="preserve">the First Lien Guarantee Agreement shall be excessive in view of the benefits to be obtained by the Lenders therefrom, (f) any Subsidiary that is (or, if it were a Loan Party, would be) an “investment company” under the Investment Company Act of 1940, as amended, (g) any not-for profit Subsidiaries, captive insurance companies or other special purpose subsidiaries, (h) any Subsidiary that is organized under the laws of a jurisdiction other than any Covered Jurisdiction, (i) any subsidiary whose provision of a Guarantee would constitute an investment in “United States property” by a CFC or otherwise result in a material adverse tax consequence to the Borrower or one of its subsidiaries (or, if applicable, the common parent of the Borrower's consolidated group for applicable income tax purposes) as reasonably determined by the Borrower in consultation with the First Lien Administrative Agent, (j)(i) any direct or indirect subsidiary of a CFC and (ii) any Domestic Foreign Holdco, (k) any special purpose securitization vehicle (or similar entity), including any Securitization Subsidiary, (l) each Unrestricted Subsidiary and (m) any Subsidiary (other than the Subsidiary Loan Parties on the Effective Date) for which the providing of a Guarantee could reasonably be expected to result in any violation or breach of, or conflict with, fiduciary duties of such Subsidiary’s officers, directors or managers and (n) any Restricted Subsidiary acquired pursuant to a Permitted Acquisition (or other Investment not prohibited by this Agreement) financed with Indebtedness permitted under </w:t>
      </w:r>
      <w:r>
        <w:rPr>
          <w:rFonts w:ascii="Times New Roman;sans-serif" w:hAnsi="Times New Roman;sans-serif"/>
          <w:b w:val="false"/>
          <w:color w:val="000000"/>
          <w:sz w:val="20"/>
          <w:u w:val="single"/>
        </w:rPr>
        <w:t>Section 6.01</w:t>
      </w:r>
      <w:r>
        <w:rPr>
          <w:color w:val="000000"/>
        </w:rPr>
        <w:t xml:space="preserve"> </w:t>
      </w:r>
      <w:r>
        <w:rPr>
          <w:rFonts w:ascii="Times New Roman;sans-serif" w:hAnsi="Times New Roman;sans-serif"/>
          <w:b w:val="false"/>
          <w:color w:val="000000"/>
          <w:sz w:val="20"/>
        </w:rPr>
        <w:t xml:space="preserve">hereof as assumed Indebtedness and any Restricted Subsidiary thereof that Guarantees such Indebtedness, in each case to the extent such Indebtedness prohibits such Subsidiary from becoming a Loan Guarantor (so long as such prohibition did not arise in connection with such Permitted Acquisition (or such other Investment not prohibited by this Agreement) or such assumption of Indebtedness);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any Immaterial Subsidiary that is a signatory to any First Lien Collateral Agreement or the First Lien Guarantee Agreement shall be deemed not to be an Excluded Subsidiary for purposes of this Agreement and the other First Lien Loan Documents unless the Borrower has otherwise notified the First Lien Administrative Agent;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that the Borrower may at any time and in its sole discretion, upon notice to the First Lien Administrative Agent, deem that any Restricted Subsidiary shall not be an Excluded Subsidiary for purposes of this Agreement and the other First Lien Loan Documents.</w:t>
      </w:r>
    </w:p>
    <w:p>
      <w:pPr>
        <w:pStyle w:val="TextBody"/>
        <w:bidi w:val="0"/>
        <w:spacing w:before="19"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Excluded Swap Obligation</w:t>
      </w:r>
      <w:r>
        <w:rPr>
          <w:color w:val="000000"/>
        </w:rPr>
        <w:t xml:space="preserve">” </w:t>
      </w:r>
      <w:r>
        <w:rPr>
          <w:rFonts w:ascii="Times New Roman;sans-serif" w:hAnsi="Times New Roman;sans-serif"/>
          <w:b w:val="false"/>
          <w:color w:val="000000"/>
          <w:sz w:val="20"/>
        </w:rPr>
        <w:t>means, with respect to any Loan Guarantor at any time, any Secured Swap Obligation under any agreement, contract or transaction that constitutes a “swap” within the meaning of Section 1a(47) of the Commodity Exchange Act, if, and to the extent that, all or a portion of the guarantee of such Loan Guarantor of, or the grant by such Loan Guarantor of a security interest to secure, such Secured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“eligible contract participant,” as defined in the Commodity Exchange Act (determined after giving effect to any “Keepwell”, support or other agreement for the benefit of such Loan Guarantor, at the time such guarantee or grant of a security interest becomes effective with respect to such related Secured Swap Obligation). If a Secured Swap Obligation arises under a master agreement governing more than one swap, such exclusion shall apply only to the portion of such Secured Swap Obligation that is attributable to swaps that are or would be rendered illegal due to such guarantee or security interest.</w:t>
      </w:r>
    </w:p>
    <w:p>
      <w:pPr>
        <w:pStyle w:val="TextBody"/>
        <w:bidi w:val="0"/>
        <w:spacing w:before="16"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Excluded Taxes</w:t>
      </w:r>
      <w:r>
        <w:rPr>
          <w:color w:val="000000"/>
        </w:rPr>
        <w:t xml:space="preserve">” </w:t>
      </w:r>
      <w:r>
        <w:rPr>
          <w:rFonts w:ascii="Times New Roman;sans-serif" w:hAnsi="Times New Roman;sans-serif"/>
          <w:b w:val="false"/>
          <w:color w:val="000000"/>
          <w:sz w:val="20"/>
        </w:rPr>
        <w:t xml:space="preserve">means, with respect to the First Lien Administrative Agent, any Lender, any Issuing Bank or any other recipient of any payment to be made by or on account of any obligation of any Loan Party hereunder or under any other First Lien Loan Document, (a) Taxes imposed on (or measured by) such recipient’s net income (however denominated) and franchise Taxes imposed on it (in lieu of net income Taxes) by a jurisdiction (i) as a result of such recipient being organized or having its principal office or, in the case of any Lender, its applicable lending office in such jurisdiction (or any political subdivision thereof), or (ii) as a result of any other present or former connection between such recipient and the jurisdiction imposing such Tax (or any political subdivision thereof) (other than a connection arising solely from such recipient having executed, delivered, become a party to, performed its obligations or received payments under, received or perfected a security interest under or enforced any First Lien Loan Documents or engaged in any other transaction pursuant to any First Lien Loan Documents or sold or assigned an interest in any First Lien Loan Documents), (b) any branch profits tax imposed under Section 884(a) of the Code, or any similar Tax, imposed by any jurisdiction described in clause (a) above, (c) any withholding Tax imposed pursuant to FATCA, (d) any withholding Tax that is attributable to a Lender’s failure to comply with Section 2.17(f) and (e) except in the case of an assignee pursuant to a request by the Borrower under Section 2.19 hereto, any U.S. federal withholding Taxes imposed on amounts payable to a Lender pursuant to a Requirement of Law in effect at the time such Lender becomes a party hereto (or designates a new lending office),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51155"/>
                <wp:effectExtent l="0" t="0" r="0" b="0"/>
                <wp:wrapNone/>
                <wp:docPr id="114" name="Frame1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to the extent that such Lender (or its assignor, if any) was entitled, immediately prior to the time of designation of a new lending office (or assignment), to receive additional amounts with respect to such withholding Tax under Section 2.17(a).</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Existing Letters of Credit</w:t>
      </w:r>
      <w:r>
        <w:rPr>
          <w:color w:val="000000"/>
        </w:rPr>
        <w:t xml:space="preserve">” </w:t>
      </w:r>
      <w:r>
        <w:rPr>
          <w:rFonts w:ascii="Times New Roman;sans-serif" w:hAnsi="Times New Roman;sans-serif"/>
          <w:b w:val="false"/>
          <w:color w:val="000000"/>
          <w:sz w:val="20"/>
        </w:rPr>
        <w:t>means each of the letters of credit described by customer, letter of credit number, outstanding amount, and expiration date on Schedule 2.05 hereto.</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Existing Term Loans</w:t>
      </w:r>
      <w:r>
        <w:rPr>
          <w:color w:val="000000"/>
        </w:rPr>
        <w:t xml:space="preserve">” </w:t>
      </w:r>
      <w:r>
        <w:rPr>
          <w:rFonts w:ascii="Times New Roman;sans-serif" w:hAnsi="Times New Roman;sans-serif"/>
          <w:b w:val="false"/>
          <w:color w:val="000000"/>
          <w:sz w:val="20"/>
        </w:rPr>
        <w:t>has the meaning specified in Amendment No. 4.</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Existing Term Loan Credit Agreement</w:t>
      </w:r>
      <w:r>
        <w:rPr>
          <w:color w:val="000000"/>
        </w:rPr>
        <w:t xml:space="preserve">” </w:t>
      </w:r>
      <w:r>
        <w:rPr>
          <w:rFonts w:ascii="Times New Roman;sans-serif" w:hAnsi="Times New Roman;sans-serif"/>
          <w:b w:val="false"/>
          <w:color w:val="000000"/>
          <w:sz w:val="20"/>
        </w:rPr>
        <w:t>means that certain Credit Agreement dated as of February 23, 2023, by and among Holdings, the Borrower, J.P. Morgan Chase Bank, N.A., as administrative agent and the other parties thereto from time to time. As of the Amendment No. 4 Effective Date there are no Term Loans outstanding under the Existing Term Loan Credit Agreement.</w:t>
      </w:r>
    </w:p>
    <w:p>
      <w:pPr>
        <w:pStyle w:val="TextBody"/>
        <w:bidi w:val="0"/>
        <w:spacing w:before="12" w:after="283"/>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0"/>
          <w:u w:val="single"/>
        </w:rPr>
        <w:t>Extended Revolving Commitment</w:t>
      </w:r>
      <w:r>
        <w:rPr>
          <w:color w:val="000000"/>
        </w:rPr>
        <w:t xml:space="preserve">” </w:t>
      </w:r>
      <w:r>
        <w:rPr>
          <w:rFonts w:ascii="Times New Roman;sans-serif" w:hAnsi="Times New Roman;sans-serif"/>
          <w:b w:val="false"/>
          <w:color w:val="000000"/>
          <w:sz w:val="20"/>
        </w:rPr>
        <w:t>means the Revolving Commitments extended on the Revolving Facilities Amendment Effective Date.</w:t>
      </w:r>
    </w:p>
    <w:p>
      <w:pPr>
        <w:pStyle w:val="TextBody"/>
        <w:bidi w:val="0"/>
        <w:spacing w:before="11" w:after="283"/>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0"/>
          <w:u w:val="single"/>
        </w:rPr>
        <w:t>Extended Revolving Loan</w:t>
      </w:r>
      <w:r>
        <w:rPr>
          <w:color w:val="000000"/>
        </w:rPr>
        <w:t xml:space="preserve">” </w:t>
      </w:r>
      <w:r>
        <w:rPr>
          <w:rFonts w:ascii="Times New Roman;sans-serif" w:hAnsi="Times New Roman;sans-serif"/>
          <w:b w:val="false"/>
          <w:color w:val="000000"/>
          <w:sz w:val="20"/>
        </w:rPr>
        <w:t>means a Revolving Loan made with respect to an Extended Revolving Commitment.</w:t>
      </w:r>
    </w:p>
    <w:p>
      <w:pPr>
        <w:pStyle w:val="TextBody"/>
        <w:bidi w:val="0"/>
        <w:spacing w:before="11" w:after="283"/>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0"/>
          <w:u w:val="single"/>
        </w:rPr>
        <w:t>Extending Revolving Lender</w:t>
      </w:r>
      <w:r>
        <w:rPr>
          <w:color w:val="000000"/>
        </w:rPr>
        <w:t xml:space="preserve">” </w:t>
      </w:r>
      <w:r>
        <w:rPr>
          <w:rFonts w:ascii="Times New Roman;sans-serif" w:hAnsi="Times New Roman;sans-serif"/>
          <w:b w:val="false"/>
          <w:color w:val="000000"/>
          <w:sz w:val="20"/>
        </w:rPr>
        <w:t>means each Revolving Lender that voted in favor of the Revolving Facilities Amendment by delivering an executed counterpart thereof to the First Lien Administrative Agent on or prior to March 26, 2021.</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Fair Market Value</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fair market value</w:t>
      </w:r>
      <w:r>
        <w:rPr>
          <w:color w:val="000000"/>
        </w:rPr>
        <w:t xml:space="preserve">” </w:t>
      </w:r>
      <w:r>
        <w:rPr>
          <w:rFonts w:ascii="Times New Roman;sans-serif" w:hAnsi="Times New Roman;sans-serif"/>
          <w:b w:val="false"/>
          <w:color w:val="000000"/>
          <w:sz w:val="20"/>
        </w:rPr>
        <w:t>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 asset(which determination shall be conclusive), it being agreed that with respect to real property, in no event will any Loan Party be required to obtain independent appraisals or other third party valuations to establish such Fair Market Value unless required by FIRREA.</w:t>
      </w:r>
    </w:p>
    <w:p>
      <w:pPr>
        <w:pStyle w:val="TextBody"/>
        <w:bidi w:val="0"/>
        <w:spacing w:before="13"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FATCA</w:t>
      </w:r>
      <w:r>
        <w:rPr>
          <w:color w:val="000000"/>
        </w:rPr>
        <w:t xml:space="preserve">” </w:t>
      </w:r>
      <w:r>
        <w:rPr>
          <w:rFonts w:ascii="Times New Roman;sans-serif" w:hAnsi="Times New Roman;sans-serif"/>
          <w:b w:val="false"/>
          <w:color w:val="000000"/>
          <w:sz w:val="20"/>
        </w:rPr>
        <w:t>means Sections 1471 through 1474 of the Code as of the date of this Agreement (or any amended or successor version that is substantively comparable thereto and not materially more onerous to comply with), any current or future Treasury regulations thereunder or other official administrative interpretations thereof, any agreements entered into pursuant to current Section 1471(b)(1) of the Code as of the date of this Agreement (or any amended or successor version described above) and any fiscal or regulatory legislation, rules or practices adopted pursuant to any intergovernmental agreement, treaty or convention among Governmental Authorities and implementing such Sections of the Code.</w:t>
      </w:r>
    </w:p>
    <w:p>
      <w:pPr>
        <w:pStyle w:val="TextBody"/>
        <w:bidi w:val="0"/>
        <w:spacing w:before="13"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FCPA</w:t>
      </w:r>
      <w:r>
        <w:rPr>
          <w:color w:val="000000"/>
        </w:rPr>
        <w:t xml:space="preserve">” </w:t>
      </w:r>
      <w:r>
        <w:rPr>
          <w:rFonts w:ascii="Times New Roman;sans-serif" w:hAnsi="Times New Roman;sans-serif"/>
          <w:b w:val="false"/>
          <w:color w:val="000000"/>
          <w:sz w:val="20"/>
        </w:rPr>
        <w:t>has the meaning specified in Section 3.17(b).</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Federal Funds Effective Rate</w:t>
      </w:r>
      <w:r>
        <w:rPr>
          <w:color w:val="000000"/>
        </w:rPr>
        <w:t xml:space="preserve">” </w:t>
      </w:r>
      <w:r>
        <w:rPr>
          <w:rFonts w:ascii="Times New Roman;sans-serif" w:hAnsi="Times New Roman;sans-serif"/>
          <w:b w:val="false"/>
          <w:color w:val="000000"/>
          <w:sz w:val="20"/>
        </w:rPr>
        <w:t>means, for any day, the weighted average of the rates on overnight Federal funds transactions with members of the Federal Reserve System, as published on the next succeeding Business Day by the Federal Reserve Bank of New York.</w:t>
      </w:r>
    </w:p>
    <w:p>
      <w:pPr>
        <w:pStyle w:val="TextBody"/>
        <w:bidi w:val="0"/>
        <w:spacing w:before="11" w:after="283"/>
        <w:jc w:val="left"/>
        <w:rPr/>
      </w:pPr>
      <w:r>
        <w:rPr/>
      </w:r>
    </w:p>
    <w:p>
      <w:pPr>
        <w:pStyle w:val="TextBody"/>
        <w:bidi w:val="0"/>
        <w:spacing w:lineRule="auto" w:line="288" w:before="1" w:after="283"/>
        <w:ind w:left="0" w:right="0" w:firstLine="1440"/>
        <w:jc w:val="left"/>
        <w:rPr/>
      </w:pPr>
      <w:r>
        <w:rPr>
          <w:color w:val="000000"/>
        </w:rPr>
        <w:t>“</w:t>
      </w:r>
      <w:r>
        <w:rPr>
          <w:rFonts w:ascii="Times New Roman;sans-serif" w:hAnsi="Times New Roman;sans-serif"/>
          <w:b w:val="false"/>
          <w:color w:val="000000"/>
          <w:sz w:val="20"/>
          <w:u w:val="single"/>
        </w:rPr>
        <w:t>Federal Reserve Board</w:t>
      </w:r>
      <w:r>
        <w:rPr>
          <w:color w:val="000000"/>
        </w:rPr>
        <w:t xml:space="preserve">” </w:t>
      </w:r>
      <w:r>
        <w:rPr>
          <w:rFonts w:ascii="Times New Roman;sans-serif" w:hAnsi="Times New Roman;sans-serif"/>
          <w:b w:val="false"/>
          <w:color w:val="000000"/>
          <w:sz w:val="20"/>
        </w:rPr>
        <w:t>means the Board of Governors of the Federal Reserve System of the United States of America.</w:t>
      </w:r>
    </w:p>
    <w:p>
      <w:pPr>
        <w:pStyle w:val="TextBody"/>
        <w:bidi w:val="0"/>
        <w:spacing w:before="10" w:after="283"/>
        <w:jc w:val="left"/>
        <w:rPr/>
      </w:pPr>
      <w:r>
        <w:rPr/>
      </w:r>
    </w:p>
    <w:p>
      <w:pPr>
        <w:pStyle w:val="TextBody"/>
        <w:bidi w:val="0"/>
        <w:spacing w:lineRule="auto" w:line="288" w:before="1" w:after="283"/>
        <w:ind w:left="0" w:right="0" w:firstLine="1517"/>
        <w:jc w:val="left"/>
        <w:rPr/>
      </w:pPr>
      <w:r>
        <w:rPr>
          <w:color w:val="000000"/>
        </w:rPr>
        <w:t>“</w:t>
      </w:r>
      <w:r>
        <w:rPr>
          <w:rFonts w:ascii="Times New Roman;sans-serif" w:hAnsi="Times New Roman;sans-serif"/>
          <w:b w:val="false"/>
          <w:color w:val="000000"/>
          <w:sz w:val="20"/>
          <w:u w:val="single"/>
        </w:rPr>
        <w:t>Financial Officer</w:t>
      </w:r>
      <w:r>
        <w:rPr>
          <w:color w:val="000000"/>
        </w:rPr>
        <w:t xml:space="preserve">” </w:t>
      </w:r>
      <w:r>
        <w:rPr>
          <w:rFonts w:ascii="Times New Roman;sans-serif" w:hAnsi="Times New Roman;sans-serif"/>
          <w:b w:val="false"/>
          <w:color w:val="000000"/>
          <w:sz w:val="20"/>
        </w:rPr>
        <w:t>means the chief financial officer, principal accounting officer, treasurer or corporate controller of Holdings or the Borrower, as applicable.</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Financial Performance Covenant</w:t>
      </w:r>
      <w:r>
        <w:rPr>
          <w:color w:val="000000"/>
        </w:rPr>
        <w:t xml:space="preserve">” </w:t>
      </w:r>
      <w:r>
        <w:rPr>
          <w:rFonts w:ascii="Times New Roman;sans-serif" w:hAnsi="Times New Roman;sans-serif"/>
          <w:b w:val="false"/>
          <w:color w:val="000000"/>
          <w:sz w:val="20"/>
        </w:rPr>
        <w:t>means the covenant set forth in Section 6.11.</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51155"/>
                <wp:effectExtent l="0" t="0" r="0" b="0"/>
                <wp:wrapNone/>
                <wp:docPr id="115" name="Frame1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FIRREA</w:t>
      </w:r>
      <w:r>
        <w:rPr>
          <w:color w:val="000000"/>
        </w:rPr>
        <w:t xml:space="preserve">” </w:t>
      </w:r>
      <w:r>
        <w:rPr>
          <w:rFonts w:ascii="Times New Roman;sans-serif" w:hAnsi="Times New Roman;sans-serif"/>
          <w:b w:val="false"/>
          <w:color w:val="000000"/>
          <w:sz w:val="20"/>
        </w:rPr>
        <w:t>means the Financial Institutions Reform, Recovery and Enforcement Act of 1989, as</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First Lien Administrative Agent</w:t>
      </w:r>
      <w:r>
        <w:rPr>
          <w:color w:val="000000"/>
        </w:rPr>
        <w:t xml:space="preserve">” </w:t>
      </w:r>
      <w:r>
        <w:rPr>
          <w:rFonts w:ascii="Times New Roman;sans-serif" w:hAnsi="Times New Roman;sans-serif"/>
          <w:b w:val="false"/>
          <w:color w:val="000000"/>
          <w:sz w:val="20"/>
        </w:rPr>
        <w:t>means JPMorgan (formerly Jefferies Finance LLC), in its capacity as first lien administrative agent hereunder and under the other First Lien Loan Documents, and its successors in such capacity as provided in Article VIII.</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First Lien Administrative Agent’s Office</w:t>
      </w:r>
      <w:r>
        <w:rPr>
          <w:color w:val="000000"/>
        </w:rPr>
        <w:t xml:space="preserve">” </w:t>
      </w:r>
      <w:r>
        <w:rPr>
          <w:rFonts w:ascii="Times New Roman;sans-serif" w:hAnsi="Times New Roman;sans-serif"/>
          <w:b w:val="false"/>
          <w:color w:val="000000"/>
          <w:sz w:val="20"/>
        </w:rPr>
        <w:t>means the First Lien Administrative Agent’s address and, as appropriate, account as set forth on Schedule 9.01, or such other address or account as the First Lien Administrative Agent may from time to time notify the Borrower and the Lenders.</w:t>
      </w:r>
    </w:p>
    <w:p>
      <w:pPr>
        <w:pStyle w:val="TextBody"/>
        <w:bidi w:val="0"/>
        <w:spacing w:before="11"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First Lien Collateral Agent</w:t>
      </w:r>
      <w:r>
        <w:rPr>
          <w:color w:val="000000"/>
        </w:rPr>
        <w:t xml:space="preserve">” </w:t>
      </w:r>
      <w:r>
        <w:rPr>
          <w:rFonts w:ascii="Times New Roman;sans-serif" w:hAnsi="Times New Roman;sans-serif"/>
          <w:b w:val="false"/>
          <w:color w:val="000000"/>
          <w:sz w:val="20"/>
        </w:rPr>
        <w:t>has the meaning given to such term in Section 8.01(b) and its successors in such capacity as provided in Article VIII.</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First Lien Collateral Agreement</w:t>
      </w:r>
      <w:r>
        <w:rPr>
          <w:color w:val="000000"/>
        </w:rPr>
        <w:t xml:space="preserve">” </w:t>
      </w:r>
      <w:r>
        <w:rPr>
          <w:rFonts w:ascii="Times New Roman;sans-serif" w:hAnsi="Times New Roman;sans-serif"/>
          <w:b w:val="false"/>
          <w:color w:val="000000"/>
          <w:sz w:val="20"/>
        </w:rPr>
        <w:t>means the First Lien Collateral Agreement among the Loan Parties party thereto and the First Lien Collateral Agent, substantially in the form of Exhibit D.</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First Lien Financing Transactions</w:t>
      </w:r>
      <w:r>
        <w:rPr>
          <w:color w:val="000000"/>
        </w:rPr>
        <w:t xml:space="preserve">” </w:t>
      </w:r>
      <w:r>
        <w:rPr>
          <w:rFonts w:ascii="Times New Roman;sans-serif" w:hAnsi="Times New Roman;sans-serif"/>
          <w:b w:val="false"/>
          <w:color w:val="000000"/>
          <w:sz w:val="20"/>
        </w:rPr>
        <w:t>means (a) the execution, delivery and performance by each Loan Party of the First Lien Loan Documents to which it is to be a party, (b) the borrowing of Loans hereunder and the use of the proceeds thereof and (c) the issuance, amendment or extension of Letters of Credit hereunder and the use of proceeds thereof.</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First Lien Guarantee Agreement</w:t>
      </w:r>
      <w:r>
        <w:rPr>
          <w:color w:val="000000"/>
        </w:rPr>
        <w:t xml:space="preserve">” </w:t>
      </w:r>
      <w:r>
        <w:rPr>
          <w:rFonts w:ascii="Times New Roman;sans-serif" w:hAnsi="Times New Roman;sans-serif"/>
          <w:b w:val="false"/>
          <w:color w:val="000000"/>
          <w:sz w:val="20"/>
        </w:rPr>
        <w:t>means the First Lien Guarantee Agreement among the Loan Parties and the First Lien Collateral Agent, substantially in the form of Exhibit B.</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First Lien Incremental Equivalent Debt</w:t>
      </w:r>
      <w:r>
        <w:rPr>
          <w:color w:val="000000"/>
        </w:rPr>
        <w:t xml:space="preserve">” </w:t>
      </w:r>
      <w:r>
        <w:rPr>
          <w:rFonts w:ascii="Times New Roman;sans-serif" w:hAnsi="Times New Roman;sans-serif"/>
          <w:b w:val="false"/>
          <w:color w:val="000000"/>
          <w:sz w:val="20"/>
        </w:rPr>
        <w:t>has the meaning assigned to such term in Section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6.01(a)(xx).</w:t>
      </w:r>
    </w:p>
    <w:p>
      <w:pPr>
        <w:pStyle w:val="TextBody"/>
        <w:bidi w:val="0"/>
        <w:spacing w:lineRule="auto" w:line="655" w:before="1" w:after="283"/>
        <w:jc w:val="left"/>
        <w:rPr/>
      </w:pPr>
      <w:r>
        <w:rPr>
          <w:color w:val="000000"/>
        </w:rPr>
        <w:t>“</w:t>
      </w:r>
      <w:r>
        <w:rPr>
          <w:rFonts w:ascii="Times New Roman;sans-serif" w:hAnsi="Times New Roman;sans-serif"/>
          <w:b w:val="false"/>
          <w:color w:val="000000"/>
          <w:sz w:val="20"/>
          <w:u w:val="single"/>
        </w:rPr>
        <w:t>First Lien Incremental Facilities</w:t>
      </w:r>
      <w:r>
        <w:rPr>
          <w:color w:val="000000"/>
        </w:rPr>
        <w:t xml:space="preserve">” </w:t>
      </w:r>
      <w:r>
        <w:rPr>
          <w:rFonts w:ascii="Times New Roman;sans-serif" w:hAnsi="Times New Roman;sans-serif"/>
          <w:b w:val="false"/>
          <w:color w:val="000000"/>
          <w:sz w:val="20"/>
        </w:rPr>
        <w:t>has the meaning assigned to such term in Section 2.20(a). “</w:t>
      </w:r>
      <w:r>
        <w:rPr>
          <w:rFonts w:ascii="Times New Roman;sans-serif" w:hAnsi="Times New Roman;sans-serif"/>
          <w:b w:val="false"/>
          <w:color w:val="000000"/>
          <w:sz w:val="20"/>
          <w:u w:val="single"/>
        </w:rPr>
        <w:t>First Lien Incremental Term Facility</w:t>
      </w:r>
      <w:r>
        <w:rPr>
          <w:color w:val="000000"/>
        </w:rPr>
        <w:t xml:space="preserve">” </w:t>
      </w:r>
      <w:r>
        <w:rPr>
          <w:rFonts w:ascii="Times New Roman;sans-serif" w:hAnsi="Times New Roman;sans-serif"/>
          <w:b w:val="false"/>
          <w:color w:val="000000"/>
          <w:sz w:val="20"/>
        </w:rPr>
        <w:t>has the meaning assigned to such term in Section 2.20(a). “</w:t>
      </w:r>
      <w:r>
        <w:rPr>
          <w:rFonts w:ascii="Times New Roman;sans-serif" w:hAnsi="Times New Roman;sans-serif"/>
          <w:b w:val="false"/>
          <w:color w:val="000000"/>
          <w:sz w:val="20"/>
          <w:u w:val="single"/>
        </w:rPr>
        <w:t>First Lien Incremental Term Increase</w:t>
      </w:r>
      <w:r>
        <w:rPr>
          <w:color w:val="000000"/>
        </w:rPr>
        <w:t xml:space="preserve">” </w:t>
      </w:r>
      <w:r>
        <w:rPr>
          <w:rFonts w:ascii="Times New Roman;sans-serif" w:hAnsi="Times New Roman;sans-serif"/>
          <w:b w:val="false"/>
          <w:color w:val="000000"/>
          <w:sz w:val="20"/>
        </w:rPr>
        <w:t>has the meaning assigned to such term in Section 2.20(a). “</w:t>
      </w:r>
      <w:r>
        <w:rPr>
          <w:rFonts w:ascii="Times New Roman;sans-serif" w:hAnsi="Times New Roman;sans-serif"/>
          <w:b w:val="false"/>
          <w:color w:val="000000"/>
          <w:sz w:val="20"/>
          <w:u w:val="single"/>
        </w:rPr>
        <w:t>First Lien Incremental Term Loan</w:t>
      </w:r>
      <w:r>
        <w:rPr>
          <w:color w:val="000000"/>
        </w:rPr>
        <w:t xml:space="preserve">” </w:t>
      </w:r>
      <w:r>
        <w:rPr>
          <w:rFonts w:ascii="Times New Roman;sans-serif" w:hAnsi="Times New Roman;sans-serif"/>
          <w:b w:val="false"/>
          <w:color w:val="000000"/>
          <w:sz w:val="20"/>
        </w:rPr>
        <w:t>means any Term Loan provided under any First Lien</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Facility.</w:t>
      </w:r>
    </w:p>
    <w:p>
      <w:pPr>
        <w:pStyle w:val="TextBody"/>
        <w:bidi w:val="0"/>
        <w:spacing w:before="11"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First Lien Loan Document Obligations</w:t>
      </w:r>
      <w:r>
        <w:rPr>
          <w:color w:val="000000"/>
        </w:rPr>
        <w:t xml:space="preserve">” </w:t>
      </w:r>
      <w:r>
        <w:rPr>
          <w:rFonts w:ascii="Times New Roman;sans-serif" w:hAnsi="Times New Roman;sans-serif"/>
          <w:b w:val="false"/>
          <w:color w:val="000000"/>
          <w:sz w:val="20"/>
        </w:rPr>
        <w:t>means (a) the due and punctual payment by the Borrower of (i) the principal of the Loans and LC Disbursements, and all accrued and unpaid interest thereon at the applicable rate or rates provided in this Agreement (including interest accruing during the pendency of any bankruptcy, insolvency, receivership or other similar proceeding, regardless of whether allowed or allowable in such proceeding), when and as due, whether at maturity, by acceleration, upon one or more dates set for prepayment or otherwise and (ii) all other monetary obligations of the Borrower under or pursuant to this Agreement and each of the other First Lien Loan Documents, including obligations to pay fees, expenses, reimbursement obligations and indemnification obligations and obligations to provide cash collateral, whether primary, secondary, direct, contingent, fixed or otherwise (including interest and monetary obligations incurred during the pendency of any bankruptcy, insolvency, receivership or other similar proceeding, regardless of whether allowed or allowable in such proceeding), (b) the due and punctual payment and performance of all other obligations of the Borrower under or pursuant to each of the First Lien Loan Documents and (c) the due and punctual payment and performance of all the obligations of each other Loan Party under or pursuant to this Agreement and each of the other First Lien Loan Documents (including interest and monetary obligations incurred during the pendency of any bankruptcy, insolvency, receivership or other similar proceeding, regardless of whether allowed or allowable in such proceeding).</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51155"/>
                <wp:effectExtent l="0" t="0" r="0" b="0"/>
                <wp:wrapNone/>
                <wp:docPr id="116" name="Frame1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60" w:after="283"/>
        <w:ind w:left="0" w:right="0" w:firstLine="1440"/>
        <w:jc w:val="both"/>
        <w:rPr/>
      </w:pPr>
      <w:r>
        <w:rPr/>
      </w:r>
    </w:p>
    <w:p>
      <w:pPr>
        <w:pStyle w:val="TextBody"/>
        <w:bidi w:val="0"/>
        <w:spacing w:lineRule="auto" w:line="288" w:before="60" w:after="283"/>
        <w:ind w:left="0" w:right="0" w:firstLine="1440"/>
        <w:jc w:val="both"/>
        <w:rPr/>
      </w:pPr>
      <w:r>
        <w:rPr>
          <w:color w:val="000000"/>
        </w:rPr>
        <w:t>“</w:t>
      </w:r>
      <w:r>
        <w:rPr>
          <w:rFonts w:ascii="Times New Roman;sans-serif" w:hAnsi="Times New Roman;sans-serif"/>
          <w:b w:val="false"/>
          <w:color w:val="000000"/>
          <w:sz w:val="20"/>
          <w:u w:val="single"/>
        </w:rPr>
        <w:t>First Lien Loan Documents</w:t>
      </w:r>
      <w:r>
        <w:rPr>
          <w:color w:val="000000"/>
        </w:rPr>
        <w:t xml:space="preserve">” </w:t>
      </w:r>
      <w:r>
        <w:rPr>
          <w:rFonts w:ascii="Times New Roman;sans-serif" w:hAnsi="Times New Roman;sans-serif"/>
          <w:b w:val="false"/>
          <w:color w:val="000000"/>
          <w:sz w:val="20"/>
        </w:rPr>
        <w:t>means this Agreement, any Refinancing Amendment, any Loan Modification Agreement, any Incremental Facility Amendment, the First Lien Guarantee Agreement, the First Lien Collateral Agreement, the First Lien Pari Passu Intercreditor Agreement, the other Security Documents, any Customary Intercreditor Agreement and any Note delivered pursuant to Section 2.09(e).</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First Lien Pari Passu Intercreditor Agreement</w:t>
      </w:r>
      <w:r>
        <w:rPr>
          <w:color w:val="000000"/>
        </w:rPr>
        <w:t xml:space="preserve">” </w:t>
      </w:r>
      <w:r>
        <w:rPr>
          <w:rFonts w:ascii="Times New Roman;sans-serif" w:hAnsi="Times New Roman;sans-serif"/>
          <w:b w:val="false"/>
          <w:color w:val="000000"/>
          <w:sz w:val="20"/>
        </w:rPr>
        <w:t xml:space="preserve">means the First Lien Intercreditor Agreement substantially in the form of Exhibit E-1 among the First Lien Administrative Agent and one or more Senior Representatives for holders of Indebtedness permitted by this Agreement to be secured by the Collateral on a </w:t>
      </w:r>
      <w:r>
        <w:rPr>
          <w:rFonts w:ascii="Times New Roman;sans-serif" w:hAnsi="Times New Roman;sans-serif"/>
          <w:b w:val="false"/>
          <w:color w:val="000000"/>
          <w:sz w:val="20"/>
          <w:u w:val="single"/>
        </w:rPr>
        <w:t>pari</w:t>
      </w:r>
      <w:r>
        <w:rPr>
          <w:color w:val="000000"/>
        </w:rPr>
        <w:t xml:space="preserve"> </w:t>
      </w:r>
      <w:r>
        <w:rPr>
          <w:rFonts w:ascii="Times New Roman;sans-serif" w:hAnsi="Times New Roman;sans-serif"/>
          <w:b w:val="false"/>
          <w:color w:val="000000"/>
          <w:sz w:val="20"/>
          <w:u w:val="single"/>
        </w:rPr>
        <w:t>passu</w:t>
      </w:r>
      <w:r>
        <w:rPr>
          <w:color w:val="000000"/>
        </w:rPr>
        <w:t xml:space="preserve"> </w:t>
      </w:r>
      <w:r>
        <w:rPr>
          <w:rFonts w:ascii="Times New Roman;sans-serif" w:hAnsi="Times New Roman;sans-serif"/>
          <w:b w:val="false"/>
          <w:color w:val="000000"/>
          <w:sz w:val="20"/>
        </w:rPr>
        <w:t>basis, with such modifications thereto as the First Lien Administrative Agent and the Borrower may reasonably agree. As of the Amendment No. 4 Effective Date, the First Lien Collateral Agent and Notes Collateral Agent entered into a Pari Passu Intercreditor Agreement.</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First/Second Lien Intercreditor Agreement</w:t>
      </w:r>
      <w:r>
        <w:rPr>
          <w:color w:val="000000"/>
        </w:rPr>
        <w:t xml:space="preserve">” </w:t>
      </w:r>
      <w:r>
        <w:rPr>
          <w:rFonts w:ascii="Times New Roman;sans-serif" w:hAnsi="Times New Roman;sans-serif"/>
          <w:b w:val="false"/>
          <w:color w:val="000000"/>
          <w:sz w:val="20"/>
        </w:rPr>
        <w:t>means the First/Second Lien Intercreditor Agreement substantially in the form of Exhibit E-2 among the First Lien Administrative Agent and one or more Senior Representatives for holders of Indebtedness permitted by this Agreement to be secured by the Collateral.</w:t>
      </w:r>
    </w:p>
    <w:p>
      <w:pPr>
        <w:pStyle w:val="TextBody"/>
        <w:bidi w:val="0"/>
        <w:spacing w:before="12"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Fixed Amounts</w:t>
      </w:r>
      <w:r>
        <w:rPr>
          <w:color w:val="000000"/>
        </w:rPr>
        <w:t xml:space="preserve">” </w:t>
      </w:r>
      <w:r>
        <w:rPr>
          <w:rFonts w:ascii="Times New Roman;sans-serif" w:hAnsi="Times New Roman;sans-serif"/>
          <w:b w:val="false"/>
          <w:color w:val="000000"/>
          <w:sz w:val="20"/>
        </w:rPr>
        <w:t>has the meaning assigned to such term in 1.07.(b).</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Flood Insurance Laws</w:t>
      </w:r>
      <w:r>
        <w:rPr>
          <w:color w:val="000000"/>
        </w:rPr>
        <w:t xml:space="preserve">” </w:t>
      </w:r>
      <w:r>
        <w:rPr>
          <w:rFonts w:ascii="Times New Roman;sans-serif" w:hAnsi="Times New Roman;sans-serif"/>
          <w:b w:val="false"/>
          <w:color w:val="000000"/>
          <w:sz w:val="20"/>
        </w:rPr>
        <w:t>means,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pStyle w:val="TextBody"/>
        <w:bidi w:val="0"/>
        <w:spacing w:before="12"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Floor</w:t>
      </w:r>
      <w:r>
        <w:rPr>
          <w:color w:val="000000"/>
        </w:rPr>
        <w:t xml:space="preserve">” </w:t>
      </w:r>
      <w:r>
        <w:rPr>
          <w:rFonts w:ascii="Times New Roman;sans-serif" w:hAnsi="Times New Roman;sans-serif"/>
          <w:b w:val="false"/>
          <w:color w:val="000000"/>
          <w:sz w:val="20"/>
        </w:rPr>
        <w:t>means the benchmark rate floor, if any, provided in this Agreement initially (as of the execution of this Agreement, the modification, amendment or renewal of this Agreement or otherwise) with respect to the EURIBOR, Adjusted Daily Simple SONIA, Adjusted Term SOFR Rate, Adjusted Daily Simple SOFR or Adjusted Term CORRA as applicable. The initial Floor for each of the Adjusted Term SOFR Rate, Adjusted Daily Simple SOFR and, with respect to Revolving Loans only, Adjusted Term CORRA shall be 0%.</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Foreign Lender</w:t>
      </w:r>
      <w:r>
        <w:rPr>
          <w:color w:val="000000"/>
        </w:rPr>
        <w:t xml:space="preserve">” </w:t>
      </w:r>
      <w:r>
        <w:rPr>
          <w:rFonts w:ascii="Times New Roman;sans-serif" w:hAnsi="Times New Roman;sans-serif"/>
          <w:b w:val="false"/>
          <w:color w:val="000000"/>
          <w:sz w:val="20"/>
        </w:rPr>
        <w:t>means a Lender that is not a United States Person (as defined in Section 7701(a)(30) of the Code).</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Form Intercreditor Agreements</w:t>
      </w:r>
      <w:r>
        <w:rPr>
          <w:color w:val="000000"/>
        </w:rPr>
        <w:t xml:space="preserve">” </w:t>
      </w:r>
      <w:r>
        <w:rPr>
          <w:rFonts w:ascii="Times New Roman;sans-serif" w:hAnsi="Times New Roman;sans-serif"/>
          <w:b w:val="false"/>
          <w:color w:val="000000"/>
          <w:sz w:val="20"/>
        </w:rPr>
        <w:t>means (a) an intercreditor agreement substantially in the form of the First Lien Pari Passu Intercreditor Agreement, (b) an intercreditor agreement substantially in the form of the First/Second Lien Intercreditor Agreement and/or (c) an intercreditor agreement substantially in the form of the ABL Intercreditor Agreement, as applicable.</w:t>
      </w:r>
    </w:p>
    <w:p>
      <w:pPr>
        <w:pStyle w:val="TextBody"/>
        <w:bidi w:val="0"/>
        <w:spacing w:before="11" w:after="283"/>
        <w:jc w:val="left"/>
        <w:rPr/>
      </w:pPr>
      <w:r>
        <w:rPr/>
      </w:r>
    </w:p>
    <w:p>
      <w:pPr>
        <w:pStyle w:val="TextBody"/>
        <w:bidi w:val="0"/>
        <w:spacing w:lineRule="auto" w:line="288" w:before="0" w:after="0"/>
        <w:ind w:left="0" w:right="0" w:firstLine="1626"/>
        <w:jc w:val="both"/>
        <w:rPr/>
      </w:pPr>
      <w:r>
        <w:rPr>
          <w:color w:val="000000"/>
        </w:rPr>
        <w:t>“</w:t>
      </w:r>
      <w:r>
        <w:rPr>
          <w:rFonts w:ascii="Times New Roman;sans-serif" w:hAnsi="Times New Roman;sans-serif"/>
          <w:b w:val="false"/>
          <w:color w:val="000000"/>
          <w:sz w:val="20"/>
          <w:u w:val="single"/>
        </w:rPr>
        <w:t>Funded Debt</w:t>
      </w:r>
      <w:r>
        <w:rPr>
          <w:color w:val="000000"/>
        </w:rPr>
        <w:t xml:space="preserve">” </w:t>
      </w:r>
      <w:r>
        <w:rPr>
          <w:rFonts w:ascii="Times New Roman;sans-serif" w:hAnsi="Times New Roman;sans-serif"/>
          <w:b w:val="false"/>
          <w:color w:val="000000"/>
          <w:sz w:val="20"/>
        </w:rPr>
        <w:t>means all Indebtedness of the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pStyle w:val="TextBody"/>
        <w:bidi w:val="0"/>
        <w:spacing w:before="12" w:after="283"/>
        <w:jc w:val="left"/>
        <w:rPr/>
      </w:pPr>
      <w:r>
        <w:rPr/>
      </w:r>
    </w:p>
    <w:p>
      <w:pPr>
        <w:pStyle w:val="TextBody"/>
        <w:bidi w:val="0"/>
        <w:spacing w:lineRule="auto" w:line="288"/>
        <w:ind w:left="0" w:right="0" w:firstLine="1505"/>
        <w:jc w:val="both"/>
        <w:rPr/>
      </w:pPr>
      <w:r>
        <w:rPr>
          <w:color w:val="000000"/>
        </w:rPr>
        <w:t>“</w:t>
      </w:r>
      <w:r>
        <w:rPr>
          <w:rFonts w:ascii="Times New Roman;sans-serif" w:hAnsi="Times New Roman;sans-serif"/>
          <w:b w:val="false"/>
          <w:color w:val="000000"/>
          <w:sz w:val="20"/>
          <w:u w:val="single"/>
        </w:rPr>
        <w:t>GAAP</w:t>
      </w:r>
      <w:r>
        <w:rPr>
          <w:color w:val="000000"/>
        </w:rPr>
        <w:t xml:space="preserve">” </w:t>
      </w:r>
      <w:r>
        <w:rPr>
          <w:rFonts w:ascii="Times New Roman;sans-serif" w:hAnsi="Times New Roman;sans-serif"/>
          <w:b w:val="false"/>
          <w:color w:val="000000"/>
          <w:sz w:val="20"/>
        </w:rPr>
        <w:t xml:space="preserve">means generally accepted accounting principles in the United States of America, as in effect from time to time;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if the Borrower notifies the First Lien Administrative Agent that the Borrower requests an amendment to any provision hereof to eliminate the effect of any change occurring after the Effective Date in GAAP or in the application thereof on the operation of such provision (or if the First Lien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51155"/>
                <wp:effectExtent l="0" t="0" r="0" b="0"/>
                <wp:wrapNone/>
                <wp:docPr id="117" name="Frame1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 any Indebtedness under GAAP with respect to Capital Lease Obligations shall be determined in accordance with the definition of Capital Lease Obligations.</w:t>
      </w:r>
    </w:p>
    <w:p>
      <w:pPr>
        <w:pStyle w:val="TextBody"/>
        <w:bidi w:val="0"/>
        <w:spacing w:before="13"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General Restricted Payment Reallocated Amount</w:t>
      </w:r>
      <w:r>
        <w:rPr>
          <w:color w:val="000000"/>
        </w:rPr>
        <w:t xml:space="preserve">” </w:t>
      </w:r>
      <w:r>
        <w:rPr>
          <w:rFonts w:ascii="Times New Roman;sans-serif" w:hAnsi="Times New Roman;sans-serif"/>
          <w:b w:val="false"/>
          <w:color w:val="000000"/>
          <w:sz w:val="20"/>
        </w:rPr>
        <w:t>means any amount that, at the option of Holdings or the Borrower, has been reallocated from Section 6.07(a)(viii) to clause (C) of the proviso in Section 6.04(m), which shall be deemed to be a utilization of the basket set forth in Section 6.07(a)(viii).</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strike/>
          <w:color w:val="FF0000"/>
          <w:sz w:val="20"/>
        </w:rPr>
        <w:t>Goldman Sachs</w:t>
      </w:r>
      <w:r>
        <w:rPr>
          <w:color w:val="0000FF"/>
          <w:u w:val="single"/>
        </w:rPr>
        <w:t xml:space="preserve"> </w:t>
      </w:r>
      <w:r>
        <w:rPr>
          <w:rFonts w:ascii="Times New Roman;sans-serif" w:hAnsi="Times New Roman;sans-serif"/>
          <w:b/>
          <w:color w:val="0000FF"/>
          <w:sz w:val="20"/>
          <w:u w:val="single"/>
        </w:rPr>
        <w:t xml:space="preserve">GS Bank </w:t>
      </w:r>
      <w:r>
        <w:rPr>
          <w:rFonts w:ascii="Times New Roman;sans-serif" w:hAnsi="Times New Roman;sans-serif"/>
          <w:b w:val="false"/>
          <w:color w:val="000000"/>
          <w:sz w:val="20"/>
        </w:rPr>
        <w:t xml:space="preserve">Letter of Credit Sublimit” means an amount equal to the amount listed on Schedule 2.01 as amended by Amendment No. </w:t>
      </w:r>
      <w:r>
        <w:rPr>
          <w:rFonts w:ascii="Times New Roman;sans-serif" w:hAnsi="Times New Roman;sans-serif"/>
          <w:b/>
          <w:strike/>
          <w:color w:val="FF0000"/>
          <w:sz w:val="20"/>
        </w:rPr>
        <w:t>3</w:t>
      </w:r>
      <w:r>
        <w:rPr>
          <w:rFonts w:ascii="Times New Roman;sans-serif" w:hAnsi="Times New Roman;sans-serif"/>
          <w:b/>
          <w:color w:val="0000FF"/>
          <w:sz w:val="20"/>
          <w:u w:val="single"/>
        </w:rPr>
        <w:t>5</w:t>
      </w:r>
      <w:r>
        <w:rPr>
          <w:rFonts w:ascii="Times New Roman;sans-serif" w:hAnsi="Times New Roman;sans-serif"/>
          <w:b w:val="false"/>
          <w:color w:val="000000"/>
          <w:sz w:val="20"/>
        </w:rPr>
        <w:t xml:space="preserve">. Letters of Credit issued pursuant to the </w:t>
      </w:r>
      <w:r>
        <w:rPr>
          <w:rFonts w:ascii="Times New Roman;sans-serif" w:hAnsi="Times New Roman;sans-serif"/>
          <w:b/>
          <w:strike/>
          <w:color w:val="FF0000"/>
          <w:sz w:val="20"/>
        </w:rPr>
        <w:t>Goldman Sachs</w:t>
      </w:r>
      <w:r>
        <w:rPr>
          <w:rFonts w:ascii="Times New Roman;sans-serif" w:hAnsi="Times New Roman;sans-serif"/>
          <w:b/>
          <w:color w:val="0000FF"/>
          <w:sz w:val="20"/>
          <w:u w:val="single"/>
        </w:rPr>
        <w:t>GS Bank</w:t>
      </w:r>
      <w:r>
        <w:rPr>
          <w:color w:val="0000FF"/>
        </w:rPr>
        <w:t xml:space="preserve"> </w:t>
      </w:r>
      <w:r>
        <w:rPr>
          <w:rFonts w:ascii="Times New Roman;sans-serif" w:hAnsi="Times New Roman;sans-serif"/>
          <w:b w:val="false"/>
          <w:color w:val="000000"/>
          <w:sz w:val="20"/>
        </w:rPr>
        <w:t>Letter of Credit Sublimit will be issued by Goldman Sachs Bank USA in its capacity as an “Issuing Bank”.</w:t>
      </w:r>
    </w:p>
    <w:p>
      <w:pPr>
        <w:pStyle w:val="TextBody"/>
        <w:bidi w:val="0"/>
        <w:spacing w:before="11" w:after="283"/>
        <w:jc w:val="left"/>
        <w:rPr/>
      </w:pPr>
      <w:r>
        <w:rPr/>
      </w:r>
    </w:p>
    <w:p>
      <w:pPr>
        <w:pStyle w:val="TextBody"/>
        <w:bidi w:val="0"/>
        <w:spacing w:lineRule="auto" w:line="288" w:before="0" w:after="7"/>
        <w:jc w:val="left"/>
        <w:rPr>
          <w:rFonts w:ascii="Times New Roman;sans-serif" w:hAnsi="Times New Roman;sans-serif"/>
          <w:b/>
          <w:color w:val="0000FF"/>
          <w:sz w:val="20"/>
          <w:u w:val="single"/>
        </w:rPr>
      </w:pPr>
      <w:r>
        <w:rPr>
          <w:rFonts w:ascii="Times New Roman;sans-serif" w:hAnsi="Times New Roman;sans-serif"/>
          <w:b/>
          <w:color w:val="0000FF"/>
          <w:sz w:val="20"/>
          <w:u w:val="single"/>
        </w:rPr>
        <w:t xml:space="preserve">GSLP Letter of Credit Sublimit” means an amount equal to the amount listed on Schedule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2.01 as amended by Amendment No. 5. Letters of Credit issued pursuant to the GSLP Letter of Credit Sublimit will be issued by Goldman Sachs Lending Partners LLC in its capacity as an “Issuing Bank”</w:t>
      </w:r>
    </w:p>
    <w:p>
      <w:pPr>
        <w:pStyle w:val="TextBody"/>
        <w:bidi w:val="0"/>
        <w:spacing w:lineRule="auto" w:line="288" w:before="214" w:after="283"/>
        <w:ind w:left="0" w:right="0" w:firstLine="1440"/>
        <w:jc w:val="both"/>
        <w:rPr/>
      </w:pPr>
      <w:r>
        <w:rPr>
          <w:color w:val="000000"/>
        </w:rPr>
        <w:t>“</w:t>
      </w:r>
      <w:r>
        <w:rPr>
          <w:rFonts w:ascii="Times New Roman;sans-serif" w:hAnsi="Times New Roman;sans-serif"/>
          <w:b w:val="false"/>
          <w:color w:val="000000"/>
          <w:sz w:val="20"/>
          <w:u w:val="single"/>
        </w:rPr>
        <w:t>Governmental Approvals</w:t>
      </w:r>
      <w:r>
        <w:rPr>
          <w:color w:val="000000"/>
        </w:rPr>
        <w:t xml:space="preserve">” </w:t>
      </w:r>
      <w:r>
        <w:rPr>
          <w:rFonts w:ascii="Times New Roman;sans-serif" w:hAnsi="Times New Roman;sans-serif"/>
          <w:b w:val="false"/>
          <w:color w:val="000000"/>
          <w:sz w:val="20"/>
        </w:rPr>
        <w:t>means all authorizations, consents, approvals, permits, licenses and exemptions of, registrations and filings with, and reports to, Governmental Authorities.</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Governmental Authority</w:t>
      </w:r>
      <w:r>
        <w:rPr>
          <w:color w:val="000000"/>
        </w:rPr>
        <w:t xml:space="preserve">” </w:t>
      </w:r>
      <w:r>
        <w:rPr>
          <w:rFonts w:ascii="Times New Roman;sans-serif" w:hAnsi="Times New Roman;sans-serif"/>
          <w:b w:val="false"/>
          <w:color w:val="000000"/>
          <w:sz w:val="20"/>
        </w:rPr>
        <w:t>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Guarantee</w:t>
      </w:r>
      <w:r>
        <w:rPr>
          <w:color w:val="000000"/>
        </w:rPr>
        <w:t xml:space="preserve">” </w:t>
      </w:r>
      <w:r>
        <w:rPr>
          <w:rFonts w:ascii="Times New Roman;sans-serif" w:hAnsi="Times New Roman;sans-serif"/>
          <w:b w:val="false"/>
          <w:color w:val="000000"/>
          <w:sz w:val="20"/>
        </w:rPr>
        <w:t>of or by any Person (the “</w:t>
      </w:r>
      <w:r>
        <w:rPr>
          <w:rFonts w:ascii="Times New Roman;sans-serif" w:hAnsi="Times New Roman;sans-serif"/>
          <w:b w:val="false"/>
          <w:color w:val="000000"/>
          <w:sz w:val="20"/>
          <w:u w:val="single"/>
        </w:rPr>
        <w:t>guarantor</w:t>
      </w:r>
      <w:r>
        <w:rPr>
          <w:color w:val="000000"/>
        </w:rPr>
        <w:t>”</w:t>
      </w:r>
      <w:r>
        <w:rPr>
          <w:rFonts w:ascii="Times New Roman;sans-serif" w:hAnsi="Times New Roman;sans-serif"/>
          <w:b w:val="false"/>
          <w:color w:val="000000"/>
          <w:sz w:val="20"/>
        </w:rPr>
        <w:t>) means any obligation, contingent or otherwise, of the guarantor guaranteeing or having the economic effect of guaranteeing any Indebtedness of any other Person (the “</w:t>
      </w:r>
      <w:r>
        <w:rPr>
          <w:rFonts w:ascii="Times New Roman;sans-serif" w:hAnsi="Times New Roman;sans-serif"/>
          <w:b w:val="false"/>
          <w:color w:val="000000"/>
          <w:sz w:val="20"/>
          <w:u w:val="single"/>
        </w:rPr>
        <w:t>primary obligor</w:t>
      </w:r>
      <w:r>
        <w:rPr>
          <w:color w:val="000000"/>
        </w:rPr>
        <w:t>”</w:t>
      </w:r>
      <w:r>
        <w:rPr>
          <w:rFonts w:ascii="Times New Roman;sans-serif" w:hAnsi="Times New Roman;sans-serif"/>
          <w:b w:val="false"/>
          <w:color w:val="000000"/>
          <w:sz w:val="20"/>
        </w:rPr>
        <w:t>)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w:t>
      </w:r>
    </w:p>
    <w:p>
      <w:pPr>
        <w:pStyle w:val="TextBody"/>
        <w:bidi w:val="0"/>
        <w:spacing w:lineRule="auto" w:line="288" w:before="2" w:after="283"/>
        <w:jc w:val="both"/>
        <w:rPr/>
      </w:pPr>
      <w:r>
        <w:rPr>
          <w:rFonts w:ascii="Times New Roman;sans-serif" w:hAnsi="Times New Roman;sans-serif"/>
          <w:b w:val="false"/>
          <w:color w:val="000000"/>
          <w:sz w:val="20"/>
        </w:rPr>
        <w:t xml:space="preserve">(b)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pStyle w:val="TextBody"/>
        <w:bidi w:val="0"/>
        <w:spacing w:before="15"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Hazardous Materials</w:t>
      </w:r>
      <w:r>
        <w:rPr>
          <w:color w:val="000000"/>
        </w:rPr>
        <w:t xml:space="preserve">” </w:t>
      </w:r>
      <w:r>
        <w:rPr>
          <w:rFonts w:ascii="Times New Roman;sans-serif" w:hAnsi="Times New Roman;sans-serif"/>
          <w:b w:val="false"/>
          <w:color w:val="000000"/>
          <w:sz w:val="20"/>
        </w:rPr>
        <w:t>means all explosive, radioactive, hazardous or toxic substances, wastes or other pollutants, including petroleum or petroleum by-products or distillates, asbestos or asbestos-containing materials, polychlorinated biphenyls, radon gas, infectious or medical wastes and all other hazardous or toxic substances, wastes, chemicals, pollutants, contaminants of any nature and in any form regulated pursuant to any Environmental Law.</w:t>
      </w:r>
    </w:p>
    <w:p>
      <w:pPr>
        <w:pStyle w:val="TextBody"/>
        <w:bidi w:val="0"/>
        <w:spacing w:before="60" w:after="283"/>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51155"/>
                <wp:effectExtent l="0" t="0" r="0" b="0"/>
                <wp:wrapNone/>
                <wp:docPr id="118" name="Frame1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ind w:left="0" w:right="0" w:firstLine="1440"/>
        <w:jc w:val="both"/>
        <w:rPr/>
      </w:pPr>
      <w:r>
        <w:rPr>
          <w:color w:val="000000"/>
        </w:rPr>
        <w:t>“</w:t>
      </w:r>
      <w:r>
        <w:rPr>
          <w:rFonts w:ascii="Times New Roman;sans-serif" w:hAnsi="Times New Roman;sans-serif"/>
          <w:b w:val="false"/>
          <w:color w:val="000000"/>
          <w:sz w:val="20"/>
          <w:u w:val="single"/>
        </w:rPr>
        <w:t>Holdings</w:t>
      </w:r>
      <w:r>
        <w:rPr>
          <w:color w:val="000000"/>
        </w:rPr>
        <w:t xml:space="preserve">” </w:t>
      </w:r>
      <w:r>
        <w:rPr>
          <w:rFonts w:ascii="Times New Roman;sans-serif" w:hAnsi="Times New Roman;sans-serif"/>
          <w:b w:val="false"/>
          <w:color w:val="000000"/>
          <w:sz w:val="20"/>
        </w:rPr>
        <w:t>means (a) prior to any IPO, Initial Holdings and (b) upon and after an IPO, (i) if the IPO Entity is Initial Holdings or any Person of which Initial Holdings is a Subsidiary, Initial Holdings or (ii) if the IPO Entity is an Intermediate Parent, the IPO Entity.</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Identified Participating Lenders</w:t>
      </w:r>
      <w:r>
        <w:rPr>
          <w:color w:val="000000"/>
        </w:rPr>
        <w:t xml:space="preserve">” </w:t>
      </w:r>
      <w:r>
        <w:rPr>
          <w:rFonts w:ascii="Times New Roman;sans-serif" w:hAnsi="Times New Roman;sans-serif"/>
          <w:b w:val="false"/>
          <w:color w:val="000000"/>
          <w:sz w:val="20"/>
        </w:rPr>
        <w:t>has the meaning assigned to such term in Section 2.11(a)(ii)(C)(3).</w:t>
      </w:r>
    </w:p>
    <w:p>
      <w:pPr>
        <w:pStyle w:val="TextBody"/>
        <w:bidi w:val="0"/>
        <w:spacing w:before="11" w:after="283"/>
        <w:jc w:val="left"/>
        <w:rPr/>
      </w:pPr>
      <w:r>
        <w:rPr/>
      </w:r>
    </w:p>
    <w:p>
      <w:pPr>
        <w:pStyle w:val="TextBody"/>
        <w:bidi w:val="0"/>
        <w:spacing w:lineRule="auto" w:line="568" w:before="0" w:after="0"/>
        <w:jc w:val="left"/>
        <w:rPr/>
      </w:pPr>
      <w:r>
        <w:rPr>
          <w:color w:val="000000"/>
        </w:rPr>
        <w:t>“</w:t>
      </w:r>
      <w:r>
        <w:rPr>
          <w:rFonts w:ascii="Times New Roman;sans-serif" w:hAnsi="Times New Roman;sans-serif"/>
          <w:b w:val="false"/>
          <w:color w:val="000000"/>
          <w:sz w:val="20"/>
          <w:u w:val="single"/>
        </w:rPr>
        <w:t>Identified Qualifying Lenders</w:t>
      </w:r>
      <w:r>
        <w:rPr>
          <w:color w:val="000000"/>
        </w:rPr>
        <w:t xml:space="preserve">” </w:t>
      </w:r>
      <w:r>
        <w:rPr>
          <w:rFonts w:ascii="Times New Roman;sans-serif" w:hAnsi="Times New Roman;sans-serif"/>
          <w:b w:val="false"/>
          <w:color w:val="000000"/>
          <w:sz w:val="20"/>
        </w:rPr>
        <w:t>has the meaning specified in Section 2.11(a)(ii)(D)(3). “</w:t>
      </w:r>
      <w:r>
        <w:rPr>
          <w:rFonts w:ascii="Times New Roman;sans-serif" w:hAnsi="Times New Roman;sans-serif"/>
          <w:b w:val="false"/>
          <w:color w:val="000000"/>
          <w:sz w:val="20"/>
          <w:u w:val="single"/>
        </w:rPr>
        <w:t>Immaterial Subsidiary</w:t>
      </w:r>
      <w:r>
        <w:rPr>
          <w:color w:val="000000"/>
        </w:rPr>
        <w:t xml:space="preserve">” </w:t>
      </w:r>
      <w:r>
        <w:rPr>
          <w:rFonts w:ascii="Times New Roman;sans-serif" w:hAnsi="Times New Roman;sans-serif"/>
          <w:b w:val="false"/>
          <w:color w:val="000000"/>
          <w:sz w:val="20"/>
        </w:rPr>
        <w:t>means any Subsidiary other than a Material Subsidiary.</w:t>
      </w:r>
    </w:p>
    <w:p>
      <w:pPr>
        <w:pStyle w:val="TextBody"/>
        <w:bidi w:val="0"/>
        <w:spacing w:lineRule="atLeast" w:line="228" w:before="0" w:after="0"/>
        <w:jc w:val="left"/>
        <w:rPr/>
      </w:pPr>
      <w:r>
        <w:rPr>
          <w:color w:val="000000"/>
        </w:rPr>
        <w:t>“</w:t>
      </w:r>
      <w:r>
        <w:rPr>
          <w:rFonts w:ascii="Times New Roman;sans-serif" w:hAnsi="Times New Roman;sans-serif"/>
          <w:b w:val="false"/>
          <w:color w:val="000000"/>
          <w:sz w:val="20"/>
          <w:u w:val="single"/>
        </w:rPr>
        <w:t>Impacted EURIBOR Rate Interest Period</w:t>
      </w:r>
      <w:r>
        <w:rPr>
          <w:color w:val="000000"/>
        </w:rPr>
        <w:t xml:space="preserve">” </w:t>
      </w:r>
      <w:r>
        <w:rPr>
          <w:rFonts w:ascii="Times New Roman;sans-serif" w:hAnsi="Times New Roman;sans-serif"/>
          <w:b w:val="false"/>
          <w:color w:val="000000"/>
          <w:sz w:val="20"/>
        </w:rPr>
        <w:t>has the meaning assigned to such term in the definition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“EURIBOR.”</w:t>
      </w:r>
    </w:p>
    <w:p>
      <w:pPr>
        <w:pStyle w:val="TextBody"/>
        <w:bidi w:val="0"/>
        <w:spacing w:before="10" w:after="283"/>
        <w:jc w:val="left"/>
        <w:rPr/>
      </w:pPr>
      <w:r>
        <w:rPr/>
      </w:r>
    </w:p>
    <w:p>
      <w:pPr>
        <w:pStyle w:val="TextBody"/>
        <w:bidi w:val="0"/>
        <w:spacing w:lineRule="auto" w:line="288" w:before="1" w:after="283"/>
        <w:jc w:val="center"/>
        <w:rPr/>
      </w:pPr>
      <w:r>
        <w:rPr>
          <w:color w:val="000000"/>
        </w:rPr>
        <w:t>“</w:t>
      </w:r>
      <w:r>
        <w:rPr>
          <w:rFonts w:ascii="Times New Roman;sans-serif" w:hAnsi="Times New Roman;sans-serif"/>
          <w:b w:val="false"/>
          <w:color w:val="000000"/>
          <w:sz w:val="20"/>
          <w:u w:val="single"/>
        </w:rPr>
        <w:t>Impacted Loans</w:t>
      </w:r>
      <w:r>
        <w:rPr>
          <w:color w:val="000000"/>
        </w:rPr>
        <w:t xml:space="preserve">” </w:t>
      </w:r>
      <w:r>
        <w:rPr>
          <w:rFonts w:ascii="Times New Roman;sans-serif" w:hAnsi="Times New Roman;sans-serif"/>
          <w:b w:val="false"/>
          <w:color w:val="000000"/>
          <w:sz w:val="20"/>
        </w:rPr>
        <w:t>has the meaning assigned to such term in Section 2.14(b).</w:t>
      </w:r>
    </w:p>
    <w:p>
      <w:pPr>
        <w:pStyle w:val="TextBody"/>
        <w:bidi w:val="0"/>
        <w:spacing w:before="10" w:after="283"/>
        <w:jc w:val="left"/>
        <w:rPr/>
      </w:pPr>
      <w:r>
        <w:rPr/>
      </w:r>
    </w:p>
    <w:p>
      <w:pPr>
        <w:pStyle w:val="TextBody"/>
        <w:bidi w:val="0"/>
        <w:spacing w:lineRule="auto" w:line="288" w:before="0" w:after="0"/>
        <w:ind w:left="0" w:right="0" w:firstLine="720"/>
        <w:jc w:val="left"/>
        <w:rPr/>
      </w:pPr>
      <w:r>
        <w:rPr>
          <w:color w:val="0000FF"/>
          <w:u w:val="single"/>
        </w:rPr>
        <w:t>“</w:t>
      </w:r>
      <w:r>
        <w:rPr>
          <w:rFonts w:ascii="Times New Roman;sans-serif" w:hAnsi="Times New Roman;sans-serif"/>
          <w:b/>
          <w:color w:val="0000FF"/>
          <w:sz w:val="20"/>
          <w:u w:val="single"/>
        </w:rPr>
        <w:t xml:space="preserve">Incremental Amendment No. 5 Revolving Lender” means a Revolving Lender providing the Amendment No. 5 Revolving Commitment Increase. </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Incremental Cap</w:t>
      </w:r>
      <w:r>
        <w:rPr>
          <w:color w:val="000000"/>
        </w:rPr>
        <w:t xml:space="preserve">” </w:t>
      </w:r>
      <w:r>
        <w:rPr>
          <w:rFonts w:ascii="Times New Roman;sans-serif" w:hAnsi="Times New Roman;sans-serif"/>
          <w:b w:val="false"/>
          <w:color w:val="000000"/>
          <w:sz w:val="20"/>
        </w:rPr>
        <w:t>means, as of any date of determination, the sum of (I)(a) the greater of (i)</w:t>
      </w:r>
    </w:p>
    <w:p>
      <w:pPr>
        <w:pStyle w:val="TextBody"/>
        <w:bidi w:val="0"/>
        <w:spacing w:lineRule="auto" w:line="288" w:before="0" w:after="0"/>
        <w:jc w:val="left"/>
        <w:rPr/>
      </w:pPr>
      <w:r>
        <w:rPr>
          <w:rFonts w:ascii="Times New Roman;sans-serif" w:hAnsi="Times New Roman;sans-serif"/>
          <w:b w:val="false"/>
          <w:color w:val="000000"/>
          <w:sz w:val="20"/>
        </w:rPr>
        <w:t xml:space="preserve">$542,000,000 and (ii) 100% of Consolidated EBITDA for the most recently ended Test Period as of such date, calculated on a Pro Forma Basis;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(b) the sum of (i) the aggregate principal amount of all First Lien Term Loans, First Lien Incremental Equivalent Debt and/or any other Indebtedness secured by the Collateral on a pari passu basis with, or senior to, the Secured Obligations voluntarily prepaid (including purchases and redemptions of the Loans, First Lien Incremental Equivalent Debt and/or any other Indebtedness secured by the Collateral on a pari passu basis with, or senior to, the Secured Obligations by the Borrower and its Subsidiaries (to the extent retired) at or below par, in which case the amount of voluntary prepayments of Loans shall be deemed to be the amount paid in cash, and with    respect to any reduction in the outstanding amount of any loan resulting from the application of any “yank-a-bank” provisions, the amount paid in cash), (ii) the aggregate amount of all First Lien Term Loans repurchased and prepaid pursuant to Section 2.11(a)(ii) or otherwise in a manner not prohibited by Section 9.04(g) and (iii) all reductions of Revolving Commitments (and, in the case of any revolving loans, a corresponding commitment reduction), in each case prior to such date (other than, in each case, prepayments, repurchases and commitment reductions with the proceeds of the incurrence of Credit Agreement Refinancing Indebtedness or other long-term Indebtedness),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(c) (i) the amount of all First Lien Incremental Facilities and all First Lien Incremental Equivalent Debt incurred in reliance on the foregoing clauses (a) and/or (b) and (ii) the amount of all Second Lien Incremental Equivalent Debt incurred in reliance on the foregoing clauses (a) and/or (b)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(II) (a) in the case of any First Lien Incremental Facilities or First Lien Incremental Equivalent Debt secured by the Collateral on a pari passu basis with the Secured Obligations, the maximum aggregate principal amount that can be incurred without causing the Senior Secured First Lien Net Leverage Ratio, after giving effect to the incurrence of any Incremental Facility or Incremental Equivalent Debt and the use of proceeds thereof, on a Pro Forma Basis, to exceed 5.50 to 1.00 for the most recently ended Test Period; (b) in the case of any Incremental Facilities or Incremental Equivalent Debt secured by the Collateral on a junior basis with the Secured Obligations, the maximum aggregate principal amount that can be incurred without causing the Senior Secured Net Leverage Ratio to exceed</w:t>
      </w:r>
    </w:p>
    <w:p>
      <w:pPr>
        <w:pStyle w:val="TextBody"/>
        <w:bidi w:val="0"/>
        <w:spacing w:lineRule="auto" w:line="288" w:before="1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7.50 to 1.00, on a Pro Forma Basis for the most recently ended Test Period; and (c) in the case of any Incremental Facilities or Incremental Equivalent Debt that is unsecured, the Total Net Leverage Ratio, after giving effect to the incurrence of such unsecured Incremental Facility or Incremental Equivalent Debt and the use of proceeds thereof, shall not, on a Pro Forma Basis, exceed 7.50 to 1.00 for the most recently ended Test Period. Any ratio calculated for purposes of determining the “Incremental Cap” shall be calculated on a Pro Forma Basis after giving effect to the incurrence of any Incremental Facility or Incremental Equivalent Debt and the use of proceeds thereof (assuming that the full amount of any Incremental Revolving Commitment Increase and Additional/Replacement Revolving Commitments being established at such time is fully drawn and deducting in calculating the numerator of any leverage ratio the cash proceeds thereof to the extent such proceeds are not promptly applied, but without giving effect to any simultaneous incurrence of any Incremental Facility or Incremental Equivalent Debt made pursuant to clause (I) above) for the most recent Test Period ended and subject to Section 1.06 to the extent applicable. Loans may be incurred under both clauses (I) and (II), and proceeds from any such incurrence may be utilized in a single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51155"/>
                <wp:effectExtent l="0" t="0" r="0" b="0"/>
                <wp:wrapNone/>
                <wp:docPr id="119" name="Frame1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by first calculating the incurrence under clause (II) above and then calculating the incurrence under clause (I) above (if any) (and vice versa) (and if both clauses (I) and (II) are available and the Borrower does not make an election, the Borrower will be deemed to have elected clause (II)); provided that any such Indebtedness originally incurred in reliance on clause (I) above shall cease to be deemed outstanding under clause (I) and shall instead be deemed to be outstanding pursuant to clause (II) above from and after the first date on which the Borrower could have incurred the aggregate principal amount of such Indebtedness in reliance on clause (II) above.</w:t>
      </w:r>
    </w:p>
    <w:p>
      <w:pPr>
        <w:pStyle w:val="TextBody"/>
        <w:bidi w:val="0"/>
        <w:spacing w:before="13" w:after="283"/>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0"/>
          <w:u w:val="single"/>
        </w:rPr>
        <w:t>Incremental Equivalent Debt</w:t>
      </w:r>
      <w:r>
        <w:rPr>
          <w:color w:val="000000"/>
        </w:rPr>
        <w:t xml:space="preserve">” </w:t>
      </w:r>
      <w:r>
        <w:rPr>
          <w:rFonts w:ascii="Times New Roman;sans-serif" w:hAnsi="Times New Roman;sans-serif"/>
          <w:b w:val="false"/>
          <w:color w:val="000000"/>
          <w:sz w:val="20"/>
        </w:rPr>
        <w:t>means First Lien Incremental Equivalent Debt and/or Second Lien Incremental Equivalent Debt.</w:t>
      </w:r>
    </w:p>
    <w:p>
      <w:pPr>
        <w:pStyle w:val="TextBody"/>
        <w:bidi w:val="0"/>
        <w:spacing w:lineRule="auto" w:line="655" w:before="1" w:after="283"/>
        <w:ind w:left="0" w:right="0" w:hanging="56"/>
        <w:jc w:val="left"/>
        <w:rPr/>
      </w:pPr>
      <w:r>
        <w:rPr>
          <w:color w:val="000000"/>
        </w:rPr>
        <w:t>“</w:t>
      </w:r>
      <w:r>
        <w:rPr>
          <w:rFonts w:ascii="Times New Roman;sans-serif" w:hAnsi="Times New Roman;sans-serif"/>
          <w:b w:val="false"/>
          <w:color w:val="000000"/>
          <w:sz w:val="20"/>
          <w:u w:val="single"/>
        </w:rPr>
        <w:t>Incremental Facility Amendment</w:t>
      </w:r>
      <w:r>
        <w:rPr>
          <w:color w:val="000000"/>
        </w:rPr>
        <w:t xml:space="preserve">” </w:t>
      </w:r>
      <w:r>
        <w:rPr>
          <w:rFonts w:ascii="Times New Roman;sans-serif" w:hAnsi="Times New Roman;sans-serif"/>
          <w:b w:val="false"/>
          <w:color w:val="000000"/>
          <w:sz w:val="20"/>
        </w:rPr>
        <w:t>has the meaning assigned to such term in Section 2.20(d). “</w:t>
      </w:r>
      <w:r>
        <w:rPr>
          <w:rFonts w:ascii="Times New Roman;sans-serif" w:hAnsi="Times New Roman;sans-serif"/>
          <w:b w:val="false"/>
          <w:color w:val="000000"/>
          <w:sz w:val="20"/>
          <w:u w:val="single"/>
        </w:rPr>
        <w:t>Incremental Revolving Commitment Increase</w:t>
      </w:r>
      <w:r>
        <w:rPr>
          <w:color w:val="000000"/>
        </w:rPr>
        <w:t xml:space="preserve">” </w:t>
      </w:r>
      <w:r>
        <w:rPr>
          <w:rFonts w:ascii="Times New Roman;sans-serif" w:hAnsi="Times New Roman;sans-serif"/>
          <w:b w:val="false"/>
          <w:color w:val="000000"/>
          <w:sz w:val="20"/>
        </w:rPr>
        <w:t>has the meaning assigned to such term in Section</w:t>
      </w:r>
    </w:p>
    <w:p>
      <w:pPr>
        <w:pStyle w:val="TextBody"/>
        <w:bidi w:val="0"/>
        <w:spacing w:lineRule="auto" w:line="288" w:before="1" w:after="283"/>
        <w:jc w:val="both"/>
        <w:rPr/>
      </w:pPr>
      <w:r>
        <w:rPr>
          <w:rFonts w:ascii="Times New Roman;sans-serif" w:hAnsi="Times New Roman;sans-serif"/>
          <w:b w:val="false"/>
          <w:color w:val="000000"/>
          <w:sz w:val="20"/>
        </w:rPr>
        <w:t>2.20(a), including Amendment No. 1 Revolving Commitment Increase</w:t>
      </w:r>
      <w:r>
        <w:rPr>
          <w:strike/>
          <w:color w:val="FF0000"/>
        </w:rPr>
        <w:t xml:space="preserve"> </w:t>
      </w:r>
      <w:r>
        <w:rPr>
          <w:rFonts w:ascii="Times New Roman;sans-serif" w:hAnsi="Times New Roman;sans-serif"/>
          <w:b/>
          <w:strike/>
          <w:color w:val="FF0000"/>
          <w:sz w:val="20"/>
        </w:rPr>
        <w:t>and</w:t>
      </w:r>
      <w:r>
        <w:rPr>
          <w:rFonts w:ascii="Times New Roman;sans-serif" w:hAnsi="Times New Roman;sans-serif"/>
          <w:b/>
          <w:color w:val="0000FF"/>
          <w:sz w:val="20"/>
        </w:rPr>
        <w:t xml:space="preserve">, </w:t>
      </w:r>
      <w:r>
        <w:rPr>
          <w:rFonts w:ascii="Times New Roman;sans-serif" w:hAnsi="Times New Roman;sans-serif"/>
          <w:b w:val="false"/>
          <w:color w:val="000000"/>
          <w:sz w:val="20"/>
        </w:rPr>
        <w:t>Amendment No. 2 Revolving Commitment Increase</w:t>
      </w:r>
      <w:r>
        <w:rPr>
          <w:color w:val="0000FF"/>
          <w:u w:val="single"/>
        </w:rPr>
        <w:t xml:space="preserve"> </w:t>
      </w:r>
      <w:r>
        <w:rPr>
          <w:rFonts w:ascii="Times New Roman;sans-serif" w:hAnsi="Times New Roman;sans-serif"/>
          <w:b/>
          <w:color w:val="0000FF"/>
          <w:sz w:val="20"/>
          <w:u w:val="single"/>
        </w:rPr>
        <w:t>and the Amendment No. 5 Revolving Commitment Increase</w:t>
      </w:r>
      <w:r>
        <w:rPr>
          <w:rFonts w:ascii="Times New Roman;sans-serif" w:hAnsi="Times New Roman;sans-serif"/>
          <w:b w:val="false"/>
          <w:color w:val="000000"/>
          <w:sz w:val="20"/>
        </w:rPr>
        <w:t>.</w:t>
      </w:r>
    </w:p>
    <w:p>
      <w:pPr>
        <w:pStyle w:val="TextBody"/>
        <w:bidi w:val="0"/>
        <w:spacing w:lineRule="auto" w:line="655" w:before="1" w:after="283"/>
        <w:ind w:left="0" w:right="0" w:hanging="68"/>
        <w:jc w:val="left"/>
        <w:rPr/>
      </w:pPr>
      <w:r>
        <w:rPr>
          <w:color w:val="000000"/>
        </w:rPr>
        <w:t>“</w:t>
      </w:r>
      <w:r>
        <w:rPr>
          <w:rFonts w:ascii="Times New Roman;sans-serif" w:hAnsi="Times New Roman;sans-serif"/>
          <w:b w:val="false"/>
          <w:color w:val="000000"/>
          <w:sz w:val="20"/>
          <w:u w:val="single"/>
        </w:rPr>
        <w:t>Incurrence Based Amounts</w:t>
      </w:r>
      <w:r>
        <w:rPr>
          <w:color w:val="000000"/>
        </w:rPr>
        <w:t xml:space="preserve">” </w:t>
      </w:r>
      <w:r>
        <w:rPr>
          <w:rFonts w:ascii="Times New Roman;sans-serif" w:hAnsi="Times New Roman;sans-serif"/>
          <w:b w:val="false"/>
          <w:color w:val="000000"/>
          <w:sz w:val="20"/>
        </w:rPr>
        <w:t>has the meaning assigned to such term in Section 1.07(b). “</w:t>
      </w:r>
      <w:r>
        <w:rPr>
          <w:rFonts w:ascii="Times New Roman;sans-serif" w:hAnsi="Times New Roman;sans-serif"/>
          <w:b w:val="false"/>
          <w:color w:val="000000"/>
          <w:sz w:val="20"/>
          <w:u w:val="single"/>
        </w:rPr>
        <w:t>Indebtedness</w:t>
      </w:r>
      <w:r>
        <w:rPr>
          <w:color w:val="000000"/>
        </w:rPr>
        <w:t xml:space="preserve">” </w:t>
      </w:r>
      <w:r>
        <w:rPr>
          <w:rFonts w:ascii="Times New Roman;sans-serif" w:hAnsi="Times New Roman;sans-serif"/>
          <w:b w:val="false"/>
          <w:color w:val="000000"/>
          <w:sz w:val="20"/>
        </w:rPr>
        <w:t>of any Person means, without duplication, (a) all obligations of such Person for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borrowed money, (b) all obligations of such Person evidenced by bonds, debentures, notes or similar instruments,</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all obligations of such Person under conditional sale or other title retention agreements relating to property acquired by such Person, (d) all obligations of such Person in respect of the deferred purchase price of property or services (excluding (x) trade accounts payable in the ordinary course of business, (y) any earn-out obligation until such obligation becomes a liability on the balance sheet of such Person in accordance with GAAP and if not paid after being due and payable and (z) taxes and other accrued expenses accrued in the ordinary course of business),</w:t>
      </w:r>
    </w:p>
    <w:p>
      <w:pPr>
        <w:pStyle w:val="TextBody"/>
        <w:bidi w:val="0"/>
        <w:spacing w:lineRule="auto" w:line="288"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w:t>
      </w:r>
    </w:p>
    <w:p>
      <w:pPr>
        <w:pStyle w:val="TextBody"/>
        <w:bidi w:val="0"/>
        <w:spacing w:lineRule="auto" w:line="288" w:before="1" w:after="283"/>
        <w:jc w:val="both"/>
        <w:rPr/>
      </w:pPr>
      <w:r>
        <w:rPr>
          <w:rFonts w:ascii="Times New Roman;sans-serif" w:hAnsi="Times New Roman;sans-serif"/>
          <w:b w:val="false"/>
          <w:color w:val="000000"/>
          <w:sz w:val="20"/>
        </w:rPr>
        <w:t xml:space="preserve">(g)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term “Indebtedness” shall not include (i) deferred or prepaid revenue, (ii) purchase price holdbacks in respect of a portion of the purchase price of an asset to satisfy warranty, indemnity or other unperformed obligations of the seller, (iii) any obligations attributable to the exercise of appraisal rights and the settlement of any claims or actions (whether actual, contingent or potential) with respect thereto, (iv) Indebtedness of any Person that is a direct or indirect parent of Holdings appearing on the balance sheet of Holdings or the Borrower, or solely by reason of push down accounting under GAAP, (v) for the avoidance of doubt, any Qualified Equity Interests issued by Holdings or the Borrower and (vi) any earn-out, take-or-pay or similar obligation to the extent such obligation is not shown as a liability on the balance sheet of such Person in accordance with GAAP and is not paid after becoming due and payable.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pStyle w:val="TextBody"/>
        <w:bidi w:val="0"/>
        <w:spacing w:before="1" w:after="283"/>
        <w:jc w:val="both"/>
        <w:rPr/>
      </w:pPr>
      <w:r>
        <w:rPr/>
      </w:r>
    </w:p>
    <w:p>
      <w:pPr>
        <w:pStyle w:val="TextBody"/>
        <w:bidi w:val="0"/>
        <w:spacing w:lineRule="auto" w:line="288" w:before="1" w:after="283"/>
        <w:jc w:val="both"/>
        <w:rPr/>
      </w:pPr>
      <w:r>
        <w:rPr>
          <w:color w:val="000000"/>
        </w:rPr>
        <w:t>“</w:t>
      </w:r>
      <w:r>
        <w:rPr>
          <w:rFonts w:ascii="Times New Roman;sans-serif" w:hAnsi="Times New Roman;sans-serif"/>
          <w:b w:val="false"/>
          <w:color w:val="000000"/>
          <w:sz w:val="20"/>
          <w:u w:val="single"/>
        </w:rPr>
        <w:t>Indemnified Taxes</w:t>
      </w:r>
      <w:r>
        <w:rPr>
          <w:color w:val="000000"/>
        </w:rPr>
        <w:t xml:space="preserve">” </w:t>
      </w:r>
      <w:r>
        <w:rPr>
          <w:rFonts w:ascii="Times New Roman;sans-serif" w:hAnsi="Times New Roman;sans-serif"/>
          <w:b w:val="false"/>
          <w:color w:val="000000"/>
          <w:sz w:val="20"/>
        </w:rPr>
        <w:t>means all Taxes, other than Excluded Taxes and Other Taxes, in each case, imposed on or with respect to any payment made by or on account of any obligation of any Loan Party under any First Lien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51155"/>
                <wp:effectExtent l="0" t="0" r="0" b="0"/>
                <wp:wrapNone/>
                <wp:docPr id="120" name="Frame1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Indemnitee</w:t>
      </w:r>
      <w:r>
        <w:rPr>
          <w:color w:val="000000"/>
        </w:rPr>
        <w:t xml:space="preserve">” </w:t>
      </w:r>
      <w:r>
        <w:rPr>
          <w:rFonts w:ascii="Times New Roman;sans-serif" w:hAnsi="Times New Roman;sans-serif"/>
          <w:b w:val="false"/>
          <w:color w:val="000000"/>
          <w:sz w:val="20"/>
        </w:rPr>
        <w:t>has the meaning assigned to such term in Section 9.03(b).</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Independent Assets or Operations</w:t>
      </w:r>
      <w:r>
        <w:rPr>
          <w:color w:val="000000"/>
        </w:rPr>
        <w:t xml:space="preserve">” </w:t>
      </w:r>
      <w:r>
        <w:rPr>
          <w:rFonts w:ascii="Times New Roman;sans-serif" w:hAnsi="Times New Roman;sans-serif"/>
          <w:b w:val="false"/>
          <w:color w:val="000000"/>
          <w:sz w:val="20"/>
        </w:rPr>
        <w:t>means, with respect to any parent of the Borrower, such parent’s total assets, revenues, income from continuing operations before income taxes or cash flows from operating activities (excluding in each case amounts related to its investment in Holdings, the Borrower and the Restricted Subsidiaries), determined in accordance with GAAP and as shown on the most recent balance sheet of such parent, is more than 5.0% of such parent corresponding consolidated amount.</w:t>
      </w:r>
    </w:p>
    <w:p>
      <w:pPr>
        <w:pStyle w:val="TextBody"/>
        <w:bidi w:val="0"/>
        <w:spacing w:before="12"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Information</w:t>
      </w:r>
      <w:r>
        <w:rPr>
          <w:color w:val="000000"/>
        </w:rPr>
        <w:t xml:space="preserve">” </w:t>
      </w:r>
      <w:r>
        <w:rPr>
          <w:rFonts w:ascii="Times New Roman;sans-serif" w:hAnsi="Times New Roman;sans-serif"/>
          <w:b w:val="false"/>
          <w:color w:val="000000"/>
          <w:sz w:val="20"/>
        </w:rPr>
        <w:t>has the meaning assigned to such term in Section 9.12(a).</w:t>
      </w:r>
    </w:p>
    <w:p>
      <w:pPr>
        <w:pStyle w:val="TextBody"/>
        <w:bidi w:val="0"/>
        <w:spacing w:lineRule="auto" w:line="655" w:before="0" w:after="0"/>
        <w:ind w:left="0" w:right="0" w:firstLine="49"/>
        <w:jc w:val="left"/>
        <w:rPr/>
      </w:pPr>
      <w:r>
        <w:rPr>
          <w:color w:val="000000"/>
        </w:rPr>
        <w:t>“</w:t>
      </w:r>
      <w:r>
        <w:rPr>
          <w:rFonts w:ascii="Times New Roman;sans-serif" w:hAnsi="Times New Roman;sans-serif"/>
          <w:b w:val="false"/>
          <w:color w:val="000000"/>
          <w:sz w:val="20"/>
          <w:u w:val="single"/>
        </w:rPr>
        <w:t>Initial Holdings</w:t>
      </w:r>
      <w:r>
        <w:rPr>
          <w:color w:val="000000"/>
        </w:rPr>
        <w:t xml:space="preserve">” </w:t>
      </w:r>
      <w:r>
        <w:rPr>
          <w:rFonts w:ascii="Times New Roman;sans-serif" w:hAnsi="Times New Roman;sans-serif"/>
          <w:b w:val="false"/>
          <w:color w:val="000000"/>
          <w:sz w:val="20"/>
        </w:rPr>
        <w:t>has the meaning given to such term in the preliminary statements hereto. “</w:t>
      </w:r>
      <w:r>
        <w:rPr>
          <w:rFonts w:ascii="Times New Roman;sans-serif" w:hAnsi="Times New Roman;sans-serif"/>
          <w:b w:val="false"/>
          <w:color w:val="000000"/>
          <w:sz w:val="20"/>
          <w:u w:val="single"/>
        </w:rPr>
        <w:t>Initial Term Loans</w:t>
      </w:r>
      <w:r>
        <w:rPr>
          <w:color w:val="000000"/>
        </w:rPr>
        <w:t xml:space="preserve">” </w:t>
      </w:r>
      <w:r>
        <w:rPr>
          <w:rFonts w:ascii="Times New Roman;sans-serif" w:hAnsi="Times New Roman;sans-serif"/>
          <w:b w:val="false"/>
          <w:color w:val="000000"/>
          <w:sz w:val="20"/>
        </w:rPr>
        <w:t>means the Loans made pursuant to Section 2.01(a) on the Effective Date. As</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the Amendment No. 4 Effective Date there are no Initial Term Loans outstanding.</w:t>
      </w:r>
    </w:p>
    <w:p>
      <w:pPr>
        <w:pStyle w:val="TextBody"/>
        <w:bidi w:val="0"/>
        <w:spacing w:before="10" w:after="283"/>
        <w:jc w:val="left"/>
        <w:rPr/>
      </w:pPr>
      <w:r>
        <w:rPr/>
      </w:r>
    </w:p>
    <w:p>
      <w:pPr>
        <w:pStyle w:val="TextBody"/>
        <w:bidi w:val="0"/>
        <w:spacing w:lineRule="auto" w:line="288" w:before="1" w:after="283"/>
        <w:jc w:val="left"/>
        <w:rPr/>
      </w:pPr>
      <w:r>
        <w:rPr>
          <w:color w:val="000000"/>
        </w:rPr>
        <w:t>“</w:t>
      </w:r>
      <w:r>
        <w:rPr>
          <w:rFonts w:ascii="Times New Roman;sans-serif" w:hAnsi="Times New Roman;sans-serif"/>
          <w:b w:val="false"/>
          <w:color w:val="000000"/>
          <w:sz w:val="20"/>
          <w:u w:val="single"/>
        </w:rPr>
        <w:t>Intellectual Property</w:t>
      </w:r>
      <w:r>
        <w:rPr>
          <w:color w:val="000000"/>
        </w:rPr>
        <w:t xml:space="preserve">” </w:t>
      </w:r>
      <w:r>
        <w:rPr>
          <w:rFonts w:ascii="Times New Roman;sans-serif" w:hAnsi="Times New Roman;sans-serif"/>
          <w:b w:val="false"/>
          <w:color w:val="000000"/>
          <w:sz w:val="20"/>
        </w:rPr>
        <w:t>has the meaning assigned to such term in the First Lien Collateral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Agreement.</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Intellectual Property Security Agreements</w:t>
      </w:r>
      <w:r>
        <w:rPr>
          <w:color w:val="000000"/>
        </w:rPr>
        <w:t xml:space="preserve">” </w:t>
      </w:r>
      <w:r>
        <w:rPr>
          <w:rFonts w:ascii="Times New Roman;sans-serif" w:hAnsi="Times New Roman;sans-serif"/>
          <w:b w:val="false"/>
          <w:color w:val="000000"/>
          <w:sz w:val="20"/>
        </w:rPr>
        <w:t>means, collectively, the First Lien Trademark Security Agreement, the First Lien Patent Security Agreement and the First Lien Copyright Security Agreement, in each case which has the meaning assigned to such term in the First Lien Collateral Agreement.</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Intercreditor Agreement</w:t>
      </w:r>
      <w:r>
        <w:rPr>
          <w:color w:val="000000"/>
        </w:rPr>
        <w:t xml:space="preserve">” </w:t>
      </w:r>
      <w:r>
        <w:rPr>
          <w:rFonts w:ascii="Times New Roman;sans-serif" w:hAnsi="Times New Roman;sans-serif"/>
          <w:b w:val="false"/>
          <w:color w:val="000000"/>
          <w:sz w:val="20"/>
        </w:rPr>
        <w:t>means the First Lien Pari Passu Intercreditor Agreement, the First/Second Lien Intercreditor Agreement and the ABL Intercreditor Agreement.</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Interest Coverage Ratio</w:t>
      </w:r>
      <w:r>
        <w:rPr>
          <w:color w:val="000000"/>
        </w:rPr>
        <w:t xml:space="preserve">” </w:t>
      </w:r>
      <w:r>
        <w:rPr>
          <w:rFonts w:ascii="Times New Roman;sans-serif" w:hAnsi="Times New Roman;sans-serif"/>
          <w:b w:val="false"/>
          <w:color w:val="000000"/>
          <w:sz w:val="20"/>
        </w:rPr>
        <w:t>means, as of any date of determination, the ratio, on a Pro Forma Basis, of (a) Consolidated EBITDA for the most recently ended Test Period as of such date to (b) Consolidated Interest Expense for the most recently ended Test Period as of such date.</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Interest Election Request</w:t>
      </w:r>
      <w:r>
        <w:rPr>
          <w:color w:val="000000"/>
        </w:rPr>
        <w:t xml:space="preserve">” </w:t>
      </w:r>
      <w:r>
        <w:rPr>
          <w:rFonts w:ascii="Times New Roman;sans-serif" w:hAnsi="Times New Roman;sans-serif"/>
          <w:b w:val="false"/>
          <w:color w:val="000000"/>
          <w:sz w:val="20"/>
        </w:rPr>
        <w:t>means a request by the Borrower to convert or continue a Revolving Borrowing or Term Borrowing in accordance with Section 2.07.</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Interest Payment Date</w:t>
      </w:r>
      <w:r>
        <w:rPr>
          <w:color w:val="000000"/>
        </w:rPr>
        <w:t xml:space="preserve">” </w:t>
      </w:r>
      <w:r>
        <w:rPr>
          <w:rFonts w:ascii="Times New Roman;sans-serif" w:hAnsi="Times New Roman;sans-serif"/>
          <w:b w:val="false"/>
          <w:color w:val="000000"/>
          <w:sz w:val="20"/>
        </w:rPr>
        <w:t>means (a) with respect to any ABR Loan (including a Swingline Loan), the last Business Day of each March, June, September and December to occur during any period in which such Loan is outstanding and the maturity date applicable to such ABR Loan, (b) 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applicable to such RFR Loan, and (c) with respect to any Term Benchmark Loan, the last Business Day of the Interest Period applicable to the Borrowing of which such Loan is a part and, in the case of a Term Benchmark Loan with an Interest Period of more than three months’ duration, each day prior to the last day of such Interest Period that occurs at intervals of three months’ duration after the first day of such Interest Period and the maturity date applicable to such Term Benchmark Loan.</w:t>
      </w:r>
    </w:p>
    <w:p>
      <w:pPr>
        <w:pStyle w:val="TextBody"/>
        <w:bidi w:val="0"/>
        <w:spacing w:before="14"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Interest Period</w:t>
      </w:r>
      <w:r>
        <w:rPr>
          <w:color w:val="000000"/>
        </w:rPr>
        <w:t xml:space="preserve">” </w:t>
      </w:r>
      <w:r>
        <w:rPr>
          <w:rFonts w:ascii="Times New Roman;sans-serif" w:hAnsi="Times New Roman;sans-serif"/>
          <w:b w:val="false"/>
          <w:color w:val="000000"/>
          <w:sz w:val="20"/>
        </w:rPr>
        <w:t xml:space="preserve">means, (a) with respect to any Term Benchmark Loan, the period commencing on the date of such Borrowing and ending on the numerically corresponding day in the calendar month that is one, three or, except with respect to any Term Benchmark Loan denominated in Canadian Dollars, six months thereafter, as the Borrower may elect or, with the consent of the First Lien Administrative Agent and each Lender, any other period ending on a Business Day that is within three months of the date of such Borrowing, as the Borrower may elect;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51155"/>
                <wp:effectExtent l="0" t="0" r="0" b="0"/>
                <wp:wrapNone/>
                <wp:docPr id="121" name="Frame1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the last calendar month of such Interest Period, (c) no Interest Period shall extend beyond (i) in the case of Term Loans, the Term Maturity Date and (ii) in the case of Revolving Loans, the Revolving Maturity Date and (d)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pStyle w:val="TextBody"/>
        <w:bidi w:val="0"/>
        <w:spacing w:lineRule="auto" w:line="655" w:before="4" w:after="283"/>
        <w:jc w:val="left"/>
        <w:rPr/>
      </w:pPr>
      <w:r>
        <w:rPr>
          <w:color w:val="000000"/>
        </w:rPr>
        <w:t>“</w:t>
      </w:r>
      <w:r>
        <w:rPr>
          <w:rFonts w:ascii="Times New Roman;sans-serif" w:hAnsi="Times New Roman;sans-serif"/>
          <w:b w:val="false"/>
          <w:color w:val="000000"/>
          <w:sz w:val="20"/>
          <w:u w:val="single"/>
        </w:rPr>
        <w:t>Intermediate Parent</w:t>
      </w:r>
      <w:r>
        <w:rPr>
          <w:color w:val="000000"/>
        </w:rPr>
        <w:t xml:space="preserve">” </w:t>
      </w:r>
      <w:r>
        <w:rPr>
          <w:rFonts w:ascii="Times New Roman;sans-serif" w:hAnsi="Times New Roman;sans-serif"/>
          <w:b w:val="false"/>
          <w:color w:val="000000"/>
          <w:sz w:val="20"/>
        </w:rPr>
        <w:t xml:space="preserve">means any Subsidiary of Holdings of which the Borrower is a subsidiary. </w:t>
      </w:r>
    </w:p>
    <w:p>
      <w:pPr>
        <w:pStyle w:val="TextBody"/>
        <w:bidi w:val="0"/>
        <w:spacing w:before="4" w:after="283"/>
        <w:jc w:val="left"/>
        <w:rPr/>
      </w:pPr>
      <w:r>
        <w:rPr/>
      </w:r>
    </w:p>
    <w:p>
      <w:pPr>
        <w:pStyle w:val="TextBody"/>
        <w:bidi w:val="0"/>
        <w:spacing w:lineRule="auto" w:line="655" w:before="4" w:after="283"/>
        <w:jc w:val="left"/>
        <w:rPr/>
      </w:pPr>
      <w:r>
        <w:rPr>
          <w:color w:val="000000"/>
        </w:rPr>
        <w:t>“</w:t>
      </w:r>
      <w:r>
        <w:rPr>
          <w:rFonts w:ascii="Times New Roman;sans-serif" w:hAnsi="Times New Roman;sans-serif"/>
          <w:b w:val="false"/>
          <w:color w:val="000000"/>
          <w:sz w:val="20"/>
          <w:u w:val="single"/>
        </w:rPr>
        <w:t>Investment</w:t>
      </w:r>
      <w:r>
        <w:rPr>
          <w:color w:val="000000"/>
        </w:rPr>
        <w:t xml:space="preserve">” </w:t>
      </w:r>
      <w:r>
        <w:rPr>
          <w:rFonts w:ascii="Times New Roman;sans-serif" w:hAnsi="Times New Roman;sans-serif"/>
          <w:b w:val="false"/>
          <w:color w:val="000000"/>
          <w:sz w:val="20"/>
        </w:rPr>
        <w:t>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Borrower and its Subsidiaries</w:t>
      </w:r>
    </w:p>
    <w:p>
      <w:pPr>
        <w:pStyle w:val="TextBody"/>
        <w:bidi w:val="0"/>
        <w:spacing w:lineRule="auto" w:line="288" w:before="1" w:after="283"/>
        <w:jc w:val="both"/>
        <w:rPr/>
      </w:pPr>
      <w:r>
        <w:rPr>
          <w:rFonts w:ascii="Times New Roman;sans-serif" w:hAnsi="Times New Roman;sans-serif"/>
          <w:b w:val="false"/>
          <w:color w:val="000000"/>
          <w:sz w:val="20"/>
        </w:rPr>
        <w:t xml:space="preserve">(i) 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(i) the cost of all additions thereto and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51155"/>
                <wp:effectExtent l="0" t="0" r="0" b="0"/>
                <wp:wrapNone/>
                <wp:docPr id="122" name="Frame1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 w:after="283"/>
        <w:jc w:val="both"/>
        <w:rPr/>
      </w:pPr>
      <w:r>
        <w:rPr>
          <w:rFonts w:ascii="Times New Roman;sans-serif" w:hAnsi="Times New Roman;sans-serif"/>
          <w:b w:val="false"/>
          <w:color w:val="000000"/>
          <w:sz w:val="20"/>
        </w:rPr>
        <w:t xml:space="preserve">date of such Investment. For purposes of Section 6.04, if an Investment involves the acquisition of more than one Person, the amount of such Investment shall be allocated among the acquired Persons in accordance with GAAP;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pending the final determination of the amounts to be so allocated in accordance with GAAP, such allocation shall be as reasonably determined by a Financial Officer.“</w:t>
      </w:r>
      <w:r>
        <w:rPr>
          <w:rFonts w:ascii="Times New Roman;sans-serif" w:hAnsi="Times New Roman;sans-serif"/>
          <w:b w:val="false"/>
          <w:color w:val="000000"/>
          <w:sz w:val="20"/>
          <w:u w:val="single"/>
        </w:rPr>
        <w:t>Investor</w:t>
      </w:r>
      <w:r>
        <w:rPr>
          <w:color w:val="000000"/>
        </w:rPr>
        <w:t xml:space="preserve">” </w:t>
      </w:r>
      <w:r>
        <w:rPr>
          <w:rFonts w:ascii="Times New Roman;sans-serif" w:hAnsi="Times New Roman;sans-serif"/>
          <w:b w:val="false"/>
          <w:color w:val="000000"/>
          <w:sz w:val="20"/>
        </w:rPr>
        <w:t>means a holder of Equity Interests in Holdings (or any direct or indirect parent thereof).</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IPO</w:t>
      </w:r>
      <w:r>
        <w:rPr>
          <w:color w:val="000000"/>
        </w:rPr>
        <w:t xml:space="preserve">” </w:t>
      </w:r>
      <w:r>
        <w:rPr>
          <w:rFonts w:ascii="Times New Roman;sans-serif" w:hAnsi="Times New Roman;sans-serif"/>
          <w:b w:val="false"/>
          <w:color w:val="000000"/>
          <w:sz w:val="20"/>
        </w:rPr>
        <w:t>means (x) the initial underwritten public offering (other than a public offering pursuant to a registration statement on Form S-8) of common Equity Interests in the IPO Entity or (y) the listing for trading of common Equity Interests in the IPO Entity on a securities exchange of recognized national or international standing, approved by the IPO Entity.</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IPO Entity</w:t>
      </w:r>
      <w:r>
        <w:rPr>
          <w:color w:val="000000"/>
        </w:rPr>
        <w:t xml:space="preserve">” </w:t>
      </w:r>
      <w:r>
        <w:rPr>
          <w:rFonts w:ascii="Times New Roman;sans-serif" w:hAnsi="Times New Roman;sans-serif"/>
          <w:b w:val="false"/>
          <w:color w:val="000000"/>
          <w:sz w:val="20"/>
        </w:rPr>
        <w:t xml:space="preserve">means, at any time upon and after an IPO, Initial Holdings, a parent entity of Initial Holdings or an Intermediate Parent, as the case may be, the Equity Interests of which were issued or sold pursuant to, or otherwise the subject of, the IPO;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immediately following the IPO, the Borrower is a direct or indirect Wholly Owned Subsidiary of such IPO Entity and such IPO Entity owns, directly or through its subsidiaries, substantially all the businesses and assets owned or conducted, directly or indirectly, by the Borrower immediately prior to the IPO.</w:t>
      </w:r>
    </w:p>
    <w:p>
      <w:pPr>
        <w:pStyle w:val="TextBody"/>
        <w:bidi w:val="0"/>
        <w:spacing w:before="13"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ISDA Definition</w:t>
      </w:r>
      <w:r>
        <w:rPr>
          <w:color w:val="000000"/>
        </w:rPr>
        <w:t xml:space="preserve">” </w:t>
      </w:r>
      <w:r>
        <w:rPr>
          <w:rFonts w:ascii="Times New Roman;sans-serif" w:hAnsi="Times New Roman;sans-serif"/>
          <w:b w:val="false"/>
          <w:color w:val="000000"/>
          <w:sz w:val="20"/>
        </w:rPr>
        <w:t>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before="11"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ISP</w:t>
      </w:r>
      <w:r>
        <w:rPr>
          <w:color w:val="000000"/>
        </w:rPr>
        <w:t xml:space="preserve">” </w:t>
      </w:r>
      <w:r>
        <w:rPr>
          <w:rFonts w:ascii="Times New Roman;sans-serif" w:hAnsi="Times New Roman;sans-serif"/>
          <w:b w:val="false"/>
          <w:color w:val="000000"/>
          <w:sz w:val="20"/>
        </w:rPr>
        <w:t>means, with respect to any standby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w:t>
      </w:r>
    </w:p>
    <w:p>
      <w:pPr>
        <w:pStyle w:val="TextBody"/>
        <w:bidi w:val="0"/>
        <w:spacing w:before="11" w:after="283"/>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0"/>
          <w:u w:val="single"/>
        </w:rPr>
        <w:t>Issuing Bank</w:t>
      </w:r>
      <w:r>
        <w:rPr>
          <w:color w:val="000000"/>
        </w:rPr>
        <w:t xml:space="preserve">” </w:t>
      </w:r>
      <w:r>
        <w:rPr>
          <w:rFonts w:ascii="Times New Roman;sans-serif" w:hAnsi="Times New Roman;sans-serif"/>
          <w:b w:val="false"/>
          <w:color w:val="000000"/>
          <w:sz w:val="20"/>
        </w:rPr>
        <w:t>means each of (a) Citibank, N.A., (b) Citizens Bank, N.A., (c) Banco Santander, S.A., New York Branch, (d) Goldman Sachs Bank USA (provided that Goldman Sachs Bank USA shall only be required to issue standby Letters of Credit), (e) Jefferies Finance LLC (provided that Jefferies Finance LLC shall only be required to issue standby Letters of Credit denominated in U.S. Dollars and will cause any Letters of Credit issued pursuant to the Jefferies Letter of Credit Sublimit to be issued by unaffiliated financial institutions and such Letters of Credit shall be treated as issued by Jefferies Finance LLC for all purposes under the Loan Documents), (f) JPMorgan Chase Bank, N.A., (g) KeyBank National Association, (h) Royal Bank of Canada (provided that Royal Bank of Canada shall only be required to issue standby Letters of Credit), (i) Barclays Bank PLC (provided that Barclays Bank PLC shall only be required to issue standby Letters of Credit), (j) BNP Paribas</w:t>
      </w:r>
      <w:r>
        <w:rPr>
          <w:strike/>
          <w:color w:val="FF0000"/>
        </w:rPr>
        <w:t xml:space="preserve"> </w:t>
      </w:r>
      <w:r>
        <w:rPr>
          <w:rFonts w:ascii="Times New Roman;sans-serif" w:hAnsi="Times New Roman;sans-serif"/>
          <w:b/>
          <w:strike/>
          <w:color w:val="FF0000"/>
          <w:sz w:val="20"/>
        </w:rPr>
        <w:t>and</w:t>
      </w:r>
      <w:r>
        <w:rPr>
          <w:rFonts w:ascii="Times New Roman;sans-serif" w:hAnsi="Times New Roman;sans-serif"/>
          <w:b/>
          <w:color w:val="0000FF"/>
          <w:sz w:val="20"/>
        </w:rPr>
        <w:t xml:space="preserve">, </w:t>
      </w:r>
      <w:r>
        <w:rPr>
          <w:rFonts w:ascii="Times New Roman;sans-serif" w:hAnsi="Times New Roman;sans-serif"/>
          <w:b w:val="false"/>
          <w:color w:val="000000"/>
          <w:sz w:val="20"/>
        </w:rPr>
        <w:t xml:space="preserve">(k) </w:t>
      </w:r>
      <w:r>
        <w:rPr>
          <w:rFonts w:ascii="Times New Roman;sans-serif" w:hAnsi="Times New Roman;sans-serif"/>
          <w:b/>
          <w:color w:val="0000FF"/>
          <w:sz w:val="20"/>
          <w:u w:val="single"/>
        </w:rPr>
        <w:t xml:space="preserve">Goldman Sachs Lending Partners LLC (provided that Goldman Sachs Lending Partners LLC shall only be required to issue standby Letters of Credit) and (l) </w:t>
      </w:r>
      <w:r>
        <w:rPr>
          <w:rFonts w:ascii="Times New Roman;sans-serif" w:hAnsi="Times New Roman;sans-serif"/>
          <w:b w:val="false"/>
          <w:color w:val="000000"/>
          <w:sz w:val="20"/>
        </w:rPr>
        <w:t>each Revolving Lender that shall have become an Issuing Bank hereunder as provided in Section 2.05(k) (other than any Person that shall have ceased to be an Issuing Bank as provided in Section 2.05(l)),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w:t>
      </w:r>
    </w:p>
    <w:p>
      <w:pPr>
        <w:pStyle w:val="TextBody"/>
        <w:bidi w:val="0"/>
        <w:spacing w:before="17"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Jefferies Letter of Credit Sublimit</w:t>
      </w:r>
      <w:r>
        <w:rPr>
          <w:color w:val="000000"/>
        </w:rPr>
        <w:t xml:space="preserve">” </w:t>
      </w:r>
      <w:r>
        <w:rPr>
          <w:rFonts w:ascii="Times New Roman;sans-serif" w:hAnsi="Times New Roman;sans-serif"/>
          <w:b w:val="false"/>
          <w:color w:val="000000"/>
          <w:sz w:val="20"/>
        </w:rPr>
        <w:t xml:space="preserve">means an amount equal to the amount listed on Schedule 2.01 as amended by Amendment No. </w:t>
      </w:r>
      <w:r>
        <w:rPr>
          <w:rFonts w:ascii="Times New Roman;sans-serif" w:hAnsi="Times New Roman;sans-serif"/>
          <w:b/>
          <w:strike/>
          <w:color w:val="FF0000"/>
          <w:sz w:val="20"/>
        </w:rPr>
        <w:t>3</w:t>
      </w:r>
      <w:r>
        <w:rPr>
          <w:rFonts w:ascii="Times New Roman;sans-serif" w:hAnsi="Times New Roman;sans-serif"/>
          <w:b/>
          <w:color w:val="0000FF"/>
          <w:sz w:val="20"/>
          <w:u w:val="single"/>
        </w:rPr>
        <w:t>5</w:t>
      </w:r>
      <w:r>
        <w:rPr>
          <w:rFonts w:ascii="Times New Roman;sans-serif" w:hAnsi="Times New Roman;sans-serif"/>
          <w:b w:val="false"/>
          <w:color w:val="000000"/>
          <w:sz w:val="20"/>
        </w:rPr>
        <w:t>. Letters of Credit issued pursuant to the Jefferies Letter of Credit Sublimit will be issued by Jefferies Finance LLC in its capacity as an “Issuing Bank”.</w:t>
      </w:r>
    </w:p>
    <w:p>
      <w:pPr>
        <w:pStyle w:val="TextBody"/>
        <w:bidi w:val="0"/>
        <w:spacing w:before="11"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Joint Lead Arranger</w:t>
      </w:r>
      <w:r>
        <w:rPr>
          <w:color w:val="000000"/>
        </w:rPr>
        <w:t xml:space="preserve">” </w:t>
      </w:r>
      <w:r>
        <w:rPr>
          <w:rFonts w:ascii="Times New Roman;sans-serif" w:hAnsi="Times New Roman;sans-serif"/>
          <w:b w:val="false"/>
          <w:color w:val="000000"/>
          <w:sz w:val="20"/>
        </w:rPr>
        <w:t>means (</w:t>
      </w:r>
      <w:r>
        <w:rPr>
          <w:rFonts w:ascii="Times New Roman;sans-serif" w:hAnsi="Times New Roman;sans-serif"/>
          <w:b/>
          <w:strike/>
          <w:color w:val="FF0000"/>
          <w:sz w:val="20"/>
        </w:rPr>
        <w:t>w</w:t>
      </w:r>
      <w:r>
        <w:rPr>
          <w:rFonts w:ascii="Times New Roman;sans-serif" w:hAnsi="Times New Roman;sans-serif"/>
          <w:b/>
          <w:color w:val="0000FF"/>
          <w:sz w:val="20"/>
          <w:u w:val="single"/>
        </w:rPr>
        <w:t>v</w:t>
      </w:r>
      <w:r>
        <w:rPr>
          <w:rFonts w:ascii="Times New Roman;sans-serif" w:hAnsi="Times New Roman;sans-serif"/>
          <w:b w:val="false"/>
          <w:color w:val="000000"/>
          <w:sz w:val="20"/>
        </w:rPr>
        <w:t>) each of Jefferies Finance LLC (acting through such of its affiliates or branches as it deems appropriate), JPMorgan Chase Bank, N.A., Barclays Bank PLC, Royal Bank of Canada, RBC Capital Markets, ING Capital LLC, BNP Paribas and BNP Paribas Securities Corp., each in their capacity as joint lead arranger and joint bookrunner, and any permitted successors and assigns of the foregoing, (</w:t>
      </w:r>
      <w:r>
        <w:rPr>
          <w:rFonts w:ascii="Times New Roman;sans-serif" w:hAnsi="Times New Roman;sans-serif"/>
          <w:b/>
          <w:strike/>
          <w:color w:val="FF0000"/>
          <w:sz w:val="20"/>
        </w:rPr>
        <w:t>x</w:t>
      </w:r>
      <w:r>
        <w:rPr>
          <w:rFonts w:ascii="Times New Roman;sans-serif" w:hAnsi="Times New Roman;sans-serif"/>
          <w:b/>
          <w:color w:val="0000FF"/>
          <w:sz w:val="20"/>
          <w:u w:val="single"/>
        </w:rPr>
        <w:t>w</w:t>
      </w:r>
      <w:r>
        <w:rPr>
          <w:rFonts w:ascii="Times New Roman;sans-serif" w:hAnsi="Times New Roman;sans-serif"/>
          <w:b w:val="false"/>
          <w:color w:val="000000"/>
          <w:sz w:val="20"/>
        </w:rPr>
        <w:t xml:space="preserve">) in connection with Amendment No. 2, each of JPMorgan Chase Bank, N.A., Jefferies Finance LLC, Credit Suisse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1155"/>
                <wp:effectExtent l="0" t="0" r="0" b="0"/>
                <wp:wrapNone/>
                <wp:docPr id="123" name="Frame1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Loan Funding LLC, Goldman Sachs Bank USA, BNP Paribas Securities Corp., Citibank, N.A., RBC Capital Markets and Barclays Bank PLC, each in their capacity as joint lead arranger and joint bookrunner, and any permitted successors and assigns of the foregoing, (</w:t>
      </w:r>
      <w:r>
        <w:rPr>
          <w:rFonts w:ascii="Times New Roman;sans-serif" w:hAnsi="Times New Roman;sans-serif"/>
          <w:b/>
          <w:strike/>
          <w:color w:val="FF0000"/>
          <w:sz w:val="20"/>
        </w:rPr>
        <w:t>y</w:t>
      </w:r>
      <w:r>
        <w:rPr>
          <w:rFonts w:ascii="Times New Roman;sans-serif" w:hAnsi="Times New Roman;sans-serif"/>
          <w:b/>
          <w:color w:val="0000FF"/>
          <w:sz w:val="20"/>
          <w:u w:val="single"/>
        </w:rPr>
        <w:t>x</w:t>
      </w:r>
      <w:r>
        <w:rPr>
          <w:rFonts w:ascii="Times New Roman;sans-serif" w:hAnsi="Times New Roman;sans-serif"/>
          <w:b w:val="false"/>
          <w:color w:val="000000"/>
          <w:sz w:val="20"/>
        </w:rPr>
        <w:t>) in connection with Amendment No. 3, the Amendment No. 3 Arrangers (as defined in Amendment No. 3)</w:t>
      </w:r>
      <w:r>
        <w:rPr>
          <w:strike/>
          <w:color w:val="FF0000"/>
        </w:rPr>
        <w:t xml:space="preserve"> </w:t>
      </w:r>
      <w:r>
        <w:rPr>
          <w:rFonts w:ascii="Times New Roman;sans-serif" w:hAnsi="Times New Roman;sans-serif"/>
          <w:b/>
          <w:strike/>
          <w:color w:val="FF0000"/>
          <w:sz w:val="20"/>
        </w:rPr>
        <w:t>and</w:t>
      </w:r>
      <w:r>
        <w:rPr>
          <w:rFonts w:ascii="Times New Roman;sans-serif" w:hAnsi="Times New Roman;sans-serif"/>
          <w:b/>
          <w:color w:val="0000FF"/>
          <w:sz w:val="20"/>
        </w:rPr>
        <w:t xml:space="preserve">, </w:t>
      </w:r>
      <w:r>
        <w:rPr>
          <w:rFonts w:ascii="Times New Roman;sans-serif" w:hAnsi="Times New Roman;sans-serif"/>
          <w:b w:val="false"/>
          <w:color w:val="000000"/>
          <w:sz w:val="20"/>
        </w:rPr>
        <w:t>(</w:t>
      </w:r>
      <w:r>
        <w:rPr>
          <w:rFonts w:ascii="Times New Roman;sans-serif" w:hAnsi="Times New Roman;sans-serif"/>
          <w:b/>
          <w:strike/>
          <w:color w:val="FF0000"/>
          <w:sz w:val="20"/>
        </w:rPr>
        <w:t>z</w:t>
      </w:r>
      <w:r>
        <w:rPr>
          <w:rFonts w:ascii="Times New Roman;sans-serif" w:hAnsi="Times New Roman;sans-serif"/>
          <w:b/>
          <w:color w:val="0000FF"/>
          <w:sz w:val="20"/>
          <w:u w:val="single"/>
        </w:rPr>
        <w:t>y</w:t>
      </w:r>
      <w:r>
        <w:rPr>
          <w:rFonts w:ascii="Times New Roman;sans-serif" w:hAnsi="Times New Roman;sans-serif"/>
          <w:b w:val="false"/>
          <w:color w:val="000000"/>
          <w:sz w:val="20"/>
        </w:rPr>
        <w:t>) in connection with Amendment No. 4, the Amendment No. 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pPr>
      <w:r>
        <w:rPr>
          <w:rFonts w:ascii="Times New Roman;sans-serif" w:hAnsi="Times New Roman;sans-serif"/>
          <w:b w:val="false"/>
          <w:color w:val="000000"/>
          <w:sz w:val="20"/>
        </w:rPr>
        <w:t>arrangers (as defined in the Amendment No. 4)</w:t>
      </w:r>
      <w:r>
        <w:rPr>
          <w:color w:val="0000FF"/>
          <w:u w:val="single"/>
        </w:rPr>
        <w:t xml:space="preserve"> </w:t>
      </w:r>
      <w:r>
        <w:rPr>
          <w:rFonts w:ascii="Times New Roman;sans-serif" w:hAnsi="Times New Roman;sans-serif"/>
          <w:b/>
          <w:color w:val="0000FF"/>
          <w:sz w:val="20"/>
          <w:u w:val="single"/>
        </w:rPr>
        <w:t>and (z) in connection with Amendment No. 5, the Amendment No. 5 Arrangers (as defined in the Amendment No. 5)</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JPM Letter of Credit Sublimit</w:t>
      </w:r>
      <w:r>
        <w:rPr>
          <w:color w:val="000000"/>
        </w:rPr>
        <w:t xml:space="preserve">” </w:t>
      </w:r>
      <w:r>
        <w:rPr>
          <w:rFonts w:ascii="Times New Roman;sans-serif" w:hAnsi="Times New Roman;sans-serif"/>
          <w:b w:val="false"/>
          <w:color w:val="000000"/>
          <w:sz w:val="20"/>
        </w:rPr>
        <w:t xml:space="preserve">means an amount equal to the amount listed on Schedule 2.01 as amended by Amendment No. </w:t>
      </w:r>
      <w:r>
        <w:rPr>
          <w:rFonts w:ascii="Times New Roman;sans-serif" w:hAnsi="Times New Roman;sans-serif"/>
          <w:b/>
          <w:strike/>
          <w:color w:val="FF0000"/>
          <w:sz w:val="20"/>
        </w:rPr>
        <w:t>3</w:t>
      </w:r>
      <w:r>
        <w:rPr>
          <w:rFonts w:ascii="Times New Roman;sans-serif" w:hAnsi="Times New Roman;sans-serif"/>
          <w:b/>
          <w:color w:val="0000FF"/>
          <w:sz w:val="20"/>
          <w:u w:val="single"/>
        </w:rPr>
        <w:t>5</w:t>
      </w:r>
      <w:r>
        <w:rPr>
          <w:rFonts w:ascii="Times New Roman;sans-serif" w:hAnsi="Times New Roman;sans-serif"/>
          <w:b w:val="false"/>
          <w:color w:val="000000"/>
          <w:sz w:val="20"/>
        </w:rPr>
        <w:t>. Letters of Credit issued pursuant to the JPM Letter of Credit Sublimit will be issued by JPMorgan Chase Bank, N.A. in its capacity as an “Issuing Bank”.</w:t>
      </w:r>
    </w:p>
    <w:p>
      <w:pPr>
        <w:pStyle w:val="TextBody"/>
        <w:bidi w:val="0"/>
        <w:spacing w:before="11" w:after="283"/>
        <w:jc w:val="left"/>
        <w:rPr/>
      </w:pPr>
      <w:r>
        <w:rPr/>
      </w:r>
    </w:p>
    <w:p>
      <w:pPr>
        <w:pStyle w:val="TextBody"/>
        <w:bidi w:val="0"/>
        <w:spacing w:lineRule="auto" w:line="288" w:before="0" w:after="0"/>
        <w:jc w:val="center"/>
        <w:rPr/>
      </w:pPr>
      <w:r>
        <w:rPr>
          <w:color w:val="000000"/>
        </w:rPr>
        <w:t>“</w:t>
      </w:r>
      <w:r>
        <w:rPr>
          <w:rFonts w:ascii="Times New Roman;sans-serif" w:hAnsi="Times New Roman;sans-serif"/>
          <w:b w:val="false"/>
          <w:color w:val="000000"/>
          <w:sz w:val="20"/>
          <w:u w:val="single"/>
        </w:rPr>
        <w:t>Judgment Currency</w:t>
      </w:r>
      <w:r>
        <w:rPr>
          <w:color w:val="000000"/>
        </w:rPr>
        <w:t xml:space="preserve">” </w:t>
      </w:r>
      <w:r>
        <w:rPr>
          <w:rFonts w:ascii="Times New Roman;sans-serif" w:hAnsi="Times New Roman;sans-serif"/>
          <w:b w:val="false"/>
          <w:color w:val="000000"/>
          <w:sz w:val="20"/>
        </w:rPr>
        <w:t>has the meaning assigned to such term in Section 9.17.</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Junior Debt Payment Reallocated Amount</w:t>
      </w:r>
      <w:r>
        <w:rPr>
          <w:color w:val="000000"/>
        </w:rPr>
        <w:t xml:space="preserve">” </w:t>
      </w:r>
      <w:r>
        <w:rPr>
          <w:rFonts w:ascii="Times New Roman;sans-serif" w:hAnsi="Times New Roman;sans-serif"/>
          <w:b w:val="false"/>
          <w:color w:val="000000"/>
          <w:sz w:val="20"/>
        </w:rPr>
        <w:t>means any amount that, at the option of Holdings or the Borrower, has been reallocated from Section 6.07(b)(iv) to clause (D) of the proviso in Section 6.04(m), which shall be deemed to be a utilization of the basket set forth in Section 6.07(b)(iv).</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Junior Financing</w:t>
      </w:r>
      <w:r>
        <w:rPr>
          <w:color w:val="000000"/>
        </w:rPr>
        <w:t xml:space="preserve">” </w:t>
      </w:r>
      <w:r>
        <w:rPr>
          <w:rFonts w:ascii="Times New Roman;sans-serif" w:hAnsi="Times New Roman;sans-serif"/>
          <w:b w:val="false"/>
          <w:color w:val="000000"/>
          <w:sz w:val="20"/>
        </w:rPr>
        <w:t>means (a) any Indebtedness for borrowed money (other than (i) any permitted intercompany Indebtedness owing to Holdings, any Intermediate Parent, the Borrower or any Restricted Subsidiary or any Permitted Unsecured Refinancing Debt or (ii) any Indebtedness in an aggregate principal amount not exceeding $50,000,000) that is subordinated in right of payment to the First Lien Loan Document Obligations, and</w:t>
      </w:r>
    </w:p>
    <w:p>
      <w:pPr>
        <w:pStyle w:val="TextBody"/>
        <w:bidi w:val="0"/>
        <w:spacing w:lineRule="auto" w:line="288"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any Permitted Refinancing in respect of the foregoing.</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Keybank Letter of Credit Sublimit</w:t>
      </w:r>
      <w:r>
        <w:rPr>
          <w:color w:val="000000"/>
        </w:rPr>
        <w:t xml:space="preserve">” </w:t>
      </w:r>
      <w:r>
        <w:rPr>
          <w:rFonts w:ascii="Times New Roman;sans-serif" w:hAnsi="Times New Roman;sans-serif"/>
          <w:b w:val="false"/>
          <w:color w:val="000000"/>
          <w:sz w:val="20"/>
        </w:rPr>
        <w:t xml:space="preserve">means an amount equal to the amount listed on Schedule 2.01 as amended by Amendment No. </w:t>
      </w:r>
      <w:r>
        <w:rPr>
          <w:rFonts w:ascii="Times New Roman;sans-serif" w:hAnsi="Times New Roman;sans-serif"/>
          <w:b/>
          <w:strike/>
          <w:color w:val="FF0000"/>
          <w:sz w:val="20"/>
        </w:rPr>
        <w:t>3</w:t>
      </w:r>
      <w:r>
        <w:rPr>
          <w:rFonts w:ascii="Times New Roman;sans-serif" w:hAnsi="Times New Roman;sans-serif"/>
          <w:b/>
          <w:color w:val="0000FF"/>
          <w:sz w:val="20"/>
          <w:u w:val="single"/>
        </w:rPr>
        <w:t>5</w:t>
      </w:r>
      <w:r>
        <w:rPr>
          <w:rFonts w:ascii="Times New Roman;sans-serif" w:hAnsi="Times New Roman;sans-serif"/>
          <w:b w:val="false"/>
          <w:color w:val="000000"/>
          <w:sz w:val="20"/>
        </w:rPr>
        <w:t>. Letters of Credit issued pursuant to the Keybank Letter of Credit Sublimit will be issued by Keybank National Association in its capacity as an “Issuing Bank”.</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Latest Maturity Date</w:t>
      </w:r>
      <w:r>
        <w:rPr>
          <w:color w:val="000000"/>
        </w:rPr>
        <w:t xml:space="preserve">” </w:t>
      </w:r>
      <w:r>
        <w:rPr>
          <w:rFonts w:ascii="Times New Roman;sans-serif" w:hAnsi="Times New Roman;sans-serif"/>
          <w:b w:val="false"/>
          <w:color w:val="000000"/>
          <w:sz w:val="20"/>
        </w:rPr>
        <w:t>means, at any date of determination, the latest maturity or expiration date applicable to any Loan or Commitment hereunder at such time, including the latest maturity or expiration date of any Other First Lien Term Loan, any Other First Lien Term Commitment, any Other Revolving Loan or any Other Revolving Commitment, in each case as extended in accordance with this Agreement from time to time.</w:t>
      </w:r>
    </w:p>
    <w:p>
      <w:pPr>
        <w:pStyle w:val="TextBody"/>
        <w:bidi w:val="0"/>
        <w:spacing w:before="12"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LC Disbursement</w:t>
      </w:r>
      <w:r>
        <w:rPr>
          <w:color w:val="000000"/>
        </w:rPr>
        <w:t xml:space="preserve">” </w:t>
      </w:r>
      <w:r>
        <w:rPr>
          <w:rFonts w:ascii="Times New Roman;sans-serif" w:hAnsi="Times New Roman;sans-serif"/>
          <w:b w:val="false"/>
          <w:color w:val="000000"/>
          <w:sz w:val="20"/>
        </w:rPr>
        <w:t>means an honoring of a drawing by an Issuing Bank pursuant to a Letter of</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LC Exposure</w:t>
      </w:r>
      <w:r>
        <w:rPr>
          <w:color w:val="000000"/>
        </w:rPr>
        <w:t xml:space="preserve">” </w:t>
      </w:r>
      <w:r>
        <w:rPr>
          <w:rFonts w:ascii="Times New Roman;sans-serif" w:hAnsi="Times New Roman;sans-serif"/>
          <w:b w:val="false"/>
          <w:color w:val="000000"/>
          <w:sz w:val="20"/>
        </w:rPr>
        <w:t xml:space="preserve">means, at any time, the sum of (a) the aggregate amount of all Letters of Credit that remains available for drawing at such time and (b) the aggregate amount of 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3.14 of the ISP or for any Letter of Credit issued with the exclusion of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15" w:after="283"/>
        <w:jc w:val="left"/>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u w:val="single"/>
        </w:rPr>
        <w:t>LC Revaluation Date</w:t>
      </w:r>
      <w:r>
        <w:rPr>
          <w:color w:val="000000"/>
        </w:rPr>
        <w:t xml:space="preserve">” </w:t>
      </w:r>
      <w:r>
        <w:rPr>
          <w:rFonts w:ascii="Times New Roman;sans-serif" w:hAnsi="Times New Roman;sans-serif"/>
          <w:b w:val="false"/>
          <w:color w:val="000000"/>
          <w:sz w:val="20"/>
        </w:rPr>
        <w:t>means (a) the date of delivery of each request for Revolving Borrowings,</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the date of issuance, extension or renewal of any Letter of Credit denominated in an Alternative Currency, in each case at the discretion of the First Lien Administrative Agent and/or any Issuing Bank, (c) the date of conversion or continuation of any Revolving Borrowing denominated in an Alternative Currency pursuant to Section 2.02 or (d) such additional dates as the First Lien Administrative Agent may reasonably specify.</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1155"/>
                <wp:effectExtent l="0" t="0" r="0" b="0"/>
                <wp:wrapNone/>
                <wp:docPr id="124" name="Frame1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11" w:after="283"/>
        <w:jc w:val="left"/>
        <w:rPr/>
      </w:pPr>
      <w:r>
        <w:rPr/>
      </w:r>
    </w:p>
    <w:p>
      <w:pPr>
        <w:pStyle w:val="TextBody"/>
        <w:bidi w:val="0"/>
        <w:spacing w:lineRule="auto" w:line="288" w:before="1" w:after="283"/>
        <w:jc w:val="both"/>
        <w:rPr/>
      </w:pPr>
      <w:r>
        <w:rPr>
          <w:color w:val="000000"/>
        </w:rPr>
        <w:t>“</w:t>
      </w:r>
      <w:r>
        <w:rPr>
          <w:rFonts w:ascii="Times New Roman;sans-serif" w:hAnsi="Times New Roman;sans-serif"/>
          <w:b w:val="false"/>
          <w:color w:val="000000"/>
          <w:sz w:val="20"/>
          <w:u w:val="single"/>
        </w:rPr>
        <w:t>LCT Election</w:t>
      </w:r>
      <w:r>
        <w:rPr>
          <w:color w:val="000000"/>
        </w:rPr>
        <w:t xml:space="preserve">” </w:t>
      </w:r>
      <w:r>
        <w:rPr>
          <w:rFonts w:ascii="Times New Roman;sans-serif" w:hAnsi="Times New Roman;sans-serif"/>
          <w:b w:val="false"/>
          <w:color w:val="000000"/>
          <w:sz w:val="20"/>
        </w:rPr>
        <w:t>has the meaning assigned to such term in Section 1.06.</w:t>
      </w:r>
    </w:p>
    <w:p>
      <w:pPr>
        <w:pStyle w:val="TextBody"/>
        <w:bidi w:val="0"/>
        <w:spacing w:before="60" w:after="283"/>
        <w:jc w:val="left"/>
        <w:rPr/>
      </w:pPr>
      <w:r>
        <w:rPr/>
      </w:r>
    </w:p>
    <w:p>
      <w:pPr>
        <w:pStyle w:val="TextBody"/>
        <w:bidi w:val="0"/>
        <w:spacing w:lineRule="auto" w:line="288" w:before="60" w:after="283"/>
        <w:jc w:val="left"/>
        <w:rPr/>
      </w:pPr>
      <w:r>
        <w:rPr>
          <w:color w:val="000000"/>
        </w:rPr>
        <w:t>“</w:t>
      </w:r>
      <w:r>
        <w:rPr>
          <w:rFonts w:ascii="Times New Roman;sans-serif" w:hAnsi="Times New Roman;sans-serif"/>
          <w:b w:val="false"/>
          <w:color w:val="000000"/>
          <w:sz w:val="20"/>
          <w:u w:val="single"/>
        </w:rPr>
        <w:t>LCT Test Date</w:t>
      </w:r>
      <w:r>
        <w:rPr>
          <w:color w:val="000000"/>
        </w:rPr>
        <w:t xml:space="preserve">” </w:t>
      </w:r>
      <w:r>
        <w:rPr>
          <w:rFonts w:ascii="Times New Roman;sans-serif" w:hAnsi="Times New Roman;sans-serif"/>
          <w:b w:val="false"/>
          <w:color w:val="000000"/>
          <w:sz w:val="20"/>
        </w:rPr>
        <w:t>has the meaning assigned to such term in Section 1.06.</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Lenders</w:t>
      </w:r>
      <w:r>
        <w:rPr>
          <w:color w:val="000000"/>
        </w:rPr>
        <w:t xml:space="preserve">” </w:t>
      </w:r>
      <w:r>
        <w:rPr>
          <w:rFonts w:ascii="Times New Roman;sans-serif" w:hAnsi="Times New Roman;sans-serif"/>
          <w:b w:val="false"/>
          <w:color w:val="000000"/>
          <w:sz w:val="20"/>
        </w:rPr>
        <w:t>means the Persons listed on Schedule 2.01 and any other Person that shall have become a party hereto pursuant to an Assignment and Assumption, an Incremental Facility Amendment, a Loan Modification Agreement or a Refinancing Amendment, in each case, other than any such Person that ceases to be a party hereto pursuant to an Assignment and Assumption. Unless the context otherwise requires, the term “Lenders” includes the Swingline Lender.</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Letter of Credit</w:t>
      </w:r>
      <w:r>
        <w:rPr>
          <w:color w:val="000000"/>
        </w:rPr>
        <w:t xml:space="preserve">” </w:t>
      </w:r>
      <w:r>
        <w:rPr>
          <w:rFonts w:ascii="Times New Roman;sans-serif" w:hAnsi="Times New Roman;sans-serif"/>
          <w:b w:val="false"/>
          <w:color w:val="000000"/>
          <w:sz w:val="20"/>
        </w:rPr>
        <w:t>means any letter of credit or bank guarantee by an Issuing Bank issued pursuant to this Agreement or deemed outstanding under this Agreement other than any such letter of credit or bank guarantee that shall have ceased to be a “Letter of Credit” outstanding hereunder pursuant to Section 9.05.</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Letter of Credit Request</w:t>
      </w:r>
      <w:r>
        <w:rPr>
          <w:color w:val="000000"/>
        </w:rPr>
        <w:t xml:space="preserve">” </w:t>
      </w:r>
      <w:r>
        <w:rPr>
          <w:rFonts w:ascii="Times New Roman;sans-serif" w:hAnsi="Times New Roman;sans-serif"/>
          <w:b w:val="false"/>
          <w:color w:val="000000"/>
          <w:sz w:val="20"/>
        </w:rPr>
        <w:t>has the meaning assigned to such term in Section 2.05(b).</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Letter of Credit Sublimit</w:t>
      </w:r>
      <w:r>
        <w:rPr>
          <w:color w:val="000000"/>
        </w:rPr>
        <w:t xml:space="preserve">” </w:t>
      </w:r>
      <w:r>
        <w:rPr>
          <w:rFonts w:ascii="Times New Roman;sans-serif" w:hAnsi="Times New Roman;sans-serif"/>
          <w:b w:val="false"/>
          <w:color w:val="000000"/>
          <w:sz w:val="20"/>
        </w:rPr>
        <w:t>means $</w:t>
      </w:r>
      <w:r>
        <w:rPr>
          <w:rFonts w:ascii="Times New Roman;sans-serif" w:hAnsi="Times New Roman;sans-serif"/>
          <w:b/>
          <w:strike/>
          <w:color w:val="FF0000"/>
          <w:sz w:val="20"/>
        </w:rPr>
        <w:t>398,750,000</w:t>
      </w:r>
      <w:r>
        <w:rPr>
          <w:rFonts w:ascii="Times New Roman;sans-serif" w:hAnsi="Times New Roman;sans-serif"/>
          <w:b/>
          <w:color w:val="0000FF"/>
          <w:sz w:val="20"/>
          <w:u w:val="single"/>
        </w:rPr>
        <w:t>585,000,000</w:t>
      </w:r>
      <w:r>
        <w:rPr>
          <w:rFonts w:ascii="Times New Roman;sans-serif" w:hAnsi="Times New Roman;sans-serif"/>
          <w:b w:val="false"/>
          <w:color w:val="000000"/>
          <w:sz w:val="20"/>
        </w:rPr>
        <w:t xml:space="preserve">, which is the sum of the Barclays Letter of Credit Sublimit, the BNP Paribas Letter of Credit Sublimit, the </w:t>
      </w:r>
      <w:r>
        <w:rPr>
          <w:rFonts w:ascii="Times New Roman;sans-serif" w:hAnsi="Times New Roman;sans-serif"/>
          <w:b/>
          <w:color w:val="0000FF"/>
          <w:sz w:val="20"/>
          <w:u w:val="single"/>
        </w:rPr>
        <w:t xml:space="preserve">GSLP Letter of Credit Sublimit, the </w:t>
      </w:r>
      <w:r>
        <w:rPr>
          <w:rFonts w:ascii="Times New Roman;sans-serif" w:hAnsi="Times New Roman;sans-serif"/>
          <w:b w:val="false"/>
          <w:color w:val="000000"/>
          <w:sz w:val="20"/>
        </w:rPr>
        <w:t xml:space="preserve">Citibank Letter of Credit Sublimit, the Citizens Letter of Credit Sublimit, the </w:t>
      </w:r>
      <w:r>
        <w:rPr>
          <w:rFonts w:ascii="Times New Roman;sans-serif" w:hAnsi="Times New Roman;sans-serif"/>
          <w:b/>
          <w:strike/>
          <w:color w:val="FF0000"/>
          <w:sz w:val="20"/>
        </w:rPr>
        <w:t>Goldman Sachs</w:t>
      </w:r>
      <w:r>
        <w:rPr>
          <w:rFonts w:ascii="Times New Roman;sans-serif" w:hAnsi="Times New Roman;sans-serif"/>
          <w:b/>
          <w:color w:val="0000FF"/>
          <w:sz w:val="20"/>
          <w:u w:val="single"/>
        </w:rPr>
        <w:t>GS Bank</w:t>
      </w:r>
      <w:r>
        <w:rPr>
          <w:color w:val="0000FF"/>
        </w:rPr>
        <w:t xml:space="preserve"> </w:t>
      </w:r>
      <w:r>
        <w:rPr>
          <w:rFonts w:ascii="Times New Roman;sans-serif" w:hAnsi="Times New Roman;sans-serif"/>
          <w:b w:val="false"/>
          <w:color w:val="000000"/>
          <w:sz w:val="20"/>
        </w:rPr>
        <w:t>Letter of Credit Sublimit, the Jefferies Letter of Credit Sublimit, the JPM Letter of Credit Sublimit, the KeyBank Letter of Credit Sublimit, the RBC Letter of Credit Sublimit and the Santander Letter of Credit Sublimit. The Letter of Credit Sublimit is part of and not in addition to the aggregate Revolving Commitments.</w:t>
      </w:r>
    </w:p>
    <w:p>
      <w:pPr>
        <w:pStyle w:val="TextBody"/>
        <w:bidi w:val="0"/>
        <w:spacing w:before="13"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Lien</w:t>
      </w:r>
      <w:r>
        <w:rPr>
          <w:color w:val="000000"/>
        </w:rPr>
        <w:t xml:space="preserve">” </w:t>
      </w:r>
      <w:r>
        <w:rPr>
          <w:rFonts w:ascii="Times New Roman;sans-serif" w:hAnsi="Times New Roman;sans-serif"/>
          <w:b w:val="false"/>
          <w:color w:val="000000"/>
          <w:sz w:val="20"/>
        </w:rPr>
        <w:t>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pStyle w:val="TextBody"/>
        <w:bidi w:val="0"/>
        <w:spacing w:before="11"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Limited Condition Transaction</w:t>
      </w:r>
      <w:r>
        <w:rPr>
          <w:color w:val="000000"/>
        </w:rPr>
        <w:t xml:space="preserve">” </w:t>
      </w:r>
      <w:r>
        <w:rPr>
          <w:rFonts w:ascii="Times New Roman;sans-serif" w:hAnsi="Times New Roman;sans-serif"/>
          <w:b w:val="false"/>
          <w:color w:val="000000"/>
          <w:sz w:val="20"/>
        </w:rPr>
        <w:t>means (a) any Permitted Acquisition (including by way of merger or amalgamation), Investment or irrevocably declared Restricted Payment by the Borrower or any Restricted Subsidiary permitted pursuant to this Agreement whose consummation is not conditioned upon the availability of, or on obtaining, third party financing (or, if such a condition does exist, the Borrower or any Restricted Subsidiary, as applicable, would be required to pay any fee, liquidated damages or other amount or be subject to any indemnity, claim or other liability as a result of such third party financing not having been available or obtained) or (b) any prepayment, repurchase or redemption of Indebtedness requiring irrevocable notice in advance of such prepayment, repurchase or redemption.</w:t>
      </w:r>
    </w:p>
    <w:p>
      <w:pPr>
        <w:pStyle w:val="TextBody"/>
        <w:bidi w:val="0"/>
        <w:spacing w:lineRule="auto" w:line="655" w:before="3" w:after="283"/>
        <w:ind w:left="0" w:right="0" w:firstLine="49"/>
        <w:jc w:val="left"/>
        <w:rPr/>
      </w:pPr>
      <w:r>
        <w:rPr>
          <w:color w:val="000000"/>
        </w:rPr>
        <w:t>“</w:t>
      </w:r>
      <w:r>
        <w:rPr>
          <w:rFonts w:ascii="Times New Roman;sans-serif" w:hAnsi="Times New Roman;sans-serif"/>
          <w:b w:val="false"/>
          <w:color w:val="000000"/>
          <w:sz w:val="20"/>
          <w:u w:val="single"/>
        </w:rPr>
        <w:t>Loan Guarantors</w:t>
      </w:r>
      <w:r>
        <w:rPr>
          <w:color w:val="000000"/>
        </w:rPr>
        <w:t xml:space="preserve">” </w:t>
      </w:r>
      <w:r>
        <w:rPr>
          <w:rFonts w:ascii="Times New Roman;sans-serif" w:hAnsi="Times New Roman;sans-serif"/>
          <w:b w:val="false"/>
          <w:color w:val="000000"/>
          <w:sz w:val="20"/>
        </w:rPr>
        <w:t>means Holdings, any Intermediate Parent and the Subsidiary Loan Parties. “</w:t>
      </w:r>
      <w:r>
        <w:rPr>
          <w:rFonts w:ascii="Times New Roman;sans-serif" w:hAnsi="Times New Roman;sans-serif"/>
          <w:b w:val="false"/>
          <w:color w:val="000000"/>
          <w:sz w:val="20"/>
          <w:u w:val="single"/>
        </w:rPr>
        <w:t>Loan Modification Agreement</w:t>
      </w:r>
      <w:r>
        <w:rPr>
          <w:color w:val="000000"/>
        </w:rPr>
        <w:t xml:space="preserve">” </w:t>
      </w:r>
      <w:r>
        <w:rPr>
          <w:rFonts w:ascii="Times New Roman;sans-serif" w:hAnsi="Times New Roman;sans-serif"/>
          <w:b w:val="false"/>
          <w:color w:val="000000"/>
          <w:sz w:val="20"/>
        </w:rPr>
        <w:t>means a Loan Modification Agreement, in form reasonably</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satisfactory to the First Lien Administrative Agent, among the Borrower, the First Lien Administrative Agent and one or more Accepting Lenders, effecting one or more Permitted Amendments and such other amendments hereto and to the other First Lien Loan Documents as are contemplated by Section 2.24.</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Loan Modification Offer</w:t>
      </w:r>
      <w:r>
        <w:rPr>
          <w:color w:val="000000"/>
        </w:rPr>
        <w:t xml:space="preserve">” </w:t>
      </w:r>
      <w:r>
        <w:rPr>
          <w:rFonts w:ascii="Times New Roman;sans-serif" w:hAnsi="Times New Roman;sans-serif"/>
          <w:b w:val="false"/>
          <w:color w:val="000000"/>
          <w:sz w:val="20"/>
        </w:rPr>
        <w:t>has the meaning specified in Section 2.24(a).</w:t>
      </w:r>
    </w:p>
    <w:p>
      <w:pPr>
        <w:pStyle w:val="TextBody"/>
        <w:bidi w:val="0"/>
        <w:spacing w:before="10" w:after="283"/>
        <w:jc w:val="left"/>
        <w:rPr/>
      </w:pPr>
      <w:r>
        <w:rPr/>
      </w:r>
    </w:p>
    <w:p>
      <w:pPr>
        <w:pStyle w:val="TextBody"/>
        <w:bidi w:val="0"/>
        <w:spacing w:lineRule="auto" w:line="288" w:before="1" w:after="283"/>
        <w:jc w:val="left"/>
        <w:rPr/>
      </w:pPr>
      <w:r>
        <w:rPr>
          <w:color w:val="000000"/>
        </w:rPr>
        <w:t>“</w:t>
      </w:r>
      <w:r>
        <w:rPr>
          <w:rFonts w:ascii="Times New Roman;sans-serif" w:hAnsi="Times New Roman;sans-serif"/>
          <w:b w:val="false"/>
          <w:color w:val="000000"/>
          <w:sz w:val="20"/>
          <w:u w:val="single"/>
        </w:rPr>
        <w:t>Loan Parties</w:t>
      </w:r>
      <w:r>
        <w:rPr>
          <w:color w:val="000000"/>
        </w:rPr>
        <w:t xml:space="preserve">” </w:t>
      </w:r>
      <w:r>
        <w:rPr>
          <w:rFonts w:ascii="Times New Roman;sans-serif" w:hAnsi="Times New Roman;sans-serif"/>
          <w:b w:val="false"/>
          <w:color w:val="000000"/>
          <w:sz w:val="20"/>
        </w:rPr>
        <w:t>means Holdings, any Intermediate Parent, the Borrower and the Subsidiary Loan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Parties.</w:t>
      </w:r>
    </w:p>
    <w:p>
      <w:pPr>
        <w:pStyle w:val="TextBody"/>
        <w:bidi w:val="0"/>
        <w:spacing w:lineRule="auto" w:line="655"/>
        <w:jc w:val="left"/>
        <w:rPr/>
      </w:pPr>
      <w:r>
        <w:rPr>
          <w:color w:val="000000"/>
        </w:rPr>
        <w:t>“</w:t>
      </w:r>
      <w:r>
        <w:rPr>
          <w:rFonts w:ascii="Times New Roman;sans-serif" w:hAnsi="Times New Roman;sans-serif"/>
          <w:b w:val="false"/>
          <w:color w:val="000000"/>
          <w:sz w:val="20"/>
          <w:u w:val="single"/>
        </w:rPr>
        <w:t>Loans</w:t>
      </w:r>
      <w:r>
        <w:rPr>
          <w:color w:val="000000"/>
        </w:rPr>
        <w:t xml:space="preserve">” </w:t>
      </w:r>
      <w:r>
        <w:rPr>
          <w:rFonts w:ascii="Times New Roman;sans-serif" w:hAnsi="Times New Roman;sans-serif"/>
          <w:b w:val="false"/>
          <w:color w:val="000000"/>
          <w:sz w:val="20"/>
        </w:rPr>
        <w:t>means the loans made by the Lenders to the Borrower pursuant to this Agreement. “</w:t>
      </w:r>
      <w:r>
        <w:rPr>
          <w:rFonts w:ascii="Times New Roman;sans-serif" w:hAnsi="Times New Roman;sans-serif"/>
          <w:b w:val="false"/>
          <w:color w:val="000000"/>
          <w:sz w:val="20"/>
          <w:u w:val="single"/>
        </w:rPr>
        <w:t>Majority in Interest</w:t>
      </w:r>
      <w:r>
        <w:rPr>
          <w:color w:val="000000"/>
        </w:rPr>
        <w:t>”</w:t>
      </w:r>
      <w:r>
        <w:rPr>
          <w:rFonts w:ascii="Times New Roman;sans-serif" w:hAnsi="Times New Roman;sans-serif"/>
          <w:b w:val="false"/>
          <w:color w:val="000000"/>
          <w:sz w:val="20"/>
        </w:rPr>
        <w:t>, when used in reference to Lenders of any Class, means, at any time, (a) in</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1155"/>
                <wp:effectExtent l="0" t="0" r="0" b="0"/>
                <wp:wrapNone/>
                <wp:docPr id="125" name="Frame1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case of the Revolving Lenders, Lenders having Revolving Exposures and unused Revolving Commitments representing more than 50% of the sum of the aggregate Revolving Exposures and the unused aggregate Revolving Commitments at such time and (b) in the case of the Term Lenders of any Class, Lenders holding outstanding Term Loans and unused Term Commitments of such Class representing more than 50% of all Term Loans and unused</w:t>
      </w:r>
    </w:p>
    <w:p>
      <w:pPr>
        <w:pStyle w:val="TextBody"/>
        <w:bidi w:val="0"/>
        <w:spacing w:before="60" w:after="283"/>
        <w:jc w:val="both"/>
        <w:rPr/>
      </w:pPr>
      <w:r>
        <w:rPr/>
      </w:r>
    </w:p>
    <w:p>
      <w:pPr>
        <w:pStyle w:val="TextBody"/>
        <w:bidi w:val="0"/>
        <w:spacing w:lineRule="auto" w:line="288" w:before="60" w:after="283"/>
        <w:jc w:val="both"/>
        <w:rPr/>
      </w:pPr>
      <w:r>
        <w:rPr>
          <w:rFonts w:ascii="Times New Roman;sans-serif" w:hAnsi="Times New Roman;sans-serif"/>
          <w:b w:val="false"/>
          <w:color w:val="000000"/>
          <w:sz w:val="20"/>
        </w:rPr>
        <w:t xml:space="preserve">Term Commitments of such Class outstanding at such time;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whenever there are one or more Defaulting Lenders, the total outstanding Term Loans and Revolving Exposures of, and the unused Revolving Commitments of, each Defaulting Lender shall be excluded for purposes of making a determination of the Majority in Interest.</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Management Investors</w:t>
      </w:r>
      <w:r>
        <w:rPr>
          <w:color w:val="000000"/>
        </w:rPr>
        <w:t xml:space="preserve">” </w:t>
      </w:r>
      <w:r>
        <w:rPr>
          <w:rFonts w:ascii="Times New Roman;sans-serif" w:hAnsi="Times New Roman;sans-serif"/>
          <w:b w:val="false"/>
          <w:color w:val="000000"/>
          <w:sz w:val="20"/>
        </w:rPr>
        <w:t>means the members of the Board of Directors, officers and employees of Holdings, the Borrower and/or their respective Subsidiaries who are (directly or indirectly through one or more investment vehicles) investors in Holdings (or any direct or indirect parent thereof).</w:t>
      </w:r>
    </w:p>
    <w:p>
      <w:pPr>
        <w:pStyle w:val="TextBody"/>
        <w:bidi w:val="0"/>
        <w:spacing w:before="12"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Master Agreement</w:t>
      </w:r>
      <w:r>
        <w:rPr>
          <w:color w:val="000000"/>
        </w:rPr>
        <w:t xml:space="preserve">” </w:t>
      </w:r>
      <w:r>
        <w:rPr>
          <w:rFonts w:ascii="Times New Roman;sans-serif" w:hAnsi="Times New Roman;sans-serif"/>
          <w:b w:val="false"/>
          <w:color w:val="000000"/>
          <w:sz w:val="20"/>
        </w:rPr>
        <w:t>has the meaning assigned to such term in the definition of “Swap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Agreement.”</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Material Adverse Effect</w:t>
      </w:r>
      <w:r>
        <w:rPr>
          <w:color w:val="000000"/>
        </w:rPr>
        <w:t xml:space="preserve">” </w:t>
      </w:r>
      <w:r>
        <w:rPr>
          <w:rFonts w:ascii="Times New Roman;sans-serif" w:hAnsi="Times New Roman;sans-serif"/>
          <w:b w:val="false"/>
          <w:color w:val="000000"/>
          <w:sz w:val="20"/>
        </w:rPr>
        <w:t>means a circumstance or condition affecting the business, financial condition, or results of operations of Holdings, any Intermediate Parent, the Borrower and their respective Subsidiaries, taken as a whole, that would reasonably be expected to have a materially adverse effect on (a) the ability of the Borrower and the other Loan Parties, taken as a whole, to perform their payment obligations under the First Lien Loan Documents or (b) the rights and remedies of the First Lien Administrative Agent, the First Lien Collateral Agent, the Issuing Banks and the Lenders under the First Lien Loan Documents.</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Material Indebtedness</w:t>
      </w:r>
      <w:r>
        <w:rPr>
          <w:color w:val="000000"/>
        </w:rPr>
        <w:t xml:space="preserve">” </w:t>
      </w:r>
      <w:r>
        <w:rPr>
          <w:rFonts w:ascii="Times New Roman;sans-serif" w:hAnsi="Times New Roman;sans-serif"/>
          <w:b w:val="false"/>
          <w:color w:val="000000"/>
          <w:sz w:val="20"/>
        </w:rPr>
        <w:t>means Indebtedness for borrowed money (other than the First Lien Loan Document Obligations), Capital Lease Obligations, unreimbursed obligations for letter of credit drawings and financial guarantees (other than ordinary course of business contingent reimbursement obligations) or obligations in respect of one or more Swap Agreements, of any one or more of the Borrower and its Restricted Subsidiaries in an aggregate principal amount exceeding the greater of (x) $162,600,000 and (y) 30% of Consolidated EBITDA for the most recently ended Test Period as of such time. For purposes of determining Material Indebtedness, the “principal amount” of the obligations in respect of any Swap Agreement at any time shall be the maximum aggregate amount (giving effect to any netting agreements) that the Borrower or such Restricted Subsidiary would be required to pay if such Swap Agreement were terminated at such time.</w:t>
      </w:r>
    </w:p>
    <w:p>
      <w:pPr>
        <w:pStyle w:val="TextBody"/>
        <w:bidi w:val="0"/>
        <w:spacing w:before="14"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Material Non-Public Information</w:t>
      </w:r>
      <w:r>
        <w:rPr>
          <w:color w:val="000000"/>
        </w:rPr>
        <w:t xml:space="preserve">” </w:t>
      </w:r>
      <w:r>
        <w:rPr>
          <w:rFonts w:ascii="Times New Roman;sans-serif" w:hAnsi="Times New Roman;sans-serif"/>
          <w:b w:val="false"/>
          <w:color w:val="000000"/>
          <w:sz w:val="20"/>
        </w:rPr>
        <w:t>means (a) if the Borrower is a public reporting company, material non-public information with respect to the Borrower or its Subsidiaries, or the respective securities of any of the foregoing, and (b) if the Borrower is not a public reporting company, information that is (i) of a type that would not be publicly available if the Borrower were a public reporting company or (ii) material with respect to the Borrower or its Subsidiaries or any of their respective securities for purposes of United States Federal and state and applicable foreign securities laws.</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Material Real Property</w:t>
      </w:r>
      <w:r>
        <w:rPr>
          <w:color w:val="000000"/>
        </w:rPr>
        <w:t xml:space="preserve">” </w:t>
      </w:r>
      <w:r>
        <w:rPr>
          <w:rFonts w:ascii="Times New Roman;sans-serif" w:hAnsi="Times New Roman;sans-serif"/>
          <w:b w:val="false"/>
          <w:color w:val="000000"/>
          <w:sz w:val="20"/>
        </w:rPr>
        <w:t>means any real property with a Fair Market Value, as reasonably determined by the Borrower in good faith, greater than or equal to $30,000,000.</w:t>
      </w:r>
    </w:p>
    <w:p>
      <w:pPr>
        <w:pStyle w:val="TextBody"/>
        <w:bidi w:val="0"/>
        <w:spacing w:before="11" w:after="283"/>
        <w:jc w:val="left"/>
        <w:rPr/>
      </w:pPr>
      <w:r>
        <w:rPr/>
      </w:r>
    </w:p>
    <w:p>
      <w:pPr>
        <w:pStyle w:val="TextBody"/>
        <w:bidi w:val="0"/>
        <w:spacing w:lineRule="auto" w:line="288"/>
        <w:ind w:left="0" w:right="0" w:firstLine="1511"/>
        <w:jc w:val="both"/>
        <w:rPr/>
      </w:pPr>
      <w:r>
        <w:rPr>
          <w:color w:val="000000"/>
        </w:rPr>
        <w:t>“</w:t>
      </w:r>
      <w:r>
        <w:rPr>
          <w:rFonts w:ascii="Times New Roman;sans-serif" w:hAnsi="Times New Roman;sans-serif"/>
          <w:b w:val="false"/>
          <w:color w:val="000000"/>
          <w:sz w:val="20"/>
          <w:u w:val="single"/>
        </w:rPr>
        <w:t>Material Subsidiary</w:t>
      </w:r>
      <w:r>
        <w:rPr>
          <w:color w:val="000000"/>
        </w:rPr>
        <w:t xml:space="preserve">” </w:t>
      </w:r>
      <w:r>
        <w:rPr>
          <w:rFonts w:ascii="Times New Roman;sans-serif" w:hAnsi="Times New Roman;sans-serif"/>
          <w:b w:val="false"/>
          <w:color w:val="000000"/>
          <w:sz w:val="20"/>
        </w:rPr>
        <w:t xml:space="preserve">means each Intermediate Parent or Wholly Owned Restricted Subsidiary that, as of the last day of the fiscal quarter of the Borrower most recently ended, had net revenues or total assets for such quarter in excess of 2.5% of the consolidated net revenues or total assets, as applicable, of the Borrower and its Restricted Subsidiaries for such quarter;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in the event that the Immaterial Subsidiaries, taken together, had as of the last day of the fiscal quarter of the Borrower’s most recently ended net revenues or total assets in excess of 10.0% of the consolidated revenues or total assets, as applicable, of the Borrower and its Restricted Subsidiaries for such quarter, the Borrower shall designate in writing one or more Immaterial Subsidiaries to be a Material Subsidiary as may be necessary such that the foregoing 10.0% limit shall not be exceeded, and any such Subsidiary shall thereafter be deemed to be an Material Subsidiary hereunder;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u w:val="single"/>
        </w:rPr>
        <w:t>further</w:t>
      </w:r>
      <w:r>
        <w:rPr>
          <w:color w:val="000000"/>
        </w:rPr>
        <w:t xml:space="preserve"> </w:t>
      </w:r>
      <w:r>
        <w:rPr>
          <w:rFonts w:ascii="Times New Roman;sans-serif" w:hAnsi="Times New Roman;sans-serif"/>
          <w:b w:val="false"/>
          <w:color w:val="000000"/>
          <w:sz w:val="20"/>
        </w:rPr>
        <w:t xml:space="preserve">that the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1155"/>
                <wp:effectExtent l="0" t="0" r="0" b="0"/>
                <wp:wrapNone/>
                <wp:docPr id="126" name="Frame1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may re-designate Material Subsidiaries as Immaterial Subsidiaries so long as the Borrower is in compliance with the foregoing.</w:t>
      </w:r>
    </w:p>
    <w:p>
      <w:pPr>
        <w:pStyle w:val="TextBody"/>
        <w:bidi w:val="0"/>
        <w:spacing w:before="15"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Maximum Rate</w:t>
      </w:r>
      <w:r>
        <w:rPr>
          <w:color w:val="000000"/>
        </w:rPr>
        <w:t xml:space="preserve">” </w:t>
      </w:r>
      <w:r>
        <w:rPr>
          <w:rFonts w:ascii="Times New Roman;sans-serif" w:hAnsi="Times New Roman;sans-serif"/>
          <w:b w:val="false"/>
          <w:color w:val="000000"/>
          <w:sz w:val="20"/>
        </w:rPr>
        <w:t>has the meaning assigned to such term in Section 2.16.</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Moody’s</w:t>
      </w:r>
      <w:r>
        <w:rPr>
          <w:color w:val="000000"/>
        </w:rPr>
        <w:t xml:space="preserve">” </w:t>
      </w:r>
      <w:r>
        <w:rPr>
          <w:rFonts w:ascii="Times New Roman;sans-serif" w:hAnsi="Times New Roman;sans-serif"/>
          <w:b w:val="false"/>
          <w:color w:val="000000"/>
          <w:sz w:val="20"/>
        </w:rPr>
        <w:t>means Moody’s Investors Service, Inc. and any successor to its rating agency business.</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Model</w:t>
      </w:r>
      <w:r>
        <w:rPr>
          <w:color w:val="000000"/>
        </w:rPr>
        <w:t xml:space="preserve">” </w:t>
      </w:r>
      <w:r>
        <w:rPr>
          <w:rFonts w:ascii="Times New Roman;sans-serif" w:hAnsi="Times New Roman;sans-serif"/>
          <w:b w:val="false"/>
          <w:color w:val="000000"/>
          <w:sz w:val="20"/>
        </w:rPr>
        <w:t>means that certain financial model delivered by the Borrower to the First Lien Administrative Agent on November 7, 2019 (together with any updates or modifications thereto reasonably agreed between the Borrower and the First Lien Administrative Agent).</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Mortgage</w:t>
      </w:r>
      <w:r>
        <w:rPr>
          <w:color w:val="000000"/>
        </w:rPr>
        <w:t xml:space="preserve">” </w:t>
      </w:r>
      <w:r>
        <w:rPr>
          <w:rFonts w:ascii="Times New Roman;sans-serif" w:hAnsi="Times New Roman;sans-serif"/>
          <w:b w:val="false"/>
          <w:color w:val="000000"/>
          <w:sz w:val="20"/>
        </w:rPr>
        <w:t>means a mortgage, charge, deed of trust, assignment of leases and rents or other security document granting a Lien on any Mortgaged Property in favor of the First Lien Collateral Agent for the benefit of the Secured Parties to secure the Secured Obligations, as the same may be amended, amended and restated, supplemented or otherwise modified from time to time. Each Mortgage shall be in form and substance reasonably satisfactory to the First Lien Administrative Agent and the Borrower.</w:t>
      </w:r>
    </w:p>
    <w:p>
      <w:pPr>
        <w:pStyle w:val="TextBody"/>
        <w:bidi w:val="0"/>
        <w:spacing w:before="12"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Mortgaged Property</w:t>
      </w:r>
      <w:r>
        <w:rPr>
          <w:color w:val="000000"/>
        </w:rPr>
        <w:t xml:space="preserve">” </w:t>
      </w:r>
      <w:r>
        <w:rPr>
          <w:rFonts w:ascii="Times New Roman;sans-serif" w:hAnsi="Times New Roman;sans-serif"/>
          <w:b w:val="false"/>
          <w:color w:val="000000"/>
          <w:sz w:val="20"/>
        </w:rPr>
        <w:t>means each parcel of Material Real Property with respect to which a Mortgage is granted pursuant to the Collateral and Guarantee Requirement, Section 5.11, Section 5.12 or Section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5.14 (if any).</w:t>
      </w:r>
    </w:p>
    <w:p>
      <w:pPr>
        <w:pStyle w:val="TextBody"/>
        <w:bidi w:val="0"/>
        <w:spacing w:lineRule="auto" w:line="655" w:before="1" w:after="283"/>
        <w:jc w:val="left"/>
        <w:rPr/>
      </w:pPr>
      <w:r>
        <w:rPr>
          <w:color w:val="000000"/>
        </w:rPr>
        <w:t>“</w:t>
      </w:r>
      <w:r>
        <w:rPr>
          <w:rFonts w:ascii="Times New Roman;sans-serif" w:hAnsi="Times New Roman;sans-serif"/>
          <w:b w:val="false"/>
          <w:color w:val="000000"/>
          <w:sz w:val="20"/>
          <w:u w:val="single"/>
        </w:rPr>
        <w:t>Multiemployer Plan</w:t>
      </w:r>
      <w:r>
        <w:rPr>
          <w:color w:val="000000"/>
        </w:rPr>
        <w:t xml:space="preserve">” </w:t>
      </w:r>
      <w:r>
        <w:rPr>
          <w:rFonts w:ascii="Times New Roman;sans-serif" w:hAnsi="Times New Roman;sans-serif"/>
          <w:b w:val="false"/>
          <w:color w:val="000000"/>
          <w:sz w:val="20"/>
        </w:rPr>
        <w:t>means a multiemployer plan as defined in Section 4001(a)(3) of ERISA. “</w:t>
      </w:r>
      <w:r>
        <w:rPr>
          <w:rFonts w:ascii="Times New Roman;sans-serif" w:hAnsi="Times New Roman;sans-serif"/>
          <w:b w:val="false"/>
          <w:color w:val="000000"/>
          <w:sz w:val="20"/>
          <w:u w:val="single"/>
        </w:rPr>
        <w:t>Net Proceeds</w:t>
      </w:r>
      <w:r>
        <w:rPr>
          <w:color w:val="000000"/>
        </w:rPr>
        <w:t xml:space="preserve">” </w:t>
      </w:r>
      <w:r>
        <w:rPr>
          <w:rFonts w:ascii="Times New Roman;sans-serif" w:hAnsi="Times New Roman;sans-serif"/>
          <w:b w:val="false"/>
          <w:color w:val="000000"/>
          <w:sz w:val="20"/>
        </w:rPr>
        <w:t>means, with respect to any event, (a) the proceeds received in respect of such</w:t>
      </w:r>
    </w:p>
    <w:p>
      <w:pPr>
        <w:pStyle w:val="TextBody"/>
        <w:bidi w:val="0"/>
        <w:spacing w:lineRule="auto" w:line="288" w:before="1" w:after="283"/>
        <w:jc w:val="both"/>
        <w:rPr/>
      </w:pPr>
      <w:r>
        <w:rPr>
          <w:rFonts w:ascii="Times New Roman;sans-serif" w:hAnsi="Times New Roman;sans-serif"/>
          <w:b w:val="false"/>
          <w:color w:val="000000"/>
          <w:sz w:val="20"/>
        </w:rPr>
        <w:t xml:space="preserve">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(b) without duplication, the sum of (i) all fees and out-of-pocket expenses paid by Holdings, any Intermediate Parent, the Borrower and any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Borrower and its Restricted Subsidiaries as a result of such event to repay Indebtedness (other than the Loans) secured by such asset or otherwise subject to mandatory prepayment as a result of such event,</w:t>
      </w:r>
    </w:p>
    <w:p>
      <w:pPr>
        <w:pStyle w:val="TextBody"/>
        <w:bidi w:val="0"/>
        <w:spacing w:lineRule="auto" w:line="288" w:before="6" w:after="283"/>
        <w:jc w:val="both"/>
        <w:rPr>
          <w:rFonts w:ascii="Times New Roman;sans-serif" w:hAnsi="Times New Roman;sans-serif"/>
          <w:b w:val="false"/>
          <w:color w:val="000000"/>
          <w:sz w:val="20"/>
        </w:rPr>
      </w:pPr>
      <w:r>
        <w:rPr>
          <w:rFonts w:ascii="Times New Roman;sans-serif" w:hAnsi="Times New Roman;sans-serif"/>
          <w:b w:val="false"/>
          <w:color w:val="000000"/>
          <w:sz w:val="20"/>
        </w:rPr>
        <w:t>(y) the pro rata portion of net cash proceeds thereof (calculated without regard to this clause (y)) attributable to minority interests and not available for distribution to or for the account of Holdings, any Intermediate Parent, the Borrower or its Restricted Subsidiaries as a result thereof and (z) the amount of any liabilities directly associated with such asset and retained by the Borrower or any Restricted Subsidiary and (iii) the amount of all taxes paid (or reasonably estimated to be payable), the amount of dividends and other restricted payments that Holdings, any Intermediate Parent, the Borrower and/or its Restricted Subsidiaries may make pursuant to Section 6.07(a)(vii)(A) or</w:t>
      </w:r>
    </w:p>
    <w:p>
      <w:pPr>
        <w:pStyle w:val="TextBody"/>
        <w:bidi w:val="0"/>
        <w:spacing w:lineRule="auto" w:line="288" w:before="2" w:after="283"/>
        <w:jc w:val="both"/>
        <w:rPr/>
      </w:pPr>
      <w:r>
        <w:rPr>
          <w:rFonts w:ascii="Times New Roman;sans-serif" w:hAnsi="Times New Roman;sans-serif"/>
          <w:b w:val="false"/>
          <w:color w:val="000000"/>
          <w:sz w:val="20"/>
        </w:rPr>
        <w:t xml:space="preserve">(B) as a result of such event, and the amount of any reserves established by Holdings, any Intermediate Parent, the Borrower and its Restricted Subsidiaries to fund contingent liabilities reasonably estimated to be payable, that are directly attributable to such event,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any reduction at any time in the amount of any such reserves (other than as a result of payments made in respect thereof) shall be deemed to constitute the receipt by the Borrower at such time of Net Proceeds in the amount of such reduction.</w:t>
      </w:r>
    </w:p>
    <w:p>
      <w:pPr>
        <w:pStyle w:val="TextBody"/>
        <w:bidi w:val="0"/>
        <w:spacing w:before="12" w:after="283"/>
        <w:jc w:val="left"/>
        <w:rPr/>
      </w:pPr>
      <w:r>
        <w:rPr/>
      </w:r>
    </w:p>
    <w:p>
      <w:pPr>
        <w:pStyle w:val="TextBody"/>
        <w:bidi w:val="0"/>
        <w:spacing w:lineRule="auto" w:line="288"/>
        <w:ind w:left="0" w:right="0" w:firstLine="1505"/>
        <w:jc w:val="both"/>
        <w:rPr/>
      </w:pPr>
      <w:r>
        <w:rPr>
          <w:color w:val="000000"/>
        </w:rPr>
        <w:t>“</w:t>
      </w:r>
      <w:r>
        <w:rPr>
          <w:rFonts w:ascii="Times New Roman;sans-serif" w:hAnsi="Times New Roman;sans-serif"/>
          <w:b w:val="false"/>
          <w:color w:val="000000"/>
          <w:sz w:val="20"/>
          <w:u w:val="single"/>
        </w:rPr>
        <w:t>New Project</w:t>
      </w:r>
      <w:r>
        <w:rPr>
          <w:color w:val="000000"/>
        </w:rPr>
        <w:t xml:space="preserve">” </w:t>
      </w:r>
      <w:r>
        <w:rPr>
          <w:rFonts w:ascii="Times New Roman;sans-serif" w:hAnsi="Times New Roman;sans-serif"/>
          <w:b w:val="false"/>
          <w:color w:val="000000"/>
          <w:sz w:val="20"/>
        </w:rPr>
        <w:t xml:space="preserve">shall mean (a) each facility which is either a new facility, branch or office or an expansion, relocation, remodeling or substantial modernization of an existing facility, branch or office owned by the Borrower or its Subsidiaries which in fact commences operations and (b) each creation (in one or a series of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1155"/>
                <wp:effectExtent l="0" t="0" r="0" b="0"/>
                <wp:wrapNone/>
                <wp:docPr id="127" name="Frame1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of a business unit to the extent such business unit commences operations or each expansion (in one or a series of related transactions) of business into a new market.</w:t>
      </w:r>
    </w:p>
    <w:p>
      <w:pPr>
        <w:pStyle w:val="TextBody"/>
        <w:bidi w:val="0"/>
        <w:spacing w:before="12" w:after="283"/>
        <w:jc w:val="left"/>
        <w:rPr/>
      </w:pPr>
      <w:r>
        <w:rPr/>
      </w:r>
    </w:p>
    <w:p>
      <w:pPr>
        <w:pStyle w:val="TextBody"/>
        <w:bidi w:val="0"/>
        <w:spacing w:lineRule="auto" w:line="568" w:before="0" w:after="0"/>
        <w:jc w:val="left"/>
        <w:rPr/>
      </w:pPr>
      <w:r>
        <w:rPr>
          <w:color w:val="000000"/>
        </w:rPr>
        <w:t>“</w:t>
      </w:r>
      <w:r>
        <w:rPr>
          <w:rFonts w:ascii="Times New Roman;sans-serif" w:hAnsi="Times New Roman;sans-serif"/>
          <w:b w:val="false"/>
          <w:color w:val="000000"/>
          <w:sz w:val="20"/>
          <w:u w:val="single"/>
        </w:rPr>
        <w:t>Net Short Lender</w:t>
      </w:r>
      <w:r>
        <w:rPr>
          <w:color w:val="000000"/>
        </w:rPr>
        <w:t xml:space="preserve">” </w:t>
      </w:r>
      <w:r>
        <w:rPr>
          <w:rFonts w:ascii="Times New Roman;sans-serif" w:hAnsi="Times New Roman;sans-serif"/>
          <w:b w:val="false"/>
          <w:color w:val="000000"/>
          <w:sz w:val="20"/>
        </w:rPr>
        <w:t>has the meaning assigned to such term in Section 9.02(h). “</w:t>
      </w:r>
      <w:r>
        <w:rPr>
          <w:rFonts w:ascii="Times New Roman;sans-serif" w:hAnsi="Times New Roman;sans-serif"/>
          <w:b w:val="false"/>
          <w:color w:val="000000"/>
          <w:sz w:val="20"/>
          <w:u w:val="single"/>
        </w:rPr>
        <w:t>Non-Accepting Lender</w:t>
      </w:r>
      <w:r>
        <w:rPr>
          <w:color w:val="000000"/>
        </w:rPr>
        <w:t xml:space="preserve">” </w:t>
      </w:r>
      <w:r>
        <w:rPr>
          <w:rFonts w:ascii="Times New Roman;sans-serif" w:hAnsi="Times New Roman;sans-serif"/>
          <w:b w:val="false"/>
          <w:color w:val="000000"/>
          <w:sz w:val="20"/>
        </w:rPr>
        <w:t>has the meaning assigned to such term in Section 2.24(c).</w:t>
      </w:r>
    </w:p>
    <w:p>
      <w:pPr>
        <w:pStyle w:val="TextBody"/>
        <w:bidi w:val="0"/>
        <w:spacing w:before="0" w:after="0"/>
        <w:jc w:val="left"/>
        <w:rPr/>
      </w:pPr>
      <w:r>
        <w:rPr/>
      </w:r>
    </w:p>
    <w:p>
      <w:pPr>
        <w:pStyle w:val="TextBody"/>
        <w:bidi w:val="0"/>
        <w:spacing w:lineRule="auto" w:line="568" w:before="0" w:after="0"/>
        <w:jc w:val="left"/>
        <w:rPr/>
      </w:pPr>
      <w:r>
        <w:rPr>
          <w:color w:val="000000"/>
        </w:rPr>
        <w:t>“</w:t>
      </w:r>
      <w:r>
        <w:rPr>
          <w:rFonts w:ascii="Times New Roman;sans-serif" w:hAnsi="Times New Roman;sans-serif"/>
          <w:b w:val="false"/>
          <w:color w:val="000000"/>
          <w:sz w:val="20"/>
          <w:u w:val="single"/>
        </w:rPr>
        <w:t>Non-Cash Charges</w:t>
      </w:r>
      <w:r>
        <w:rPr>
          <w:color w:val="000000"/>
        </w:rPr>
        <w:t xml:space="preserve">” </w:t>
      </w:r>
      <w:r>
        <w:rPr>
          <w:rFonts w:ascii="Times New Roman;sans-serif" w:hAnsi="Times New Roman;sans-serif"/>
          <w:b w:val="false"/>
          <w:color w:val="000000"/>
          <w:sz w:val="20"/>
        </w:rPr>
        <w:t>means (a) any impairment charge or asset write-off or write-down related to intangible assets (including goodwill), long-lived assets, and Investments in debt and equity securities pursuant to GAAP, (b) all losses from Investments recorded using the equity method, (c) all Non-Cash Compensation Expenses,</w:t>
      </w:r>
    </w:p>
    <w:p>
      <w:pPr>
        <w:pStyle w:val="TextBody"/>
        <w:bidi w:val="0"/>
        <w:spacing w:lineRule="auto" w:line="288" w:before="1" w:after="283"/>
        <w:jc w:val="both"/>
        <w:rPr/>
      </w:pPr>
      <w:r>
        <w:rPr>
          <w:rFonts w:ascii="Times New Roman;sans-serif" w:hAnsi="Times New Roman;sans-serif"/>
          <w:b w:val="false"/>
          <w:color w:val="000000"/>
          <w:sz w:val="20"/>
        </w:rPr>
        <w:t>(d) the non-cash impact of acquisition method accounting, (e) depreciation and amortization (including, without limitation, as they relate to acquisition accounting, amortization of deferred financing fees or costs, Capitalized Software Expenditures and amortization of unrecognized prior service costs and actuarial gains and losses related to pension and other post-employment benefits) and (f) other non-cash charges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pStyle w:val="TextBody"/>
        <w:bidi w:val="0"/>
        <w:spacing w:before="13"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Non-Cash Compensation Expense</w:t>
      </w:r>
      <w:r>
        <w:rPr>
          <w:color w:val="000000"/>
        </w:rPr>
        <w:t xml:space="preserve">” </w:t>
      </w:r>
      <w:r>
        <w:rPr>
          <w:rFonts w:ascii="Times New Roman;sans-serif" w:hAnsi="Times New Roman;sans-serif"/>
          <w:b w:val="false"/>
          <w:color w:val="000000"/>
          <w:sz w:val="20"/>
        </w:rPr>
        <w:t>means any non-cash expenses and costs that result from the issuance of stock-based awards, partnership interest-based awards and similar incentive based compensation awards or arrangements.</w:t>
      </w:r>
    </w:p>
    <w:p>
      <w:pPr>
        <w:pStyle w:val="TextBody"/>
        <w:bidi w:val="0"/>
        <w:spacing w:before="11" w:after="283"/>
        <w:jc w:val="left"/>
        <w:rPr/>
      </w:pPr>
      <w:r>
        <w:rPr/>
      </w:r>
    </w:p>
    <w:p>
      <w:pPr>
        <w:pStyle w:val="TextBody"/>
        <w:bidi w:val="0"/>
        <w:spacing w:lineRule="auto" w:line="288" w:before="1" w:after="283"/>
        <w:jc w:val="left"/>
        <w:rPr/>
      </w:pPr>
      <w:r>
        <w:rPr>
          <w:color w:val="000000"/>
        </w:rPr>
        <w:t>“</w:t>
      </w:r>
      <w:r>
        <w:rPr>
          <w:rFonts w:ascii="Times New Roman;sans-serif" w:hAnsi="Times New Roman;sans-serif"/>
          <w:b w:val="false"/>
          <w:color w:val="000000"/>
          <w:sz w:val="20"/>
          <w:u w:val="single"/>
        </w:rPr>
        <w:t>Non-Consenting Lender</w:t>
      </w:r>
      <w:r>
        <w:rPr>
          <w:color w:val="000000"/>
        </w:rPr>
        <w:t xml:space="preserve">” </w:t>
      </w:r>
      <w:r>
        <w:rPr>
          <w:rFonts w:ascii="Times New Roman;sans-serif" w:hAnsi="Times New Roman;sans-serif"/>
          <w:b w:val="false"/>
          <w:color w:val="000000"/>
          <w:sz w:val="20"/>
        </w:rPr>
        <w:t>has the meaning assigned to such term in Section 9.02(c).</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Non-Wholly Owned Subsidiary</w:t>
      </w:r>
      <w:r>
        <w:rPr>
          <w:color w:val="000000"/>
        </w:rPr>
        <w:t xml:space="preserve">” </w:t>
      </w:r>
      <w:r>
        <w:rPr>
          <w:rFonts w:ascii="Times New Roman;sans-serif" w:hAnsi="Times New Roman;sans-serif"/>
          <w:b w:val="false"/>
          <w:color w:val="000000"/>
          <w:sz w:val="20"/>
        </w:rPr>
        <w:t>of any Person means any subsidiary of such Person other than a Wholly Owned Subsidiary.</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Not Otherwise Applied</w:t>
      </w:r>
      <w:r>
        <w:rPr>
          <w:color w:val="000000"/>
        </w:rPr>
        <w:t xml:space="preserve">” </w:t>
      </w:r>
      <w:r>
        <w:rPr>
          <w:rFonts w:ascii="Times New Roman;sans-serif" w:hAnsi="Times New Roman;sans-serif"/>
          <w:b w:val="false"/>
          <w:color w:val="000000"/>
          <w:sz w:val="20"/>
        </w:rPr>
        <w:t>means, with reference to the Available Amount or the Available Equity Amount, as applicable, that such amount was not previously applied pursuant to Sections 6.04(m), 6.07(a)(viii) and 6.07(b)(iv).</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Note</w:t>
      </w:r>
      <w:r>
        <w:rPr>
          <w:color w:val="000000"/>
        </w:rPr>
        <w:t xml:space="preserve">” </w:t>
      </w:r>
      <w:r>
        <w:rPr>
          <w:rFonts w:ascii="Times New Roman;sans-serif" w:hAnsi="Times New Roman;sans-serif"/>
          <w:b w:val="false"/>
          <w:color w:val="000000"/>
          <w:sz w:val="20"/>
        </w:rPr>
        <w:t>means a promissory note of the Borrower, in substantially the form of Exhibit O, payable to a Lender in a principal amount equal to the principal amount of the Revolving Commitment or Term Loans, as applicable, of such Lender.</w:t>
      </w:r>
    </w:p>
    <w:p>
      <w:pPr>
        <w:pStyle w:val="TextBody"/>
        <w:bidi w:val="0"/>
        <w:spacing w:before="11" w:after="283"/>
        <w:jc w:val="left"/>
        <w:rPr/>
      </w:pPr>
      <w:r>
        <w:rPr/>
      </w:r>
    </w:p>
    <w:p>
      <w:pPr>
        <w:pStyle w:val="TextBody"/>
        <w:bidi w:val="0"/>
        <w:spacing w:lineRule="auto" w:line="568" w:before="1" w:after="283"/>
        <w:jc w:val="left"/>
        <w:rPr/>
      </w:pPr>
      <w:r>
        <w:rPr>
          <w:color w:val="000000"/>
        </w:rPr>
        <w:t>“</w:t>
      </w:r>
      <w:r>
        <w:rPr>
          <w:rFonts w:ascii="Times New Roman;sans-serif" w:hAnsi="Times New Roman;sans-serif"/>
          <w:b w:val="false"/>
          <w:color w:val="000000"/>
          <w:sz w:val="20"/>
          <w:u w:val="single"/>
        </w:rPr>
        <w:t>Notes Collateral Agent</w:t>
      </w:r>
      <w:r>
        <w:rPr>
          <w:color w:val="000000"/>
        </w:rPr>
        <w:t xml:space="preserve">” </w:t>
      </w:r>
      <w:r>
        <w:rPr>
          <w:rFonts w:ascii="Times New Roman;sans-serif" w:hAnsi="Times New Roman;sans-serif"/>
          <w:b w:val="false"/>
          <w:color w:val="000000"/>
          <w:sz w:val="20"/>
        </w:rPr>
        <w:t>means, Wilmington Trust, National Association. “</w:t>
      </w:r>
      <w:r>
        <w:rPr>
          <w:rFonts w:ascii="Times New Roman;sans-serif" w:hAnsi="Times New Roman;sans-serif"/>
          <w:b w:val="false"/>
          <w:color w:val="000000"/>
          <w:sz w:val="20"/>
          <w:u w:val="single"/>
        </w:rPr>
        <w:t>NYFRB</w:t>
      </w:r>
      <w:r>
        <w:rPr>
          <w:color w:val="000000"/>
        </w:rPr>
        <w:t xml:space="preserve">” </w:t>
      </w:r>
      <w:r>
        <w:rPr>
          <w:rFonts w:ascii="Times New Roman;sans-serif" w:hAnsi="Times New Roman;sans-serif"/>
          <w:b w:val="false"/>
          <w:color w:val="000000"/>
          <w:sz w:val="20"/>
        </w:rPr>
        <w:t>means the Federal Reserve Bank of New York.</w:t>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NYFRB Rate</w:t>
      </w:r>
      <w:r>
        <w:rPr>
          <w:color w:val="000000"/>
        </w:rPr>
        <w:t xml:space="preserve">” </w:t>
      </w:r>
      <w:r>
        <w:rPr>
          <w:rFonts w:ascii="Times New Roman;sans-serif" w:hAnsi="Times New Roman;sans-serif"/>
          <w:b w:val="false"/>
          <w:color w:val="000000"/>
          <w:sz w:val="20"/>
        </w:rPr>
        <w:t>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New York City time, on such day received by the First Lien Administrative Agent from a federal funds broker of recognized standing selected by it; provided, further, that if any of the aforesaid rates as so determined would be less than 0%, then such rate shall be deemed to be 0% for purposes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1155"/>
                <wp:effectExtent l="0" t="0" r="0" b="0"/>
                <wp:wrapNone/>
                <wp:docPr id="128" name="Frame1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left"/>
                        <w:rPr/>
                      </w:pPr>
                      <w:r>
                        <w:rPr/>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NYFRB’s Website</w:t>
      </w:r>
      <w:r>
        <w:rPr>
          <w:color w:val="000000"/>
        </w:rPr>
        <w:t xml:space="preserve">” </w:t>
      </w:r>
      <w:r>
        <w:rPr>
          <w:rFonts w:ascii="Times New Roman;sans-serif" w:hAnsi="Times New Roman;sans-serif"/>
          <w:b w:val="false"/>
          <w:color w:val="000000"/>
          <w:sz w:val="20"/>
        </w:rPr>
        <w:t>means the website of the NYFRB at http://www.newyorkfed.org, or any</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successor source.</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OFAC</w:t>
      </w:r>
      <w:r>
        <w:rPr>
          <w:color w:val="000000"/>
        </w:rPr>
        <w:t xml:space="preserve">” </w:t>
      </w:r>
      <w:r>
        <w:rPr>
          <w:rFonts w:ascii="Times New Roman;sans-serif" w:hAnsi="Times New Roman;sans-serif"/>
          <w:b w:val="false"/>
          <w:color w:val="000000"/>
          <w:sz w:val="20"/>
        </w:rPr>
        <w:t>has the meaning specified in Section 3.17(b).</w:t>
      </w:r>
    </w:p>
    <w:p>
      <w:pPr>
        <w:pStyle w:val="TextBody"/>
        <w:bidi w:val="0"/>
        <w:spacing w:before="10" w:after="283"/>
        <w:jc w:val="left"/>
        <w:rPr/>
      </w:pPr>
      <w:r>
        <w:rPr/>
      </w:r>
    </w:p>
    <w:p>
      <w:pPr>
        <w:pStyle w:val="TextBody"/>
        <w:bidi w:val="0"/>
        <w:spacing w:lineRule="auto" w:line="568" w:before="1" w:after="283"/>
        <w:jc w:val="left"/>
        <w:rPr/>
      </w:pPr>
      <w:r>
        <w:rPr>
          <w:color w:val="000000"/>
        </w:rPr>
        <w:t>“</w:t>
      </w:r>
      <w:r>
        <w:rPr>
          <w:rFonts w:ascii="Times New Roman;sans-serif" w:hAnsi="Times New Roman;sans-serif"/>
          <w:b w:val="false"/>
          <w:color w:val="000000"/>
          <w:sz w:val="20"/>
          <w:u w:val="single"/>
        </w:rPr>
        <w:t>Offered Amount</w:t>
      </w:r>
      <w:r>
        <w:rPr>
          <w:color w:val="000000"/>
        </w:rPr>
        <w:t xml:space="preserve">” </w:t>
      </w:r>
      <w:r>
        <w:rPr>
          <w:rFonts w:ascii="Times New Roman;sans-serif" w:hAnsi="Times New Roman;sans-serif"/>
          <w:b w:val="false"/>
          <w:color w:val="000000"/>
          <w:sz w:val="20"/>
        </w:rPr>
        <w:t>has the meaning assigned to such term in Section 2.11(a)(ii)(D)(1). “</w:t>
      </w:r>
      <w:r>
        <w:rPr>
          <w:rFonts w:ascii="Times New Roman;sans-serif" w:hAnsi="Times New Roman;sans-serif"/>
          <w:b w:val="false"/>
          <w:color w:val="000000"/>
          <w:sz w:val="20"/>
          <w:u w:val="single"/>
        </w:rPr>
        <w:t>Offered Discount</w:t>
      </w:r>
      <w:r>
        <w:rPr>
          <w:color w:val="000000"/>
        </w:rPr>
        <w:t xml:space="preserve">” </w:t>
      </w:r>
      <w:r>
        <w:rPr>
          <w:rFonts w:ascii="Times New Roman;sans-serif" w:hAnsi="Times New Roman;sans-serif"/>
          <w:b w:val="false"/>
          <w:color w:val="000000"/>
          <w:sz w:val="20"/>
        </w:rPr>
        <w:t>has the meaning assigned to such term in Section 2.11(a)(ii)(D)(1).</w:t>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0"/>
          <w:u w:val="single"/>
        </w:rPr>
        <w:t>Organizational Documents</w:t>
      </w:r>
      <w:r>
        <w:rPr>
          <w:color w:val="000000"/>
        </w:rPr>
        <w:t xml:space="preserve">” </w:t>
      </w:r>
      <w:r>
        <w:rPr>
          <w:rFonts w:ascii="Times New Roman;sans-serif" w:hAnsi="Times New Roman;sans-serif"/>
          <w:b w:val="false"/>
          <w:color w:val="000000"/>
          <w:sz w:val="20"/>
        </w:rPr>
        <w:t>means, with respect to any Person, the charter, articles or certificate of organization or incorporation and bylaws or other organizational or governing documents of such Person.</w:t>
      </w:r>
    </w:p>
    <w:p>
      <w:pPr>
        <w:pStyle w:val="TextBody"/>
        <w:bidi w:val="0"/>
        <w:spacing w:before="60" w:after="283"/>
        <w:ind w:left="0" w:right="0" w:firstLine="1440"/>
        <w:jc w:val="both"/>
        <w:rPr/>
      </w:pPr>
      <w:r>
        <w:rPr/>
      </w:r>
    </w:p>
    <w:p>
      <w:pPr>
        <w:pStyle w:val="TextBody"/>
        <w:bidi w:val="0"/>
        <w:spacing w:lineRule="auto" w:line="288" w:before="60" w:after="283"/>
        <w:ind w:left="0" w:right="0" w:firstLine="1440"/>
        <w:jc w:val="both"/>
        <w:rPr/>
      </w:pPr>
      <w:r>
        <w:rPr>
          <w:color w:val="000000"/>
        </w:rPr>
        <w:t>“</w:t>
      </w:r>
      <w:r>
        <w:rPr>
          <w:rFonts w:ascii="Times New Roman;sans-serif" w:hAnsi="Times New Roman;sans-serif"/>
          <w:b w:val="false"/>
          <w:color w:val="000000"/>
          <w:sz w:val="20"/>
          <w:u w:val="single"/>
        </w:rPr>
        <w:t>Other First Lien Term Commitments</w:t>
      </w:r>
      <w:r>
        <w:rPr>
          <w:color w:val="000000"/>
        </w:rPr>
        <w:t xml:space="preserve">” </w:t>
      </w:r>
      <w:r>
        <w:rPr>
          <w:rFonts w:ascii="Times New Roman;sans-serif" w:hAnsi="Times New Roman;sans-serif"/>
          <w:b w:val="false"/>
          <w:color w:val="000000"/>
          <w:sz w:val="20"/>
        </w:rPr>
        <w:t>means one or more Classes of term loan commitments hereunder that result from a Refinancing Amendment or a Loan Modification Agreement.</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Other First Lien Term Loans</w:t>
      </w:r>
      <w:r>
        <w:rPr>
          <w:color w:val="000000"/>
        </w:rPr>
        <w:t xml:space="preserve">” </w:t>
      </w:r>
      <w:r>
        <w:rPr>
          <w:rFonts w:ascii="Times New Roman;sans-serif" w:hAnsi="Times New Roman;sans-serif"/>
          <w:b w:val="false"/>
          <w:color w:val="000000"/>
          <w:sz w:val="20"/>
        </w:rPr>
        <w:t>means one or more Classes of Term Loans that result from a Refinancing Amendment or a Loan Modification Agreement, including the 2024 Refinancing Term Loans which shall constitute a separate Class of Term Loans.</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Other Revolving Commitments</w:t>
      </w:r>
      <w:r>
        <w:rPr>
          <w:color w:val="000000"/>
        </w:rPr>
        <w:t xml:space="preserve">” </w:t>
      </w:r>
      <w:r>
        <w:rPr>
          <w:rFonts w:ascii="Times New Roman;sans-serif" w:hAnsi="Times New Roman;sans-serif"/>
          <w:b w:val="false"/>
          <w:color w:val="000000"/>
          <w:sz w:val="20"/>
        </w:rPr>
        <w:t>means one or more Classes of Revolving Commitments hereunder or extended Revolving Commitments that result from a Refinancing Amendment or a Loan Modification Agreement.</w:t>
      </w:r>
    </w:p>
    <w:p>
      <w:pPr>
        <w:pStyle w:val="TextBody"/>
        <w:bidi w:val="0"/>
        <w:spacing w:before="11"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Other Revolving Loans</w:t>
      </w:r>
      <w:r>
        <w:rPr>
          <w:color w:val="000000"/>
        </w:rPr>
        <w:t xml:space="preserve">” </w:t>
      </w:r>
      <w:r>
        <w:rPr>
          <w:rFonts w:ascii="Times New Roman;sans-serif" w:hAnsi="Times New Roman;sans-serif"/>
          <w:b w:val="false"/>
          <w:color w:val="000000"/>
          <w:sz w:val="20"/>
        </w:rPr>
        <w:t>means one or more classes of Revolving Loans made pursuant to any Other Revolving Commitment or a Loan Modification Agreement.</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Other Taxes</w:t>
      </w:r>
      <w:r>
        <w:rPr>
          <w:color w:val="000000"/>
        </w:rPr>
        <w:t xml:space="preserve">” </w:t>
      </w:r>
      <w:r>
        <w:rPr>
          <w:rFonts w:ascii="Times New Roman;sans-serif" w:hAnsi="Times New Roman;sans-serif"/>
          <w:b w:val="false"/>
          <w:color w:val="000000"/>
          <w:sz w:val="20"/>
        </w:rPr>
        <w:t>means any and all present or future recording, stamp, documentary, excise, transfer, sales, property or similar Taxes, charges or levies arising from any payment made under any First Lien Loan Document or from the execution, delivery or enforcement of, or otherwise with respect to, any First Lien Loan Document.</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Overnight Bank Funding Rate</w:t>
      </w:r>
      <w:r>
        <w:rPr>
          <w:color w:val="000000"/>
        </w:rPr>
        <w:t xml:space="preserve">” </w:t>
      </w:r>
      <w:r>
        <w:rPr>
          <w:rFonts w:ascii="Times New Roman;sans-serif" w:hAnsi="Times New Roman;sans-serif"/>
          <w:b w:val="false"/>
          <w:color w:val="000000"/>
          <w:sz w:val="20"/>
        </w:rPr>
        <w:t>means, for any day, the rate comprised of both overnight federal funds and overnight eurodollar transactions denominated in Dollars by U.S.-managed banking offices of depository institutions, as such composite rate shall be determined by the Federal Reserve Bank of New York as set forth on the NYFRB’s Website from time to time, and published on the next succeeding Business Day by the Federal Reserve Bank of New York as an overnight bank funding rate.</w:t>
      </w:r>
    </w:p>
    <w:p>
      <w:pPr>
        <w:pStyle w:val="TextBody"/>
        <w:bidi w:val="0"/>
        <w:spacing w:before="12" w:after="283"/>
        <w:jc w:val="left"/>
        <w:rPr/>
      </w:pPr>
      <w:r>
        <w:rPr/>
      </w:r>
    </w:p>
    <w:p>
      <w:pPr>
        <w:pStyle w:val="TextBody"/>
        <w:bidi w:val="0"/>
        <w:spacing w:lineRule="auto" w:line="568" w:before="0" w:after="0"/>
        <w:jc w:val="left"/>
        <w:rPr/>
      </w:pPr>
      <w:r>
        <w:rPr>
          <w:color w:val="000000"/>
        </w:rPr>
        <w:t>“</w:t>
      </w:r>
      <w:r>
        <w:rPr>
          <w:rFonts w:ascii="Times New Roman;sans-serif" w:hAnsi="Times New Roman;sans-serif"/>
          <w:b w:val="false"/>
          <w:color w:val="000000"/>
          <w:sz w:val="20"/>
          <w:u w:val="single"/>
        </w:rPr>
        <w:t>Participant</w:t>
      </w:r>
      <w:r>
        <w:rPr>
          <w:color w:val="000000"/>
        </w:rPr>
        <w:t xml:space="preserve">” </w:t>
      </w:r>
      <w:r>
        <w:rPr>
          <w:rFonts w:ascii="Times New Roman;sans-serif" w:hAnsi="Times New Roman;sans-serif"/>
          <w:b w:val="false"/>
          <w:color w:val="000000"/>
          <w:sz w:val="20"/>
        </w:rPr>
        <w:t>has the meaning assigned to such term in Section 9.04(c)(i). “</w:t>
      </w:r>
      <w:r>
        <w:rPr>
          <w:rFonts w:ascii="Times New Roman;sans-serif" w:hAnsi="Times New Roman;sans-serif"/>
          <w:b w:val="false"/>
          <w:color w:val="000000"/>
          <w:sz w:val="20"/>
          <w:u w:val="single"/>
        </w:rPr>
        <w:t>Participant Register</w:t>
      </w:r>
      <w:r>
        <w:rPr>
          <w:color w:val="000000"/>
        </w:rPr>
        <w:t xml:space="preserve">” </w:t>
      </w:r>
      <w:r>
        <w:rPr>
          <w:rFonts w:ascii="Times New Roman;sans-serif" w:hAnsi="Times New Roman;sans-serif"/>
          <w:b w:val="false"/>
          <w:color w:val="000000"/>
          <w:sz w:val="20"/>
        </w:rPr>
        <w:t>has the meaning assigned to such term in Section 9.04(c)(ii).</w:t>
      </w:r>
    </w:p>
    <w:p>
      <w:pPr>
        <w:pStyle w:val="TextBody"/>
        <w:bidi w:val="0"/>
        <w:spacing w:lineRule="auto" w:line="568" w:before="0" w:after="0"/>
        <w:jc w:val="left"/>
        <w:rPr/>
      </w:pPr>
      <w:r>
        <w:rPr>
          <w:color w:val="000000"/>
        </w:rPr>
        <w:t>“</w:t>
      </w:r>
      <w:r>
        <w:rPr>
          <w:rFonts w:ascii="Times New Roman;sans-serif" w:hAnsi="Times New Roman;sans-serif"/>
          <w:b w:val="false"/>
          <w:color w:val="000000"/>
          <w:sz w:val="20"/>
          <w:u w:val="single"/>
        </w:rPr>
        <w:t>Participating Lender</w:t>
      </w:r>
      <w:r>
        <w:rPr>
          <w:color w:val="000000"/>
        </w:rPr>
        <w:t xml:space="preserve">” </w:t>
      </w:r>
      <w:r>
        <w:rPr>
          <w:rFonts w:ascii="Times New Roman;sans-serif" w:hAnsi="Times New Roman;sans-serif"/>
          <w:b w:val="false"/>
          <w:color w:val="000000"/>
          <w:sz w:val="20"/>
        </w:rPr>
        <w:t>has the meaning assigned to such term in Section 2.11(a)(ii)(C)(2). “</w:t>
      </w:r>
      <w:r>
        <w:rPr>
          <w:rFonts w:ascii="Times New Roman;sans-serif" w:hAnsi="Times New Roman;sans-serif"/>
          <w:b w:val="false"/>
          <w:color w:val="000000"/>
          <w:sz w:val="20"/>
          <w:u w:val="single"/>
        </w:rPr>
        <w:t>Patent</w:t>
      </w:r>
      <w:r>
        <w:rPr>
          <w:color w:val="000000"/>
        </w:rPr>
        <w:t xml:space="preserve">” </w:t>
      </w:r>
      <w:r>
        <w:rPr>
          <w:rFonts w:ascii="Times New Roman;sans-serif" w:hAnsi="Times New Roman;sans-serif"/>
          <w:b w:val="false"/>
          <w:color w:val="000000"/>
          <w:sz w:val="20"/>
        </w:rPr>
        <w:t>has the meaning assigned to such term in the First Lien Collateral Agreement. "</w:t>
      </w:r>
      <w:r>
        <w:rPr>
          <w:rFonts w:ascii="Times New Roman;sans-serif" w:hAnsi="Times New Roman;sans-serif"/>
          <w:b w:val="false"/>
          <w:color w:val="000000"/>
          <w:sz w:val="20"/>
          <w:u w:val="single"/>
        </w:rPr>
        <w:t>Payment Recipient</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9.22(a)</w:t>
      </w:r>
      <w:r>
        <w:rPr>
          <w:rFonts w:ascii="Times New Roman;sans-serif" w:hAnsi="Times New Roman;sans-serif"/>
          <w:b w:val="false"/>
          <w:color w:val="000000"/>
          <w:sz w:val="20"/>
        </w:rPr>
        <w:t>.</w: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PBGC</w:t>
      </w:r>
      <w:r>
        <w:rPr>
          <w:color w:val="000000"/>
        </w:rPr>
        <w:t xml:space="preserve">” </w:t>
      </w:r>
      <w:r>
        <w:rPr>
          <w:rFonts w:ascii="Times New Roman;sans-serif" w:hAnsi="Times New Roman;sans-serif"/>
          <w:b w:val="false"/>
          <w:color w:val="000000"/>
          <w:sz w:val="20"/>
        </w:rPr>
        <w:t>means the Pension Benefit Guaranty Corporation referred to and defined in ERISA and any successor entity performing similar functions.</w:t>
      </w:r>
    </w:p>
    <w:p>
      <w:pPr>
        <w:pStyle w:val="TextBody"/>
        <w:bidi w:val="0"/>
        <w:spacing w:before="6"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Perfection Certificate</w:t>
      </w:r>
      <w:r>
        <w:rPr>
          <w:color w:val="000000"/>
        </w:rPr>
        <w:t xml:space="preserve">” </w:t>
      </w:r>
      <w:r>
        <w:rPr>
          <w:rFonts w:ascii="Times New Roman;sans-serif" w:hAnsi="Times New Roman;sans-serif"/>
          <w:b w:val="false"/>
          <w:color w:val="000000"/>
          <w:sz w:val="20"/>
        </w:rPr>
        <w:t>means a certificate substantially in the form of Exhibit C.</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1155"/>
                <wp:effectExtent l="0" t="0" r="0" b="0"/>
                <wp:wrapNone/>
                <wp:docPr id="129" name="Frame1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Periodic Term CORRA Determination Day</w:t>
      </w:r>
      <w:r>
        <w:rPr>
          <w:color w:val="000000"/>
        </w:rPr>
        <w:t xml:space="preserve">” </w:t>
      </w:r>
      <w:r>
        <w:rPr>
          <w:rFonts w:ascii="Times New Roman;sans-serif" w:hAnsi="Times New Roman;sans-serif"/>
          <w:b w:val="false"/>
          <w:color w:val="000000"/>
          <w:sz w:val="20"/>
        </w:rPr>
        <w:t>has the meaning assigned to such term in the definition of “Term CORRA”.</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Permitted Acquisition</w:t>
      </w:r>
      <w:r>
        <w:rPr>
          <w:color w:val="000000"/>
        </w:rPr>
        <w:t xml:space="preserve">” </w:t>
      </w:r>
      <w:r>
        <w:rPr>
          <w:rFonts w:ascii="Times New Roman;sans-serif" w:hAnsi="Times New Roman;sans-serif"/>
          <w:b w:val="false"/>
          <w:color w:val="000000"/>
          <w:sz w:val="20"/>
        </w:rPr>
        <w:t xml:space="preserve">means the purchase or other acquisition, by merger, amalgamation, consolidation or otherwise, by the Borrower or any Subsidiary of any Equity Interests in, or all or substantially all the assets of (or all or substantially all the assets constituting a business unit, division, product line or line of business of), any Person;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 in the case of any purchase or other acquisition of Equity Interests in a Person, (i) such Person, upon the consummation of such purchase or acquisition, will be a Subsidiary (including as a result of a merger, amalgamation or consolidation between any Subsidiary and such Person), or (ii) such Person is merged or amalgamated into or consolidated with a Subsidiary and such Subsidiary is the surviving entity of such merger, amalgamation or consolidation, (b) the business of such Person, or such assets, as the case may be, constitute a business permitted by Section 5.16, (c) with respect to each such purchase or other acquisition, all actions required to be taken with respect to such newly created or acquired Subsidiary (including each subsidiary thereof) or assets in order to satisfy the requirements set forth in clauses (a), (b), (c) and (d) of the definition of the term “Collateral and Guarantee Requirement” to the extent applicable shall have been taken (or arrangements for the taking of such actions after the consummation of the Permitted Acquisition shall have been made that are reasonably satisfactory to the First Lien Administrative Agent) (unless such newly created or acquired Subsidiary is designated as an Unrestricted Subsidiary pursuant to Section 5.13 or is otherwise an Excluded Subsidiary) and (d) subject to Section 1.06, after giving Pro Forma Effect to any such purchase or other acquisition, no Event of Default shall have occurred and be continuing.</w:t>
      </w:r>
    </w:p>
    <w:p>
      <w:pPr>
        <w:pStyle w:val="TextBody"/>
        <w:bidi w:val="0"/>
        <w:spacing w:before="13"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Permitted Amendment</w:t>
      </w:r>
      <w:r>
        <w:rPr>
          <w:color w:val="000000"/>
        </w:rPr>
        <w:t xml:space="preserve">” </w:t>
      </w:r>
      <w:r>
        <w:rPr>
          <w:rFonts w:ascii="Times New Roman;sans-serif" w:hAnsi="Times New Roman;sans-serif"/>
          <w:b w:val="false"/>
          <w:color w:val="000000"/>
          <w:sz w:val="20"/>
        </w:rPr>
        <w:t>means an amendment to this Agreement and, if applicable the other First Lien Loan Documents, effected in connection with a Loan Modification Offer pursuant to Section 2.24, providing for an extension of a maturity date applicable to the Loans and/or Commitments of the Accepting Lenders and, in connection therewith, (a) a change in the Applicable Rate with respect to the Loans and/or Commitments of the Accepting Lenders and/or (b) a change in the fees payable to, or the inclusion of new fees to be payable to, the Accepting Lenders and/or (c) additional or modified covenants, events of default, guarantees or other provisions applicable only to periods after the Latest Maturity Date at the time of such Loan Modification Offer (it being understood that to the extent that any covenant, event of default, guarantee or other provision is added or modified for the benefit of any such Loans and/or Commitments, no consent shall be required by the First Lien Administrative Agent or any of the Lenders if such covenant, event of default, guarantee or other provision is either (i) also added or modified for the benefit of any corresponding Loans remaining outstanding after the issuance or incurrence of such Loans and/or Commitments,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also added for the benefit of each revolving credit facility hereunder (and not for the benefit of any term loan facility hereunder) or (iii) only applicable after the Latest Maturity Date at the time of such Loan Modification Offer).</w:t>
      </w:r>
    </w:p>
    <w:p>
      <w:pPr>
        <w:pStyle w:val="TextBody"/>
        <w:bidi w:val="0"/>
        <w:spacing w:before="17"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Permitted Encumbrances</w:t>
      </w:r>
      <w:r>
        <w:rPr>
          <w:color w:val="000000"/>
        </w:rPr>
        <w:t xml:space="preserve">” </w:t>
      </w:r>
      <w:r>
        <w:rPr>
          <w:rFonts w:ascii="Times New Roman;sans-serif" w:hAnsi="Times New Roman;sans-serif"/>
          <w:b w:val="false"/>
          <w:color w:val="000000"/>
          <w:sz w:val="20"/>
        </w:rPr>
        <w:t>means:</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(a)Liens for Taxes, assessments or governmental charges that are (i) not overdue for a period of the greater of (x) 30 days and (y) any applicable grace period related thereto or otherwise not at such time required to be paid pursuant to Section 5.05 or (ii) being contested in good faith and by appropriate proceedings diligently conducted, if adequate reserves with respect thereto are maintained on the books of the applicable Person in accordance with GAAP (or other applicable accounting principles);</w:t>
      </w:r>
    </w:p>
    <w:p>
      <w:pPr>
        <w:pStyle w:val="TextBody"/>
        <w:bidi w:val="0"/>
        <w:spacing w:before="12" w:after="283"/>
        <w:jc w:val="left"/>
        <w:rPr/>
      </w:pPr>
      <w:r>
        <w:rPr/>
      </w:r>
    </w:p>
    <w:p>
      <w:pPr>
        <w:pStyle w:val="TextBody"/>
        <w:bidi w:val="0"/>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(b)Liens with respect to outstanding motor vehicle fines and Liens arising or imposed by law, such as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1155"/>
                <wp:effectExtent l="0" t="0" r="0" b="0"/>
                <wp:wrapNone/>
                <wp:docPr id="130" name="Frame1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applicable Person in accordance with GAAP, in each case so long as such Liens do not individually or in the aggregate have a Material Adverse Effect;</w:t>
      </w:r>
    </w:p>
    <w:p>
      <w:pPr>
        <w:pStyle w:val="TextBody"/>
        <w:bidi w:val="0"/>
        <w:spacing w:before="14"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(c)Liens incurred or deposits made in the ordinary course of business (i) in connection with workers’ compensation, unemployment insurance, social security, retirement and other similar legislation or</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(ii) securing liability for reimbursement or indemnification obligations of (including obligations in respect of letters of credit or bank guarantees or similar instrument for the benefit of) insurance carriers providing property, casualty or liability insurance to the Borrower or any Restricted Subsidiary or otherwise supporting the payment of items set forth in the foregoing clause (i), whether pursuant to statutory requirements, common law or consensual arrangements;</w:t>
      </w:r>
    </w:p>
    <w:p>
      <w:pPr>
        <w:pStyle w:val="TextBody"/>
        <w:bidi w:val="0"/>
        <w:spacing w:before="12" w:after="283"/>
        <w:jc w:val="left"/>
        <w:rPr/>
      </w:pPr>
      <w:r>
        <w:rPr/>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(d)Liens incurred or deposits made to secure the performance of bids, trade contracts, governmental contracts and leases, statutory obligations, surety, stay, customs and appeal bonds, return-of-money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 whether pursuant to statutory requirements, common law or consensual arrangements;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(e)minor survey exceptions, minor encumbrances, covenants, conditions, easements, rights-of-way, restrictions, encroachments, protrusions, by-law, regulation or zoning restrictions, reservations of or rights of others for sewers, electric lines, telegraph and telephone lines and other similar purposes and other similar encumbrances and minor title defects or irregularities affecting real property, that, in the aggregate, do not materially interfere with the ordinary conduct of the business of the Borrower and its Restricted Subsidiaries, taken as a whole, or which are set forth in the title insurance policy delivered with respect to the Mortgaged Property and are “insured over” in such insurance policy;</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(f)Liens securing, or otherwise arising from, judgments not constituting an Event of Default under Section 7.01(j);</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(g)Liens on goods the purchase price of which is financed by a documentary letter of credit issued for the account of the Borrower or any of its Subsidiaries or Liens on bills of lading, drafts or other documents of title arising by operation of law or pursuant to the standard terms of agreements relating to letters of credit, bank guarantees and other similar instruments;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such Lien secures only the obligations of the Borrower or such Subsidiaries in respect of such letter of credit to the extent such obligations are permitted by Section 6.01;</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(h)Liens arising from precautionary Uniform Commercial Code financing statements or similar filings made in respect of operating leases entered into by the Borrower or any of its Subsidiaries;</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(i)rights of recapture of unused real property (other than any Mortgaged Property) in favor of the seller of such property set forth in customary purchase agreements and related arrangements with any Governmental Authority;</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(j)Liens in favor of deposit banks or securities intermediaries securing customary fees, expenses or charges in connection with the establishment, operation or maintenance of deposit accounts or securities accounts;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(k)Liens in favor of obligations in respect of performance, bid, appeal and surety bonds and performance and completion guarantees and similar obligations provided by the Borrower or any of the Restricted Subsidiaries or obligations in respect of letters of credit, bank guarantees or similar instruments related thereto, in each case in the ordinary course of business or consistent with past practice;</w:t>
      </w:r>
    </w:p>
    <w:p>
      <w:pPr>
        <w:pStyle w:val="TextBody"/>
        <w:bidi w:val="0"/>
        <w:spacing w:before="12"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51155"/>
                <wp:effectExtent l="0" t="0" r="0" b="0"/>
                <wp:wrapNone/>
                <wp:docPr id="131" name="Frame1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(l)Liens arising from grants of non-exclusive licenses or sublicenses of Intellectual Property made in the ordinary course of business;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(m)rights of setoff, banker’s lien, netting agreements and other Liens arising by operation of law or by of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w:t>
      </w:r>
    </w:p>
    <w:p>
      <w:pPr>
        <w:pStyle w:val="TextBody"/>
        <w:bidi w:val="0"/>
        <w:spacing w:before="11" w:after="283"/>
        <w:jc w:val="left"/>
        <w:rPr/>
      </w:pPr>
      <w:r>
        <w:rPr/>
      </w:r>
    </w:p>
    <w:p>
      <w:pPr>
        <w:pStyle w:val="TextBody"/>
        <w:bidi w:val="0"/>
        <w:spacing w:lineRule="auto" w:line="288" w:before="0" w:after="0"/>
        <w:ind w:left="0" w:right="0" w:firstLine="769"/>
        <w:jc w:val="both"/>
        <w:rPr>
          <w:rFonts w:ascii="Times New Roman;sans-serif" w:hAnsi="Times New Roman;sans-serif"/>
          <w:b w:val="false"/>
          <w:color w:val="000000"/>
          <w:sz w:val="20"/>
        </w:rPr>
      </w:pPr>
      <w:r>
        <w:rPr>
          <w:rFonts w:ascii="Times New Roman;sans-serif" w:hAnsi="Times New Roman;sans-serif"/>
          <w:b w:val="false"/>
          <w:color w:val="000000"/>
          <w:sz w:val="20"/>
        </w:rPr>
        <w:t>(n)Liens arising from the right of distress enjoyed by landlords or Liens otherwise granted to landlords, in either case, to secure the payment of arrears of rent or performance of other tenant obligations in respect of leased properties, so long as such Liens are not exercised;</w:t>
      </w:r>
    </w:p>
    <w:p>
      <w:pPr>
        <w:pStyle w:val="TextBody"/>
        <w:bidi w:val="0"/>
        <w:spacing w:before="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(o)securities to public utilities or to any Governmental Authority when required by the utility or other authority in connection with the supply of services or utilities to the Borrower and any Restricted Subsidiaries;</w:t>
      </w:r>
    </w:p>
    <w:p>
      <w:pPr>
        <w:pStyle w:val="TextBody"/>
        <w:bidi w:val="0"/>
        <w:spacing w:before="0" w:after="0"/>
        <w:jc w:val="left"/>
        <w:rPr/>
      </w:pPr>
      <w:r>
        <w:rPr/>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(p)servicing agreements, development agreements, site plan agreements and other agreements with any Governmental Authority pertaining to the use or development of any of the assets of the Person, provided same are complied with in all material respects and do not materially reduce the value of the assets of the Person or materially interfere with the use of such assets in the operation of the business of such Person;</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(q)operating leases of vehicles or equipment which are entered into in the ordinary course of business;</w:t>
      </w:r>
    </w:p>
    <w:p>
      <w:pPr>
        <w:pStyle w:val="TextBody"/>
        <w:bidi w:val="0"/>
        <w:spacing w:before="11" w:after="283"/>
        <w:jc w:val="left"/>
        <w:rPr/>
      </w:pPr>
      <w:r>
        <w:rPr/>
      </w:r>
    </w:p>
    <w:p>
      <w:pPr>
        <w:pStyle w:val="TextBody"/>
        <w:bidi w:val="0"/>
        <w:spacing w:lineRule="auto" w:line="288" w:before="0" w:after="0"/>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(r)Liens securing Priority Obligations;</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(s)receipt of progress payments and advances from customers in the ordinary course of business to the extent the same creates a Lien on the related inventory and proceeds thereof;</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(t)any zoning, building or similar law or right reserved to or vested in any Governmental Authority to control or regulate the use of any real property; and</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(u)leases, licenses, subleases or sublicenses granted to others that do not (A) interfere in any material respect with the business of the Borrower and its Restricted Subsidiaries, taken as a whole, or</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secure any Indebtedness;</w:t>
      </w:r>
    </w:p>
    <w:p>
      <w:pPr>
        <w:pStyle w:val="TextBody"/>
        <w:bidi w:val="0"/>
        <w:spacing w:before="10" w:after="283"/>
        <w:jc w:val="left"/>
        <w:rPr/>
      </w:pPr>
      <w:r>
        <w:rPr/>
      </w:r>
    </w:p>
    <w:p>
      <w:pPr>
        <w:pStyle w:val="TextBody"/>
        <w:bidi w:val="0"/>
        <w:spacing w:lineRule="auto" w:line="288" w:before="1" w:after="283"/>
        <w:jc w:val="both"/>
        <w:rPr/>
      </w:pP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term “Permitted Encumbrances” shall not include any Lien securing Indebtedness for borrowed money other than Liens referred to in clauses (d) and (k) above securing obligations under letters of credit or bank guarantees or similar instruments related thereto and in clause (g) above, in each case to the extent any such Lien would constitute a Lien securing Indebtedness for borrowed money.</w:t>
      </w:r>
    </w:p>
    <w:p>
      <w:pPr>
        <w:pStyle w:val="TextBody"/>
        <w:bidi w:val="0"/>
        <w:spacing w:before="11"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Permitted First Priority Refinancing Debt</w:t>
      </w:r>
      <w:r>
        <w:rPr>
          <w:color w:val="000000"/>
        </w:rPr>
        <w:t xml:space="preserve">” </w:t>
      </w:r>
      <w:r>
        <w:rPr>
          <w:rFonts w:ascii="Times New Roman;sans-serif" w:hAnsi="Times New Roman;sans-serif"/>
          <w:b w:val="false"/>
          <w:color w:val="000000"/>
          <w:sz w:val="20"/>
        </w:rPr>
        <w:t xml:space="preserve">means any secured Indebtedness incurred by the Borrower and/or any Subsidiary Loan Party (and any Guarantee thereof by Holdings or any Intermediate Parent) in the form of one or more series of senior secured notes or senior secured loans;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 such Indebtedness is an ABL Facility or is secured by the Collateral (and no other assets which are not Collateral) on a pari passu basis (but without regard to the control of remedies) with the Secured Obligations, (ii) such Indebtedness constitutes Credit Agreement Refinancing Indebtedness, (iii)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(iv) such Indebtedness is not guaranteed by an entity that is not a Loan Party and (y) a Senior Representative acting on behalf of the holders of such Indebtedness shall have become party to (1) a Customary Intercreditor Agreement providing that the Liens on the Collateral securing such obligations shall rank equal in priority to the Liens on the Collateral securing the First Lien Loan Document Obligations and (2) if applicable, the First/Second Lien Intercreditor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1155"/>
                <wp:effectExtent l="0" t="0" r="0" b="0"/>
                <wp:wrapNone/>
                <wp:docPr id="132" name="Frame1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Agreement. Permitted First Priority Refinancing Debt will include any Registered Equivalent Notes issued in exchange therefor.</w:t>
      </w:r>
    </w:p>
    <w:p>
      <w:pPr>
        <w:pStyle w:val="TextBody"/>
        <w:bidi w:val="0"/>
        <w:spacing w:before="16"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Permitted Holders</w:t>
      </w:r>
      <w:r>
        <w:rPr>
          <w:color w:val="000000"/>
        </w:rPr>
        <w:t xml:space="preserve">” </w:t>
      </w:r>
      <w:r>
        <w:rPr>
          <w:rFonts w:ascii="Times New Roman;sans-serif" w:hAnsi="Times New Roman;sans-serif"/>
          <w:b w:val="false"/>
          <w:color w:val="000000"/>
          <w:sz w:val="20"/>
        </w:rPr>
        <w:t>means (a) the Sponsor, (b) the Management Investors, (c) any Person who is acting solely as an underwriter in connection with a public or private offering of Equity Interests of any parent entity of the Borrower or the Borrower, acting in such capacity and (d) any group (within the meaning of Section 13(d)(3) or Section 14(d)(2) of the Exchange Act or any successor provision) of which any of the foregoing are members if a majority of the Equity Interests owned by the group is owned by Permitted Holders under clause (a) or (b) above.</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Permitted Investments</w:t>
      </w:r>
      <w:r>
        <w:rPr>
          <w:color w:val="000000"/>
        </w:rPr>
        <w:t xml:space="preserve">” </w:t>
      </w:r>
      <w:r>
        <w:rPr>
          <w:rFonts w:ascii="Times New Roman;sans-serif" w:hAnsi="Times New Roman;sans-serif"/>
          <w:b w:val="false"/>
          <w:color w:val="000000"/>
          <w:sz w:val="20"/>
        </w:rPr>
        <w:t>means any of the following, to the extent owned by the Borrower or any Restricted Subsidiary:</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(a)Dollars, Euros, Canadian Dollars, pounds sterling or such other currencies held by it from time to time in the ordinary course of business;</w:t>
      </w:r>
    </w:p>
    <w:p>
      <w:pPr>
        <w:pStyle w:val="TextBody"/>
        <w:bidi w:val="0"/>
        <w:spacing w:before="0" w:after="0"/>
        <w:jc w:val="right"/>
        <w:rPr/>
      </w:pPr>
      <w:r>
        <w:rPr/>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(b)readily marketable obligations issued or directly and fully guaranteed or insured by the government or any agency or instrumentality of (i) the United States, (ii) the United Kingdom, (iii) Canada,</w:t>
      </w:r>
    </w:p>
    <w:p>
      <w:pPr>
        <w:pStyle w:val="TextBody"/>
        <w:bidi w:val="0"/>
        <w:spacing w:lineRule="auto" w:line="288" w:before="1" w:after="283"/>
        <w:jc w:val="both"/>
        <w:rPr/>
      </w:pPr>
      <w:r>
        <w:rPr>
          <w:rFonts w:ascii="Times New Roman;sans-serif" w:hAnsi="Times New Roman;sans-serif"/>
          <w:b w:val="false"/>
          <w:color w:val="000000"/>
          <w:sz w:val="20"/>
        </w:rPr>
        <w:t xml:space="preserve">(iv) Switzerland or (v) any member nation of the European Union rated A (or the equivalent thereof) or better by S&amp;P and A2 (or the equivalent thereof) or better by Moody’s, having average maturities of not more than 24 months from the date of acquisition thereof;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full faith and credit of such country or such member nation of the European Union is pledged in support thereof;</w:t>
      </w:r>
    </w:p>
    <w:p>
      <w:pPr>
        <w:pStyle w:val="TextBody"/>
        <w:bidi w:val="0"/>
        <w:spacing w:before="12"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(c)time deposits with, or insured certificates of deposit or bankers’ acceptances of, any commercial bank that (i) is a Lender or (ii) has combined capital and surplus of at least (x) $250,000,000 in the case of U.S. banks or (y) $100,000,000 in the case of non-U.S. banks, or the U.S. dollar equivalent (any such bank in the foregoing clauses (i) or (ii) being an “</w:t>
      </w:r>
      <w:r>
        <w:rPr>
          <w:rFonts w:ascii="Times New Roman;sans-serif" w:hAnsi="Times New Roman;sans-serif"/>
          <w:b w:val="false"/>
          <w:color w:val="000000"/>
          <w:sz w:val="20"/>
          <w:u w:val="single"/>
        </w:rPr>
        <w:t>Approved Bank</w:t>
      </w:r>
      <w:r>
        <w:rPr>
          <w:color w:val="000000"/>
        </w:rPr>
        <w:t>”</w:t>
      </w:r>
      <w:r>
        <w:rPr>
          <w:rFonts w:ascii="Times New Roman;sans-serif" w:hAnsi="Times New Roman;sans-serif"/>
          <w:b w:val="false"/>
          <w:color w:val="000000"/>
          <w:sz w:val="20"/>
        </w:rPr>
        <w:t>), in each case with average maturities of not more than 12 months from the date of acquisition thereof;</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pStyle w:val="TextBody"/>
        <w:bidi w:val="0"/>
        <w:spacing w:before="11"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(e)repurchase agreements entered into by any Person with an Approved Bank, a bank or trust company (including any of the Lenders) or recognized securities dealer, in each case, having capital and surplus in excess of $250,000,000 or its equivalent for direct obligations issued by or fully guaranteed or insured by the government or any agency or instrumentality of (i) the United States, (ii) Canada, (iii) 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(f)marketable short-term money market and similar highly liquid funds either (i) having assets in excess of $250,000,000 or its equivalent, or (ii) having a rating of at least A-2 or P-2 from either S&amp;P or Moody’s (or, if at any time neither S&amp;P nor Moody’s shall be rating such obligations, an equivalent rating from another nationally recognized rating service);</w:t>
      </w:r>
    </w:p>
    <w:p>
      <w:pPr>
        <w:pStyle w:val="TextBody"/>
        <w:bidi w:val="0"/>
        <w:spacing w:before="12" w:after="283"/>
        <w:jc w:val="left"/>
        <w:rPr/>
      </w:pPr>
      <w:r>
        <w:rPr/>
      </w:r>
    </w:p>
    <w:p>
      <w:pPr>
        <w:pStyle w:val="TextBody"/>
        <w:bidi w:val="0"/>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(g)securities with average maturities of 12 months or less from the date of acquisition issued or fully guaranteed by any state, commonwealth or territory of the United States, Canada, Switzerland, the United Kingdom, a member of the European Union or by any political subdivision or taxing authority of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1155"/>
                <wp:effectExtent l="0" t="0" r="0" b="0"/>
                <wp:wrapNone/>
                <wp:docPr id="133" name="Frame1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such state, member, commonwealth or territory having an investment grade rating from either S&amp;P or Moody’s (or the equivalent thereof);</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(h)investments with average maturities of 12 months or less from the date of acquisition in mutual funds rated AAA- (or the equivalent thereof) or better by S&amp;P or Aaa3 (or the equivalent thereof) or better by Moody’s;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pStyle w:val="TextBody"/>
        <w:bidi w:val="0"/>
        <w:spacing w:before="12" w:after="283"/>
        <w:jc w:val="left"/>
        <w:rPr/>
      </w:pPr>
      <w:r>
        <w:rPr/>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(j)investments, classified in accordance with GAAP as current assets of the Borrower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clauses (a) through (i) of this definition;</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(k)with respect to any Subsidiary that is organized under the laws of a jurisdiction other than the United States of America, any State, commonwealth or territory thereof or the District of Columbia: (i) obligations of the national government of the country in which such Subsidiary maintains its chief executive office and principal place of business;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such country is a member of the Organization for Economic Cooperation and Development, in each case maturing within one year after the date of investment therein,</w:t>
      </w:r>
    </w:p>
    <w:p>
      <w:pPr>
        <w:pStyle w:val="TextBody"/>
        <w:bidi w:val="0"/>
        <w:spacing w:lineRule="auto" w:line="288" w:before="2" w:after="283"/>
        <w:jc w:val="both"/>
        <w:rPr/>
      </w:pPr>
      <w:r>
        <w:rPr>
          <w:rFonts w:ascii="Times New Roman;sans-serif" w:hAnsi="Times New Roman;sans-serif"/>
          <w:b w:val="false"/>
          <w:color w:val="000000"/>
          <w:sz w:val="20"/>
        </w:rPr>
        <w:t xml:space="preserve">(ii) certificates of deposit of, bankers acceptances of, or time deposits with, any commercial bank which is organized and existing under the laws of the country in which such Subsidiary maintains its chief executive office and principal place of business;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sans-serif" w:hAnsi="Times New Roman;sans-serif"/>
          <w:b w:val="false"/>
          <w:color w:val="000000"/>
          <w:sz w:val="20"/>
          <w:u w:val="single"/>
        </w:rPr>
        <w:t>Approved Foreign Bank</w:t>
      </w:r>
      <w:r>
        <w:rPr>
          <w:color w:val="000000"/>
        </w:rPr>
        <w:t>”</w:t>
      </w:r>
      <w:r>
        <w:rPr>
          <w:rFonts w:ascii="Times New Roman;sans-serif" w:hAnsi="Times New Roman;sans-serif"/>
          <w:b w:val="false"/>
          <w:color w:val="000000"/>
          <w:sz w:val="20"/>
        </w:rPr>
        <w:t>), and in each case with maturities of not more than 24 months from the date of acquisition and (iii) the equivalent of demand deposit accounts which are maintained with an Approved Foreign Bank; and</w:t>
      </w:r>
    </w:p>
    <w:p>
      <w:pPr>
        <w:pStyle w:val="TextBody"/>
        <w:bidi w:val="0"/>
        <w:spacing w:before="13" w:after="283"/>
        <w:jc w:val="left"/>
        <w:rPr/>
      </w:pPr>
      <w:r>
        <w:rPr/>
      </w:r>
    </w:p>
    <w:p>
      <w:pPr>
        <w:pStyle w:val="TextBody"/>
        <w:bidi w:val="0"/>
        <w:spacing w:lineRule="auto" w:line="288" w:before="1"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(l)investment funds investing at least 90% of their assets in securities of the types described in clauses (a) through (k) above.</w:t>
      </w:r>
    </w:p>
    <w:p>
      <w:pPr>
        <w:pStyle w:val="TextBody"/>
        <w:bidi w:val="0"/>
        <w:spacing w:before="10" w:after="283"/>
        <w:jc w:val="left"/>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val="false"/>
          <w:color w:val="000000"/>
          <w:sz w:val="20"/>
          <w:u w:val="single"/>
        </w:rPr>
        <w:t>Permitted Intercompany Activities</w:t>
      </w:r>
      <w:r>
        <w:rPr>
          <w:color w:val="000000"/>
        </w:rPr>
        <w:t xml:space="preserve">” </w:t>
      </w:r>
      <w:r>
        <w:rPr>
          <w:rFonts w:ascii="Times New Roman;sans-serif" w:hAnsi="Times New Roman;sans-serif"/>
          <w:b w:val="false"/>
          <w:color w:val="000000"/>
          <w:sz w:val="20"/>
        </w:rPr>
        <w:t>means any transactions (A) between or among the Borrower and its Restricted Subsidiaries that are entered into in the ordinary course of business or consistent with past practice of the Borrower and its Restricted Subsidiaries and, in the reasonable determination of the Borrower are necessary or advisable in connection with the ownership or operation of the business of the Borrower and its Restricted Subsidiaries, including (i) payroll, cash management, purchasing, insurance and hedging arrangements; (ii) management, technology and licensing arrangements; and (iii) customary loyalty and rewards programs or (B) constituting Permitted Tax Restructurings.</w:t>
      </w:r>
    </w:p>
    <w:p>
      <w:pPr>
        <w:pStyle w:val="TextBody"/>
        <w:bidi w:val="0"/>
        <w:spacing w:before="13"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Permitted Refinancing</w:t>
      </w:r>
      <w:r>
        <w:rPr>
          <w:color w:val="000000"/>
        </w:rPr>
        <w:t xml:space="preserve">” </w:t>
      </w:r>
      <w:r>
        <w:rPr>
          <w:rFonts w:ascii="Times New Roman;sans-serif" w:hAnsi="Times New Roman;sans-serif"/>
          <w:b w:val="false"/>
          <w:color w:val="000000"/>
          <w:sz w:val="20"/>
        </w:rPr>
        <w:t xml:space="preserve">means, with respect to any Person, any modification, refinancing, refunding, renewal or extension of any Indebtedness of such Person;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commitments unutilized thereunder;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principal amount (or accreted value, if applicable) may exceed the principal amount (or accreted value, if applicable) of the Indebtedness so modified, refinanced, refunded, renewed or extended to the extent such excess amount (and the terms thereof) is otherwise permitted to be incurred under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1155"/>
                <wp:effectExtent l="0" t="0" r="0" b="0"/>
                <wp:wrapNone/>
                <wp:docPr id="134" name="Frame1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 xml:space="preserve">Section 6.01, (b) other than with respect to a Permitted Refinancing in respect of Indebtedness permitted pursuant to Section 6.01(a)(v),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(c) immediately after giving effect thereto, no Event of Default shall have occurred and be continuing, (d) if the Indebtedness being modified, refinanced, refunded, renewed or extended is subordinated in right of payment to the First Lien Loan Document Obligations, such Indebtedness resulting from such modification, refinancing, refunding, renewal or extension is subordinated in right of payment to the First Lien Loan Document Obligations at least to the same extent as the Indebtedness being modified, refinanced, refunded, renewed or extended, (e) if the Indebtedness being modified, refinanced, refunded, renewed or extended is permitted pursuant to Section 6.01(a)(xxi), such Indebtedness complies with the Required Additional Debt Terms, (f) the primary obligor in respect of, and/or the Persons (if any) that Guarantee the Indebtedness resulting from such modification, refinancing, refunding, renewal or extension are the primary obligor in respect of, and/or Persons (if any) that Guarantee the Indebtedness being modified, refinanced, refunded, renewed or extended and (g) if the Indebtedness being modified, refinanced, refunded, renewed or extended is permitted pursuant to Sections 6.01(a)(vii), 6.01(a)(viii) or 6.01(a)(ix), the Indebtedness resulting from such modification, refinancing, refunding, renewal or extension is (x) unsecured if the Indebtedness being modified, refinanced, refunded, renewed or extended is unsecured or (y) not secured on a more favorable basis than the Indebtedness being modified, refinanced, refunded, renewed or extended if such Indebtedness being modified, refinanced, refunded, renewed or extended is secured. For the avoidance of 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a “Permitted Refinancing” and (y) a Permitted Refinancing may constitute a portion of an issuance of Indebtedness in excess of the amount of such Permitted Refinancing;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such excess includes successive Permitted Refinancings of the same Indebtedness.</w:t>
      </w:r>
    </w:p>
    <w:p>
      <w:pPr>
        <w:pStyle w:val="TextBody"/>
        <w:bidi w:val="0"/>
        <w:spacing w:before="15"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Permitted Second Priority Refinancing Debt</w:t>
      </w:r>
      <w:r>
        <w:rPr>
          <w:color w:val="000000"/>
        </w:rPr>
        <w:t xml:space="preserve">” </w:t>
      </w:r>
      <w:r>
        <w:rPr>
          <w:rFonts w:ascii="Times New Roman;sans-serif" w:hAnsi="Times New Roman;sans-serif"/>
          <w:b w:val="false"/>
          <w:color w:val="000000"/>
          <w:sz w:val="20"/>
        </w:rPr>
        <w:t xml:space="preserve">means any secured Indebtedness incurred by the Borrower and/or any Subsidiary Loan Party (and any Guarantee thereof by Holdings or any Intermediate Parent) in the form of one or more series of junior lien secured notes or junior lien secured loans;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 such Indebtedness is secured by the Collateral on a junior lien, subordinated basis to the Secured Obligations and the obligations in respect of any Permitted First Priority Refinancing Debt, (ii) such Indebtedness constitutes Credit Agreement Refinancing Indebtedness, (iii)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(iv) such Indebtedness is not guaranteed by any entity that is not a Loan Party, (v) the security agreements relating to such Indebtedness are on substantially the same terms as the Security Documents (with such differences as are reasonably satisfactory to the First Lien Administrative Agent) and (vi) a Senior Representative acting on behalf of the holders of such Indebtedness shall have become party to the First/Second Lien Intercreditor Agreement and/or a Customary Intercreditor Agreement, as applicable. Permitted Second Priority Refinancing Debt will include any Registered Equivalent Notes issued in exchange therefor.</w:t>
      </w:r>
    </w:p>
    <w:p>
      <w:pPr>
        <w:pStyle w:val="TextBody"/>
        <w:bidi w:val="0"/>
        <w:spacing w:before="16" w:after="283"/>
        <w:jc w:val="left"/>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val="false"/>
          <w:color w:val="000000"/>
          <w:sz w:val="20"/>
          <w:u w:val="single"/>
        </w:rPr>
        <w:t>Permitted Tax Restructuring</w:t>
      </w:r>
      <w:r>
        <w:rPr>
          <w:color w:val="000000"/>
        </w:rPr>
        <w:t xml:space="preserve">” </w:t>
      </w:r>
      <w:r>
        <w:rPr>
          <w:rFonts w:ascii="Times New Roman;sans-serif" w:hAnsi="Times New Roman;sans-serif"/>
          <w:b w:val="false"/>
          <w:color w:val="000000"/>
          <w:sz w:val="20"/>
        </w:rPr>
        <w:t>means any reorganizations and other activities related to Tax planning and Tax reorganization entered into prior to, on or after the Amendment No. 4 Effective Date so long as such Permitted Tax Restructuring is not materially adverse to the Lenders (as reasonably determined by the Borrower).</w:t>
      </w:r>
    </w:p>
    <w:p>
      <w:pPr>
        <w:pStyle w:val="TextBody"/>
        <w:bidi w:val="0"/>
        <w:spacing w:before="11" w:after="283"/>
        <w:jc w:val="left"/>
        <w:rPr/>
      </w:pPr>
      <w:r>
        <w:rPr/>
      </w:r>
    </w:p>
    <w:p>
      <w:pPr>
        <w:pStyle w:val="TextBody"/>
        <w:bidi w:val="0"/>
        <w:spacing w:lineRule="auto" w:line="288"/>
        <w:ind w:left="0" w:right="0" w:firstLine="1440"/>
        <w:jc w:val="left"/>
        <w:rPr/>
      </w:pPr>
      <w:r>
        <w:rPr>
          <w:color w:val="000000"/>
        </w:rPr>
        <w:t>“</w:t>
      </w:r>
      <w:r>
        <w:rPr>
          <w:rFonts w:ascii="Times New Roman;sans-serif" w:hAnsi="Times New Roman;sans-serif"/>
          <w:b w:val="false"/>
          <w:color w:val="000000"/>
          <w:sz w:val="20"/>
          <w:u w:val="single"/>
        </w:rPr>
        <w:t>Permitted Unsecured Refinancing Debt</w:t>
      </w:r>
      <w:r>
        <w:rPr>
          <w:color w:val="000000"/>
        </w:rPr>
        <w:t xml:space="preserve">” </w:t>
      </w:r>
      <w:r>
        <w:rPr>
          <w:rFonts w:ascii="Times New Roman;sans-serif" w:hAnsi="Times New Roman;sans-serif"/>
          <w:b w:val="false"/>
          <w:color w:val="000000"/>
          <w:sz w:val="20"/>
        </w:rPr>
        <w:t xml:space="preserve">means any unsecured Indebtedness incurred by the Borrower and/or any Loan Party in the form of one or more series of senior unsecured notes or senior unsecured loans;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 such Indebtedness constitutes Credit Agreement Refinancing Indebtedness, (ii)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(iii) if such Indebtedness is guaranteed, such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1155"/>
                <wp:effectExtent l="0" t="0" r="0" b="0"/>
                <wp:wrapNone/>
                <wp:docPr id="135" name="Frame1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Indebtedness is not guaranteed by any entity that is not a Loan Party, and (iv) such Indebtedness is not secured by any Lien on any property or assets of Holdings, Intermediate Parent, the Borrower or any Restricted Subsidiary. Permitted Unsecured Refinancing Debt will include any Registered Equivalent Notes issued in exchange therefor.</w:t>
      </w:r>
    </w:p>
    <w:p>
      <w:pPr>
        <w:pStyle w:val="TextBody"/>
        <w:bidi w:val="0"/>
        <w:spacing w:before="14" w:after="283"/>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0"/>
          <w:u w:val="single"/>
        </w:rPr>
        <w:t>Person</w:t>
      </w:r>
      <w:r>
        <w:rPr>
          <w:color w:val="000000"/>
        </w:rPr>
        <w:t xml:space="preserve">” </w:t>
      </w:r>
      <w:r>
        <w:rPr>
          <w:rFonts w:ascii="Times New Roman;sans-serif" w:hAnsi="Times New Roman;sans-serif"/>
          <w:b w:val="false"/>
          <w:color w:val="000000"/>
          <w:sz w:val="20"/>
        </w:rPr>
        <w:t>means any natural person, corporation, limited liability company, trust, joint venture, association, company, partnership, Governmental Authority or other entity.</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Plan</w:t>
      </w:r>
      <w:r>
        <w:rPr>
          <w:color w:val="000000"/>
        </w:rPr>
        <w:t xml:space="preserve">” </w:t>
      </w:r>
      <w:r>
        <w:rPr>
          <w:rFonts w:ascii="Times New Roman;sans-serif" w:hAnsi="Times New Roman;sans-serif"/>
          <w:b w:val="false"/>
          <w:color w:val="000000"/>
          <w:sz w:val="20"/>
        </w:rPr>
        <w:t>means any employee pension benefit plan as such term is defined in Section 3(2) of ERISA (other than a Multiemployer Plan) subject to the provisions of Title IV of ERISA or Section 412 of the Code or Section 302 of ERISA, and in respect of which a Loan Party or any ERISA Affiliate is an “employer” as defined in Section 3(5) of ERISA.</w:t>
      </w:r>
    </w:p>
    <w:p>
      <w:pPr>
        <w:pStyle w:val="TextBody"/>
        <w:bidi w:val="0"/>
        <w:spacing w:before="12" w:after="283"/>
        <w:jc w:val="left"/>
        <w:rPr/>
      </w:pPr>
      <w:r>
        <w:rPr/>
      </w:r>
    </w:p>
    <w:p>
      <w:pPr>
        <w:pStyle w:val="TextBody"/>
        <w:bidi w:val="0"/>
        <w:spacing w:lineRule="auto" w:line="568" w:before="0" w:after="0"/>
        <w:jc w:val="left"/>
        <w:rPr/>
      </w:pPr>
      <w:r>
        <w:rPr>
          <w:color w:val="000000"/>
        </w:rPr>
        <w:t>“</w:t>
      </w:r>
      <w:r>
        <w:rPr>
          <w:rFonts w:ascii="Times New Roman;sans-serif" w:hAnsi="Times New Roman;sans-serif"/>
          <w:b w:val="false"/>
          <w:color w:val="000000"/>
          <w:sz w:val="20"/>
          <w:u w:val="single"/>
        </w:rPr>
        <w:t>Planned Expenditures</w:t>
      </w:r>
      <w:r>
        <w:rPr>
          <w:color w:val="000000"/>
        </w:rPr>
        <w:t xml:space="preserve">” </w:t>
      </w:r>
      <w:r>
        <w:rPr>
          <w:rFonts w:ascii="Times New Roman;sans-serif" w:hAnsi="Times New Roman;sans-serif"/>
          <w:b w:val="false"/>
          <w:color w:val="000000"/>
          <w:sz w:val="20"/>
        </w:rPr>
        <w:t>has the meaning assigned to such term in Section 2.11(d)(v). “</w:t>
      </w:r>
      <w:r>
        <w:rPr>
          <w:rFonts w:ascii="Times New Roman;sans-serif" w:hAnsi="Times New Roman;sans-serif"/>
          <w:b w:val="false"/>
          <w:color w:val="000000"/>
          <w:sz w:val="20"/>
          <w:u w:val="single"/>
        </w:rPr>
        <w:t>Platform</w:t>
      </w:r>
      <w:r>
        <w:rPr>
          <w:color w:val="000000"/>
        </w:rPr>
        <w:t xml:space="preserve">” </w:t>
      </w:r>
      <w:r>
        <w:rPr>
          <w:rFonts w:ascii="Times New Roman;sans-serif" w:hAnsi="Times New Roman;sans-serif"/>
          <w:b w:val="false"/>
          <w:color w:val="000000"/>
          <w:sz w:val="20"/>
        </w:rPr>
        <w:t>has the meaning assigned to such term in Section 5.01.</w:t>
      </w:r>
    </w:p>
    <w:p>
      <w:pPr>
        <w:pStyle w:val="TextBody"/>
        <w:bidi w:val="0"/>
        <w:spacing w:before="0" w:after="0"/>
        <w:jc w:val="left"/>
        <w:rPr/>
      </w:pPr>
      <w:r>
        <w:rPr/>
      </w:r>
    </w:p>
    <w:p>
      <w:pPr>
        <w:pStyle w:val="TextBody"/>
        <w:bidi w:val="0"/>
        <w:spacing w:lineRule="auto" w:line="568" w:before="0" w:after="0"/>
        <w:jc w:val="left"/>
        <w:rPr/>
      </w:pPr>
      <w:r>
        <w:rPr>
          <w:color w:val="000000"/>
        </w:rPr>
        <w:t>“</w:t>
      </w:r>
      <w:r>
        <w:rPr>
          <w:rFonts w:ascii="Times New Roman;sans-serif" w:hAnsi="Times New Roman;sans-serif"/>
          <w:b w:val="false"/>
          <w:color w:val="000000"/>
          <w:sz w:val="20"/>
          <w:u w:val="single"/>
        </w:rPr>
        <w:t>Post-Transaction Period</w:t>
      </w:r>
      <w:r>
        <w:rPr>
          <w:color w:val="000000"/>
        </w:rPr>
        <w:t xml:space="preserve">” </w:t>
      </w:r>
      <w:r>
        <w:rPr>
          <w:rFonts w:ascii="Times New Roman;sans-serif" w:hAnsi="Times New Roman;sans-serif"/>
          <w:b w:val="false"/>
          <w:color w:val="000000"/>
          <w:sz w:val="20"/>
        </w:rPr>
        <w:t>means, with respect to any Specified Transaction, the period beginning on the date such Specified Transaction is consummated and ending on the last day of the eighth full consecutive fiscal quarter immediately following the date on which such Specified Transaction is consummated.</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Prepayment Event</w:t>
      </w:r>
      <w:r>
        <w:rPr>
          <w:color w:val="000000"/>
        </w:rPr>
        <w:t xml:space="preserve">” </w:t>
      </w:r>
      <w:r>
        <w:rPr>
          <w:rFonts w:ascii="Times New Roman;sans-serif" w:hAnsi="Times New Roman;sans-serif"/>
          <w:b w:val="false"/>
          <w:color w:val="000000"/>
          <w:sz w:val="20"/>
        </w:rPr>
        <w:t>means: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(a)any non-ordinary course sale, transfer or other disposition by the Borrower or any other Loan Party of any of its property or asset that constitutes Collateral permitted by Section 6.05(k) other than dispositions resulting in aggregate Net Proceeds not exceeding (A) $29,000,000 in the case of any single transaction or series of related transactions and (B) $70,000,000 for all such transactions during any fiscal year of the Borrower; or</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(b)the incurrence by the Borrower or any of its Restricted Subsidiaries of any Indebtedness, other than Indebtedness permitted under Section 6.01 (other than Permitted Unsecured Refinancing Debt, Permitted First Priority Refinancing Debt, Permitted Second Priority Refinancing Debt and Other First Lien Term Loans) or permitted by the Required Lenders pursuant to Section 9.02.</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Prime Rate</w:t>
      </w:r>
      <w:r>
        <w:rPr>
          <w:color w:val="000000"/>
        </w:rPr>
        <w:t xml:space="preserve">” </w:t>
      </w:r>
      <w:r>
        <w:rPr>
          <w:rFonts w:ascii="Times New Roman;sans-serif" w:hAnsi="Times New Roman;sans-serif"/>
          <w:b w:val="false"/>
          <w:color w:val="000000"/>
          <w:sz w:val="20"/>
        </w:rPr>
        <w:t>means the rate of interest per annum announced from time to time by JPMorgan (or any successor to JPMorgan in its capacity as First Lien Administrative Agent) as its prime commercial lending rate in effect at its principal office in New York City and notified to the Borrower. The Prime Rate is a reference rate and does not necessarily represent the lowest or best rate actually charged to any customer.</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Priority Obligation</w:t>
      </w:r>
      <w:r>
        <w:rPr>
          <w:color w:val="000000"/>
        </w:rPr>
        <w:t xml:space="preserve">” </w:t>
      </w:r>
      <w:r>
        <w:rPr>
          <w:rFonts w:ascii="Times New Roman;sans-serif" w:hAnsi="Times New Roman;sans-serif"/>
          <w:b w:val="false"/>
          <w:color w:val="000000"/>
          <w:sz w:val="20"/>
        </w:rPr>
        <w:t xml:space="preserve">means any obligation that is secured by a Lien on any Collateral in favor of a Governmental Authority, which Lien ranks or is capable of ranking prior to or </w:t>
      </w:r>
      <w:r>
        <w:rPr>
          <w:rFonts w:ascii="Times New Roman;sans-serif" w:hAnsi="Times New Roman;sans-serif"/>
          <w:b w:val="false"/>
          <w:color w:val="000000"/>
          <w:sz w:val="20"/>
          <w:u w:val="single"/>
        </w:rPr>
        <w:t>pari</w:t>
      </w:r>
      <w:r>
        <w:rPr>
          <w:color w:val="000000"/>
        </w:rPr>
        <w:t xml:space="preserve"> </w:t>
      </w:r>
      <w:r>
        <w:rPr>
          <w:rFonts w:ascii="Times New Roman;sans-serif" w:hAnsi="Times New Roman;sans-serif"/>
          <w:b w:val="false"/>
          <w:color w:val="000000"/>
          <w:sz w:val="20"/>
          <w:u w:val="single"/>
        </w:rPr>
        <w:t>passu</w:t>
      </w:r>
      <w:r>
        <w:rPr>
          <w:color w:val="000000"/>
        </w:rPr>
        <w:t xml:space="preserve"> </w:t>
      </w:r>
      <w:r>
        <w:rPr>
          <w:rFonts w:ascii="Times New Roman;sans-serif" w:hAnsi="Times New Roman;sans-serif"/>
          <w:b w:val="false"/>
          <w:color w:val="000000"/>
          <w:sz w:val="20"/>
        </w:rPr>
        <w:t>with the Liens created thereon by the applicable Security Documents, including any such Lien securing amounts owing for wages, vacation pay, severance pay, employee deductions, sales tax, excise tax, other Taxes, workers’ compensation, governmental royalties and stumpage or pension fund obligations.</w:t>
      </w:r>
    </w:p>
    <w:p>
      <w:pPr>
        <w:pStyle w:val="TextBody"/>
        <w:bidi w:val="0"/>
        <w:spacing w:before="12"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Pro Forma Adjustment</w:t>
      </w:r>
      <w:r>
        <w:rPr>
          <w:color w:val="000000"/>
        </w:rPr>
        <w:t xml:space="preserve">” </w:t>
      </w:r>
      <w:r>
        <w:rPr>
          <w:rFonts w:ascii="Times New Roman;sans-serif" w:hAnsi="Times New Roman;sans-serif"/>
          <w:b w:val="false"/>
          <w:color w:val="000000"/>
          <w:sz w:val="20"/>
        </w:rPr>
        <w:t xml:space="preserve">means, for any Test Period that includes all or any part of a fiscal quarter included in any Post-Transaction Period with respect to the Acquired EBITDA of the applicable Pro Forma Entity or the Consolidated EBITDA of the Borrower, the pro forma increase or decrease in such Acquired EBITDA or such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1155"/>
                <wp:effectExtent l="0" t="0" r="0" b="0"/>
                <wp:wrapNone/>
                <wp:docPr id="136" name="Frame1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pPr>
      <w:r>
        <w:rPr>
          <w:rFonts w:ascii="Times New Roman;sans-serif" w:hAnsi="Times New Roman;sans-serif"/>
          <w:b w:val="false"/>
          <w:color w:val="000000"/>
          <w:sz w:val="20"/>
        </w:rPr>
        <w:t xml:space="preserve">Consolidated EBITDA, as the case may be, projected by the Borrower in good faith as a result of (a) actions taken, prior to or during such Post-Transaction Period, for the purposes of realizing reasonably identifiable and quantifiable cost savings, or (b) any additional costs incurred prior to or during such Post-Transaction Period in connection with the combination of the operations of such Pro Forma Entity with the operations of the Borrower and its Restricted Subsidiaries;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 so long as such actions are taken prior to or during such Post-Transaction Period or such costs are incurred prior to or during such Post-Transaction Period it may be assumed, for purposes of projecting such pro forma increase or decrease to such Acquired EBITDA or such Consolidated EBITDA, as the case may be, that such cost savings will be realizable during the entirety of such Test Period, or such additional costs will be incurred during the entirety of such Test Period, (B) any Pro Forma Adjustment to Consolidated EBITDA shall be certified by a Financial Officer, the chief executive officer or president of the Borrower and (C)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w:t>
      </w:r>
    </w:p>
    <w:p>
      <w:pPr>
        <w:pStyle w:val="TextBody"/>
        <w:bidi w:val="0"/>
        <w:spacing w:before="16"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Pro Forma Basis</w:t>
      </w:r>
      <w:r>
        <w:rPr>
          <w:rFonts w:ascii="Times New Roman;sans-serif" w:hAnsi="Times New Roman;sans-serif"/>
          <w:b w:val="false"/>
          <w:color w:val="000000"/>
          <w:sz w:val="20"/>
        </w:rPr>
        <w:t>,” “</w:t>
      </w:r>
      <w:r>
        <w:rPr>
          <w:rFonts w:ascii="Times New Roman;sans-serif" w:hAnsi="Times New Roman;sans-serif"/>
          <w:b w:val="false"/>
          <w:color w:val="000000"/>
          <w:sz w:val="20"/>
          <w:u w:val="single"/>
        </w:rPr>
        <w:t>Pro Forma Compliance</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color w:val="000000"/>
          <w:sz w:val="20"/>
          <w:u w:val="single"/>
        </w:rPr>
        <w:t>Pro Forma Effect</w:t>
      </w:r>
      <w:r>
        <w:rPr>
          <w:color w:val="000000"/>
        </w:rPr>
        <w:t xml:space="preserve">” </w:t>
      </w:r>
      <w:r>
        <w:rPr>
          <w:rFonts w:ascii="Times New Roman;sans-serif" w:hAnsi="Times New Roman;sans-serif"/>
          <w:b w:val="false"/>
          <w:color w:val="000000"/>
          <w:sz w:val="20"/>
        </w:rPr>
        <w:t xml:space="preserve">mean, with respect to compliance with any test, financial ratio or covenant hereunder required by the terms of this Agreement to be made on a Pro Forma Basis or after giving Pro Forma Effect thereto, that (a) to the 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 (i) income statement items (whether positive or negative) attributable to the property or Person subject to such Specified Transaction, (A) in the case of a Disposition of all or substantially all Equity Interests in any subsidiary of Holdings or any division, product line, or facility used for operations of Holdings, the Borrower or any of their respective Subsidiaries, shall be excluded and (B) in the case of a Permitted Acquisition or Investment described in the definition of “Specified Transaction,” shall be included, (ii) any retirement of Indebtedness, and (iii) any Indebtedness incurred or assumed by Holdings, the Borrower or any of their respective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the Borrower or any of their respective Subsidiaries and (z) factually supportable or (ii) otherwise consistent with the definition of Pro Forma Adjustment. References herein to Pro Forma Compliance or compliance on a Pro Forma Basis with the Financial Performance Covenant shall mean Pro Forma Compliance with the Financial Performance Covenant whether or not then in effect.</w:t>
      </w:r>
    </w:p>
    <w:p>
      <w:pPr>
        <w:pStyle w:val="TextBody"/>
        <w:bidi w:val="0"/>
        <w:spacing w:before="17"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Pro Forma Disposal Adjustment</w:t>
      </w:r>
      <w:r>
        <w:rPr>
          <w:color w:val="000000"/>
        </w:rPr>
        <w:t xml:space="preserve">” </w:t>
      </w:r>
      <w:r>
        <w:rPr>
          <w:rFonts w:ascii="Times New Roman;sans-serif" w:hAnsi="Times New Roman;sans-serif"/>
          <w:b w:val="false"/>
          <w:color w:val="000000"/>
          <w:sz w:val="20"/>
        </w:rPr>
        <w:t>means, for any Test Period that includes all or a portion of a fiscal quarter included in any Post-Transaction Period with respect to any Sold Entity or Business, the pro forma increase or decrease in Consolidated EBITDA projected by the Borrower in good faith as a result of contractual arrangements between the Borrower or any Restricted Subsidiary entered into with such Sold Entity or Business at the time of its disposal or within the Post-Transaction Period and which represent an increase or decrease in Consolidated EBITDA which is incremental to the Disposed EBITDA of such Sold Entity or Business for the most recent Test Period prior to its disposal.</w:t>
      </w:r>
    </w:p>
    <w:p>
      <w:pPr>
        <w:pStyle w:val="TextBody"/>
        <w:bidi w:val="0"/>
        <w:spacing w:before="13" w:after="283"/>
        <w:jc w:val="left"/>
        <w:rPr/>
      </w:pPr>
      <w:r>
        <w:rPr/>
      </w:r>
    </w:p>
    <w:p>
      <w:pPr>
        <w:pStyle w:val="TextBody"/>
        <w:bidi w:val="0"/>
        <w:spacing w:lineRule="auto" w:line="568" w:before="0" w:after="0"/>
        <w:jc w:val="left"/>
        <w:rPr/>
      </w:pPr>
      <w:r>
        <w:rPr>
          <w:color w:val="000000"/>
        </w:rPr>
        <w:t>“</w:t>
      </w:r>
      <w:r>
        <w:rPr>
          <w:rFonts w:ascii="Times New Roman;sans-serif" w:hAnsi="Times New Roman;sans-serif"/>
          <w:b w:val="false"/>
          <w:color w:val="000000"/>
          <w:sz w:val="20"/>
          <w:u w:val="single"/>
        </w:rPr>
        <w:t>Pro Forma Entity</w:t>
      </w:r>
      <w:r>
        <w:rPr>
          <w:color w:val="000000"/>
        </w:rPr>
        <w:t xml:space="preserve">” </w:t>
      </w:r>
      <w:r>
        <w:rPr>
          <w:rFonts w:ascii="Times New Roman;sans-serif" w:hAnsi="Times New Roman;sans-serif"/>
          <w:b w:val="false"/>
          <w:color w:val="000000"/>
          <w:sz w:val="20"/>
        </w:rPr>
        <w:t>has the meaning given to such term in the definition of “Acquired EBITDA.” “</w:t>
      </w:r>
      <w:r>
        <w:rPr>
          <w:rFonts w:ascii="Times New Roman;sans-serif" w:hAnsi="Times New Roman;sans-serif"/>
          <w:b w:val="false"/>
          <w:color w:val="000000"/>
          <w:sz w:val="20"/>
          <w:u w:val="single"/>
        </w:rPr>
        <w:t>Proposed Change</w:t>
      </w:r>
      <w:r>
        <w:rPr>
          <w:color w:val="000000"/>
        </w:rPr>
        <w:t xml:space="preserve">” </w:t>
      </w:r>
      <w:r>
        <w:rPr>
          <w:rFonts w:ascii="Times New Roman;sans-serif" w:hAnsi="Times New Roman;sans-serif"/>
          <w:b w:val="false"/>
          <w:color w:val="000000"/>
          <w:sz w:val="20"/>
        </w:rPr>
        <w:t>has the meaning assigned to such term in Section 9.02(c).</w: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PSP</w:t>
      </w:r>
      <w:r>
        <w:rPr>
          <w:color w:val="000000"/>
        </w:rPr>
        <w:t xml:space="preserve">” </w:t>
      </w:r>
      <w:r>
        <w:rPr>
          <w:rFonts w:ascii="Times New Roman;sans-serif" w:hAnsi="Times New Roman;sans-serif"/>
          <w:b w:val="false"/>
          <w:color w:val="000000"/>
          <w:sz w:val="20"/>
        </w:rPr>
        <w:t>means PSP Investments Credit USA LLC and any of its Affiliates who are from time to time a Lender hereunder.</w:t>
      </w:r>
    </w:p>
    <w:p>
      <w:pPr>
        <w:pStyle w:val="TextBody"/>
        <w:bidi w:val="0"/>
        <w:spacing w:before="8"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51155"/>
                <wp:effectExtent l="0" t="0" r="0" b="0"/>
                <wp:wrapNone/>
                <wp:docPr id="137" name="Frame1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PTE</w:t>
      </w:r>
      <w:r>
        <w:rPr>
          <w:color w:val="000000"/>
        </w:rPr>
        <w:t xml:space="preserve">” </w:t>
      </w:r>
      <w:r>
        <w:rPr>
          <w:rFonts w:ascii="Times New Roman;sans-serif" w:hAnsi="Times New Roman;sans-serif"/>
          <w:b w:val="false"/>
          <w:color w:val="000000"/>
          <w:sz w:val="20"/>
        </w:rPr>
        <w:t>means a prohibited transaction class exemption issued by the U.S. Department of Labor, as any such exemption may be amended from time to time.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Public Company Costs</w:t>
      </w:r>
      <w:r>
        <w:rPr>
          <w:color w:val="000000"/>
        </w:rPr>
        <w:t xml:space="preserve">” </w:t>
      </w:r>
      <w:r>
        <w:rPr>
          <w:rFonts w:ascii="Times New Roman;sans-serif" w:hAnsi="Times New Roman;sans-serif"/>
          <w:b w:val="false"/>
          <w:color w:val="000000"/>
          <w:sz w:val="20"/>
        </w:rPr>
        <w:t>means, as to the Borrower or the IPO Entity,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and the Exchange Act or any other comparable body of laws, rules or regulations, as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solely by virtue of the listing of such Person’s equity securities on a national securities exchange.</w:t>
      </w:r>
    </w:p>
    <w:p>
      <w:pPr>
        <w:pStyle w:val="TextBody"/>
        <w:bidi w:val="0"/>
        <w:spacing w:before="14"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Public Lender</w:t>
      </w:r>
      <w:r>
        <w:rPr>
          <w:color w:val="000000"/>
        </w:rPr>
        <w:t xml:space="preserve">” </w:t>
      </w:r>
      <w:r>
        <w:rPr>
          <w:rFonts w:ascii="Times New Roman;sans-serif" w:hAnsi="Times New Roman;sans-serif"/>
          <w:b w:val="false"/>
          <w:color w:val="000000"/>
          <w:sz w:val="20"/>
        </w:rPr>
        <w:t>has the meaning assigned to such term in Section 5.01.</w:t>
      </w:r>
    </w:p>
    <w:p>
      <w:pPr>
        <w:pStyle w:val="TextBody"/>
        <w:bidi w:val="0"/>
        <w:spacing w:before="10" w:after="283"/>
        <w:jc w:val="left"/>
        <w:rPr/>
      </w:pPr>
      <w:r>
        <w:rPr/>
      </w:r>
    </w:p>
    <w:p>
      <w:pPr>
        <w:pStyle w:val="TextBody"/>
        <w:bidi w:val="0"/>
        <w:spacing w:lineRule="auto" w:line="288" w:before="0" w:after="0"/>
        <w:ind w:left="0" w:right="0" w:firstLine="1533"/>
        <w:jc w:val="both"/>
        <w:rPr/>
      </w:pPr>
      <w:r>
        <w:rPr>
          <w:color w:val="000000"/>
        </w:rPr>
        <w:t>“</w:t>
      </w:r>
      <w:r>
        <w:rPr>
          <w:rFonts w:ascii="Times New Roman;sans-serif" w:hAnsi="Times New Roman;sans-serif"/>
          <w:b w:val="false"/>
          <w:color w:val="000000"/>
          <w:sz w:val="20"/>
          <w:u w:val="single"/>
        </w:rPr>
        <w:t>Qualified Equity Interests</w:t>
      </w:r>
      <w:r>
        <w:rPr>
          <w:color w:val="000000"/>
        </w:rPr>
        <w:t xml:space="preserve">” </w:t>
      </w:r>
      <w:r>
        <w:rPr>
          <w:rFonts w:ascii="Times New Roman;sans-serif" w:hAnsi="Times New Roman;sans-serif"/>
          <w:b w:val="false"/>
          <w:color w:val="000000"/>
          <w:sz w:val="20"/>
        </w:rPr>
        <w:t>means Equity Interests of Holdings or the Borrower other than Disqualified Equity Interests.</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Qualified Securitization Facility</w:t>
      </w:r>
      <w:r>
        <w:rPr>
          <w:color w:val="000000"/>
        </w:rPr>
        <w:t xml:space="preserve">” </w:t>
      </w:r>
      <w:r>
        <w:rPr>
          <w:rFonts w:ascii="Times New Roman;sans-serif" w:hAnsi="Times New Roman;sans-serif"/>
          <w:b w:val="false"/>
          <w:color w:val="000000"/>
          <w:sz w:val="20"/>
        </w:rPr>
        <w:t>means any Securitization Facility that meets the following conditions: (a) the board of directors of the Borrower shall have determined in good faith that such Securitization Facility (including financing terms, covenants, termination events and other provisions) is in the aggregate economically fair and reasonable to the Borrower and the applicable Securitization Subsidiary and (b) the financing terms, covenants, termination events and other provisions thereof shall be market terms (as determined in good faith by the Borrower).</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Qualifying Lender</w:t>
      </w:r>
      <w:r>
        <w:rPr>
          <w:color w:val="000000"/>
        </w:rPr>
        <w:t xml:space="preserve">” </w:t>
      </w:r>
      <w:r>
        <w:rPr>
          <w:rFonts w:ascii="Times New Roman;sans-serif" w:hAnsi="Times New Roman;sans-serif"/>
          <w:b w:val="false"/>
          <w:color w:val="000000"/>
          <w:sz w:val="20"/>
        </w:rPr>
        <w:t>has the meaning assigned to such term in Section 2.11(a)(ii)(D)(3).</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RBC Letter of Credit Sublimit</w:t>
      </w:r>
      <w:r>
        <w:rPr>
          <w:color w:val="000000"/>
        </w:rPr>
        <w:t xml:space="preserve">” </w:t>
      </w:r>
      <w:r>
        <w:rPr>
          <w:rFonts w:ascii="Times New Roman;sans-serif" w:hAnsi="Times New Roman;sans-serif"/>
          <w:b w:val="false"/>
          <w:color w:val="000000"/>
          <w:sz w:val="20"/>
        </w:rPr>
        <w:t xml:space="preserve">means an amount equal to the amount listed on Schedule 2.01 as amended by Amendment No. </w:t>
      </w:r>
      <w:r>
        <w:rPr>
          <w:rFonts w:ascii="Times New Roman;sans-serif" w:hAnsi="Times New Roman;sans-serif"/>
          <w:b/>
          <w:strike/>
          <w:color w:val="FF0000"/>
          <w:sz w:val="20"/>
        </w:rPr>
        <w:t>3</w:t>
      </w:r>
      <w:r>
        <w:rPr>
          <w:rFonts w:ascii="Times New Roman;sans-serif" w:hAnsi="Times New Roman;sans-serif"/>
          <w:b/>
          <w:color w:val="0000FF"/>
          <w:sz w:val="20"/>
          <w:u w:val="single"/>
        </w:rPr>
        <w:t>5</w:t>
      </w:r>
      <w:r>
        <w:rPr>
          <w:rFonts w:ascii="Times New Roman;sans-serif" w:hAnsi="Times New Roman;sans-serif"/>
          <w:b w:val="false"/>
          <w:color w:val="000000"/>
          <w:sz w:val="20"/>
        </w:rPr>
        <w:t>. Letters of Credit issued pursuant to the RBC Letter of Credit Sublimit will be issued by Royal Bank of Canada in its capacity as an “Issuing Bank”.</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Reference Time</w:t>
      </w:r>
      <w:r>
        <w:rPr>
          <w:color w:val="000000"/>
        </w:rPr>
        <w:t xml:space="preserve">” </w:t>
      </w:r>
      <w:r>
        <w:rPr>
          <w:rFonts w:ascii="Times New Roman;sans-serif" w:hAnsi="Times New Roman;sans-serif"/>
          <w:b w:val="false"/>
          <w:color w:val="000000"/>
          <w:sz w:val="20"/>
        </w:rPr>
        <w:t>with respect to any setting of the then-current Benchmark means (i) if such Benchmark is SONIA, 11:00 a.m. (London time) on the day that is four Business Days prior to such setting, (ii) if such Benchmark is the Term SOFR Rate, 5:00 a.m., Chicago time, on the day that is two (2) U.S. Government Securities Business Days preceding the date of such setting, (iii) if such Benchmark is Daily Simple SOFR, then four</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RFR Business Days prior to such setting and (iv) if such Benchmark is none of the SONIA Rate, Term SOFR Rate, or Daily Simple SOFR, the time determined by the First Lien Administrative Agent in its reasonable discretion.</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Refinanced Debt</w:t>
      </w:r>
      <w:r>
        <w:rPr>
          <w:color w:val="000000"/>
        </w:rPr>
        <w:t xml:space="preserve">” </w:t>
      </w:r>
      <w:r>
        <w:rPr>
          <w:rFonts w:ascii="Times New Roman;sans-serif" w:hAnsi="Times New Roman;sans-serif"/>
          <w:b w:val="false"/>
          <w:color w:val="000000"/>
          <w:sz w:val="20"/>
        </w:rPr>
        <w:t>has the meaning assigned to such term in the definition of “Credit Agreement Refinancing Indebtedness.”</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Refinancing</w:t>
      </w:r>
      <w:r>
        <w:rPr>
          <w:color w:val="000000"/>
        </w:rPr>
        <w:t xml:space="preserve">” </w:t>
      </w:r>
      <w:r>
        <w:rPr>
          <w:rFonts w:ascii="Times New Roman;sans-serif" w:hAnsi="Times New Roman;sans-serif"/>
          <w:b w:val="false"/>
          <w:color w:val="000000"/>
          <w:sz w:val="20"/>
        </w:rPr>
        <w:t>means (a) the refinancing of all indebtedness of the Borrower under the Credit Agreement dated as of May 15, 2015, as amended as of August 18, 2015, April 4, 2017, June 30, 2017, October 31,</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2017, November 24, 2017, April 2, 2019, April 12, 2019 and as of August 5, 2019 and as may be further amended, restated, or otherwise modified on or prior to the date hereof, among Holdings, Borrower, the lenders party thereto, Jefferies Finance LLC, as administrative agent, (b) the receipt by the First Lien Administrative Agent of reasonably satisfactory evidence of the discharge (or the making of arrangements for discharge) of all commitments and Liens thereunder (other than Liens permitted by Section 6.02) and (c) redemption of the Existing Notes; it being agreed that the delivery of customary duly executed payoff and release letters to the First Lien Administrative Agent shall be satisfactory evidence.</w:t>
      </w:r>
    </w:p>
    <w:p>
      <w:pPr>
        <w:pStyle w:val="TextBody"/>
        <w:bidi w:val="0"/>
        <w:spacing w:before="13" w:after="283"/>
        <w:jc w:val="left"/>
        <w:rPr/>
      </w:pPr>
      <w:r>
        <w:rPr/>
      </w:r>
    </w:p>
    <w:p>
      <w:pPr>
        <w:pStyle w:val="TextBody"/>
        <w:bidi w:val="0"/>
        <w:spacing w:lineRule="auto" w:line="288"/>
        <w:ind w:left="0" w:right="0" w:firstLine="1541"/>
        <w:jc w:val="both"/>
        <w:rPr/>
      </w:pPr>
      <w:r>
        <w:rPr>
          <w:color w:val="000000"/>
        </w:rPr>
        <w:t>“</w:t>
      </w:r>
      <w:r>
        <w:rPr>
          <w:rFonts w:ascii="Times New Roman;sans-serif" w:hAnsi="Times New Roman;sans-serif"/>
          <w:b w:val="false"/>
          <w:color w:val="000000"/>
          <w:sz w:val="20"/>
          <w:u w:val="single"/>
        </w:rPr>
        <w:t>Refinancing Amendment</w:t>
      </w:r>
      <w:r>
        <w:rPr>
          <w:color w:val="000000"/>
        </w:rPr>
        <w:t xml:space="preserve">” </w:t>
      </w:r>
      <w:r>
        <w:rPr>
          <w:rFonts w:ascii="Times New Roman;sans-serif" w:hAnsi="Times New Roman;sans-serif"/>
          <w:b w:val="false"/>
          <w:color w:val="000000"/>
          <w:sz w:val="20"/>
        </w:rPr>
        <w:t xml:space="preserve">means an amendment to this Agreement in form and substance reasonably satisfactory to the First Lien Administrative Agent and the Borrower executed by each of (a) the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1155"/>
                <wp:effectExtent l="0" t="0" r="0" b="0"/>
                <wp:wrapNone/>
                <wp:docPr id="138" name="Frame1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Borrower and Holdings, (b) the First Lien Administrative Agent and (c) each Additional Lender and Lender that agrees to provide any portion of the Credit Agreement Refinancing Indebtedness being incurred pursuant thereto, in accordance with Section 2.21.</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Refinancing Amendment No. 1</w:t>
      </w:r>
      <w:r>
        <w:rPr>
          <w:color w:val="000000"/>
        </w:rPr>
        <w:t xml:space="preserve">” </w:t>
      </w:r>
      <w:r>
        <w:rPr>
          <w:rFonts w:ascii="Times New Roman;sans-serif" w:hAnsi="Times New Roman;sans-serif"/>
          <w:b w:val="false"/>
          <w:color w:val="000000"/>
          <w:sz w:val="20"/>
        </w:rPr>
        <w:t>means the Refinancing Amendment to First Lien Credit Agreement dated as of January 20, 2021.</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Refinancing Amendment No. 1 Effective Date</w:t>
      </w:r>
      <w:r>
        <w:rPr>
          <w:color w:val="000000"/>
        </w:rPr>
        <w:t xml:space="preserve">” </w:t>
      </w:r>
      <w:r>
        <w:rPr>
          <w:rFonts w:ascii="Times New Roman;sans-serif" w:hAnsi="Times New Roman;sans-serif"/>
          <w:b w:val="false"/>
          <w:color w:val="000000"/>
          <w:sz w:val="20"/>
        </w:rPr>
        <w:t>means January 20, 2021, the date of effectiveness of Refinancing Amendment No. 1.</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Register</w:t>
      </w:r>
      <w:r>
        <w:rPr>
          <w:color w:val="000000"/>
        </w:rPr>
        <w:t xml:space="preserve">” </w:t>
      </w:r>
      <w:r>
        <w:rPr>
          <w:rFonts w:ascii="Times New Roman;sans-serif" w:hAnsi="Times New Roman;sans-serif"/>
          <w:b w:val="false"/>
          <w:color w:val="000000"/>
          <w:sz w:val="20"/>
        </w:rPr>
        <w:t>has the meaning assigned to such term in Section 9.04(b)(iv).</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Registered Equivalent Notes</w:t>
      </w:r>
      <w:r>
        <w:rPr>
          <w:color w:val="000000"/>
        </w:rPr>
        <w:t xml:space="preserve">” </w:t>
      </w:r>
      <w:r>
        <w:rPr>
          <w:rFonts w:ascii="Times New Roman;sans-serif" w:hAnsi="Times New Roman;sans-serif"/>
          <w:b w:val="false"/>
          <w:color w:val="000000"/>
          <w:sz w:val="20"/>
        </w:rPr>
        <w:t>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Regulated Bank</w:t>
      </w:r>
      <w:r>
        <w:rPr>
          <w:color w:val="000000"/>
        </w:rPr>
        <w:t xml:space="preserve">” </w:t>
      </w:r>
      <w:r>
        <w:rPr>
          <w:rFonts w:ascii="Times New Roman;sans-serif" w:hAnsi="Times New Roman;sans-serif"/>
          <w:b w:val="false"/>
          <w:color w:val="000000"/>
          <w:sz w:val="20"/>
        </w:rPr>
        <w:t>means an Approved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pStyle w:val="TextBody"/>
        <w:bidi w:val="0"/>
        <w:spacing w:before="11" w:after="283"/>
        <w:jc w:val="left"/>
        <w:rPr/>
      </w:pPr>
      <w:r>
        <w:rPr/>
      </w:r>
    </w:p>
    <w:p>
      <w:pPr>
        <w:pStyle w:val="TextBody"/>
        <w:bidi w:val="0"/>
        <w:spacing w:lineRule="auto" w:line="288" w:before="0" w:after="0"/>
        <w:jc w:val="center"/>
        <w:rPr/>
      </w:pPr>
      <w:r>
        <w:rPr>
          <w:color w:val="000000"/>
        </w:rPr>
        <w:t>“</w:t>
      </w:r>
      <w:r>
        <w:rPr>
          <w:rFonts w:ascii="Times New Roman;sans-serif" w:hAnsi="Times New Roman;sans-serif"/>
          <w:b w:val="false"/>
          <w:color w:val="000000"/>
          <w:sz w:val="20"/>
          <w:u w:val="single"/>
        </w:rPr>
        <w:t>Reimbursement Date</w:t>
      </w:r>
      <w:r>
        <w:rPr>
          <w:color w:val="000000"/>
        </w:rPr>
        <w:t xml:space="preserve">” </w:t>
      </w:r>
      <w:r>
        <w:rPr>
          <w:rFonts w:ascii="Times New Roman;sans-serif" w:hAnsi="Times New Roman;sans-serif"/>
          <w:b w:val="false"/>
          <w:color w:val="000000"/>
          <w:sz w:val="20"/>
        </w:rPr>
        <w:t>has the meaning assigned to such term in Section 2.05(f).</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Related Funds</w:t>
      </w:r>
      <w:r>
        <w:rPr>
          <w:color w:val="000000"/>
        </w:rPr>
        <w:t xml:space="preserve">” </w:t>
      </w:r>
      <w:r>
        <w:rPr>
          <w:rFonts w:ascii="Times New Roman;sans-serif" w:hAnsi="Times New Roman;sans-serif"/>
          <w:b w:val="false"/>
          <w:color w:val="000000"/>
          <w:sz w:val="20"/>
        </w:rPr>
        <w:t>means with respect to any Lender that is an Approved Fund, any other Approved Fund that is managed by the same investment advisor as such Lender or by an Affiliate of such investment advisor.</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Related Parties</w:t>
      </w:r>
      <w:r>
        <w:rPr>
          <w:color w:val="000000"/>
        </w:rPr>
        <w:t xml:space="preserve">” </w:t>
      </w:r>
      <w:r>
        <w:rPr>
          <w:rFonts w:ascii="Times New Roman;sans-serif" w:hAnsi="Times New Roman;sans-serif"/>
          <w:b w:val="false"/>
          <w:color w:val="000000"/>
          <w:sz w:val="20"/>
        </w:rPr>
        <w:t>means, with respect to any Person, such Person’s Affiliates and the partners, directors, officers, employees, agents, controlling persons, trustees, administrators, managers, advisors and representatives of such Person and of each of such Person’s Affiliates and permitted successors and assigns of each of the foregoing.</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Release</w:t>
      </w:r>
      <w:r>
        <w:rPr>
          <w:color w:val="000000"/>
        </w:rPr>
        <w:t xml:space="preserve">” </w:t>
      </w:r>
      <w:r>
        <w:rPr>
          <w:rFonts w:ascii="Times New Roman;sans-serif" w:hAnsi="Times New Roman;sans-serif"/>
          <w:b w:val="false"/>
          <w:color w:val="000000"/>
          <w:sz w:val="20"/>
        </w:rPr>
        <w:t>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Relevant Governmental Body</w:t>
      </w:r>
      <w:r>
        <w:rPr>
          <w:color w:val="000000"/>
        </w:rPr>
        <w:t xml:space="preserve">” </w:t>
      </w:r>
      <w:r>
        <w:rPr>
          <w:rFonts w:ascii="Times New Roman;sans-serif" w:hAnsi="Times New Roman;sans-serif"/>
          <w:b w:val="false"/>
          <w:color w:val="000000"/>
          <w:sz w:val="20"/>
        </w:rPr>
        <w:t>means (i) with respect to a Benchmark Replacement in respect of Loans denominated in Dollars, the Federal Reserve Board and/or the NYFRB, the CME Term SOFR Administrator, as applicable, or a committee officially endorsed or convened by the Federal Reserve Board and/or the NYFRB or, in each case, any successor thereto and (ii) with respect to a Benchmark Replacement in respect of Loans denominated in any Alternative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pStyle w:val="TextBody"/>
        <w:bidi w:val="0"/>
        <w:spacing w:before="14"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Relevant Rate</w:t>
      </w:r>
      <w:r>
        <w:rPr>
          <w:color w:val="000000"/>
        </w:rPr>
        <w:t xml:space="preserve">” </w:t>
      </w:r>
      <w:r>
        <w:rPr>
          <w:rFonts w:ascii="Times New Roman;sans-serif" w:hAnsi="Times New Roman;sans-serif"/>
          <w:b w:val="false"/>
          <w:color w:val="000000"/>
          <w:sz w:val="20"/>
        </w:rPr>
        <w:t xml:space="preserve">means (i) with respect to any Term Benchmark Revolving Borrowing denominated in Dollars, the Adjusted Term SOFR Rate, (ii) with respect to any Term Benchmark Revolving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1155"/>
                <wp:effectExtent l="0" t="0" r="0" b="0"/>
                <wp:wrapNone/>
                <wp:docPr id="139" name="Frame1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Borrowing denominated in Euros, EURIBOR, (iii) with respect to any Term Benchmark Revolving Borrowing denominated in Canadian Dollars, the Adjusted Term CORRA Rate, (iv) with respect to any RFR Revolving Borrowing denominated in Sterling, the Daily Simple SONIA and (v) with respect to any RFR Borrowing denominated in Dollars, Adjusted Daily Simple SOFR.</w:t>
      </w:r>
    </w:p>
    <w:p>
      <w:pPr>
        <w:pStyle w:val="TextBody"/>
        <w:bidi w:val="0"/>
        <w:spacing w:before="13"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Relevant Screen Rate</w:t>
      </w:r>
      <w:r>
        <w:rPr>
          <w:color w:val="000000"/>
        </w:rPr>
        <w:t xml:space="preserve">” </w:t>
      </w:r>
      <w:r>
        <w:rPr>
          <w:rFonts w:ascii="Times New Roman;sans-serif" w:hAnsi="Times New Roman;sans-serif"/>
          <w:b w:val="false"/>
          <w:color w:val="000000"/>
          <w:sz w:val="20"/>
        </w:rPr>
        <w:t>means (i) with respect to any Term Benchmark Revolving Borrowing denominated in Dollars, the Term SOFR Reference Rate, (ii) with respect to any Term Benchmark Revolving Borrowing denominated in Euros, the EURIBOR Screen Rate and (iii) with respect to any Term Benchmark Revolving Borrowing denominated in Canadian Dollars, the CAD Screen Rate.</w:t>
      </w:r>
    </w:p>
    <w:p>
      <w:pPr>
        <w:pStyle w:val="TextBody"/>
        <w:bidi w:val="0"/>
        <w:spacing w:before="11" w:after="283"/>
        <w:jc w:val="left"/>
        <w:rPr/>
      </w:pPr>
      <w:r>
        <w:rPr/>
      </w:r>
    </w:p>
    <w:p>
      <w:pPr>
        <w:pStyle w:val="TextBody"/>
        <w:bidi w:val="0"/>
        <w:spacing w:lineRule="auto" w:line="288" w:before="1" w:after="283"/>
        <w:jc w:val="center"/>
        <w:rPr/>
      </w:pPr>
      <w:r>
        <w:rPr>
          <w:color w:val="000000"/>
        </w:rPr>
        <w:t>“</w:t>
      </w:r>
      <w:r>
        <w:rPr>
          <w:rFonts w:ascii="Times New Roman;sans-serif" w:hAnsi="Times New Roman;sans-serif"/>
          <w:b w:val="false"/>
          <w:color w:val="000000"/>
          <w:sz w:val="20"/>
          <w:u w:val="single"/>
        </w:rPr>
        <w:t>Removal Effective Date</w:t>
      </w:r>
      <w:r>
        <w:rPr>
          <w:color w:val="000000"/>
        </w:rPr>
        <w:t xml:space="preserve">” </w:t>
      </w:r>
      <w:r>
        <w:rPr>
          <w:rFonts w:ascii="Times New Roman;sans-serif" w:hAnsi="Times New Roman;sans-serif"/>
          <w:b w:val="false"/>
          <w:color w:val="000000"/>
          <w:sz w:val="20"/>
        </w:rPr>
        <w:t>has the meaning assigned to such term in Section 8.06.</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Repricing Transaction</w:t>
      </w:r>
      <w:r>
        <w:rPr>
          <w:color w:val="000000"/>
        </w:rPr>
        <w:t xml:space="preserve">” </w:t>
      </w:r>
      <w:r>
        <w:rPr>
          <w:rFonts w:ascii="Times New Roman;sans-serif" w:hAnsi="Times New Roman;sans-serif"/>
          <w:b w:val="false"/>
          <w:color w:val="000000"/>
          <w:sz w:val="20"/>
        </w:rPr>
        <w:t>means (a) the incurrence by the Borrower or any Loan Guarantor of any Indebtedness in the form of term loans equal in right of payment to the First Lien Loan Document Obligations and secured by the Collateral on a pari passu basis with the Secured Obligations that are broadly syndicated to banks and other institutional investors (i) for the primary purpose (as reasonably determined by the Borrower) of reducing the Effective Yield for the respective Type of such Indebtedness to less than the Effective Yield for the 2024 Refinancing Term Loans of the respective equivalent Type, but excluding Indebtedness incurred in connection with</w:t>
      </w:r>
    </w:p>
    <w:p>
      <w:pPr>
        <w:pStyle w:val="TextBody"/>
        <w:bidi w:val="0"/>
        <w:spacing w:lineRule="auto" w:line="288" w:before="3"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 Change of Control, (B) an IPO or (C) any material acquisition, merger or consolidation, material Investment or material Disposition and (ii) the proceeds of which are used to prepay (or, in the case of a conversion, deemed to prepay or replace), in whole or in part, outstanding principal of the 2024 Refinancing Term Loans or (b) any amendment of this Agreement for the primary purpose of reducing the Effective Yield for the 2024 Refinancing Term Loans (e.g., by way of amendment, waiver or otherwise), except for a reduction in connection with (A) a Change of Control, (B) an IPO or (C) any material acquisition, merger or consolidation, material Investment or material Disposition. Any determination by the First Lien Administrative Agent with respect to whether a Repricing Transaction shall have occurred shall be conclusive and binding on all Lenders holding the 2024 Refinancing Term Loans.</w:t>
      </w:r>
    </w:p>
    <w:p>
      <w:pPr>
        <w:pStyle w:val="TextBody"/>
        <w:bidi w:val="0"/>
        <w:spacing w:before="12" w:after="283"/>
        <w:jc w:val="left"/>
        <w:rPr/>
      </w:pPr>
      <w:r>
        <w:rPr/>
      </w:r>
    </w:p>
    <w:p>
      <w:pPr>
        <w:pStyle w:val="TextBody"/>
        <w:bidi w:val="0"/>
        <w:spacing w:lineRule="auto" w:line="288" w:before="0" w:after="0"/>
        <w:ind w:left="0" w:right="0" w:firstLine="1489"/>
        <w:jc w:val="both"/>
        <w:rPr/>
      </w:pPr>
      <w:r>
        <w:rPr>
          <w:color w:val="000000"/>
        </w:rPr>
        <w:t>“</w:t>
      </w:r>
      <w:r>
        <w:rPr>
          <w:rFonts w:ascii="Times New Roman;sans-serif" w:hAnsi="Times New Roman;sans-serif"/>
          <w:b w:val="false"/>
          <w:color w:val="000000"/>
          <w:sz w:val="20"/>
          <w:u w:val="single"/>
        </w:rPr>
        <w:t>Required Additional Debt Terms</w:t>
      </w:r>
      <w:r>
        <w:rPr>
          <w:color w:val="000000"/>
        </w:rPr>
        <w:t xml:space="preserve">” </w:t>
      </w:r>
      <w:r>
        <w:rPr>
          <w:rFonts w:ascii="Times New Roman;sans-serif" w:hAnsi="Times New Roman;sans-serif"/>
          <w:b w:val="false"/>
          <w:color w:val="000000"/>
          <w:sz w:val="20"/>
        </w:rPr>
        <w:t>means with respect to any Indebtedness, (a) such Indebtedness does not mature earlier than the Term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(b) such Indebtedness does not have mandatory redemption features (other than customary asset sale, insurance and condemnation proceeds events, change of control offers or events of default or, if term loans, excess cash flow prepayments applicable to periods before the Latest Maturity Date) that could result in redemptions of such Indebtedness prior to the Latest Maturity Date, (c) such Indebtedness is not guaranteed by any entity that is not a Loan Party and (d) if secured, such Indebtedness (i) is not secured by any assets other than Collateral and (ii) is subject to the First/Second Lien Intercreditor Agreement and/or a Customary Intercreditor Agreement(s), as applicable and (e) the other terms and conditions of such Indebtedness shall be as agreed between the borrower of such Indebtedness and the parties providing any such Indebtedness; provided that the conditions in clauses (a) and</w:t>
      </w:r>
    </w:p>
    <w:p>
      <w:pPr>
        <w:pStyle w:val="TextBody"/>
        <w:bidi w:val="0"/>
        <w:spacing w:lineRule="auto" w:line="288" w:before="5"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shall not apply to an ABL Facility.</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Required Lenders</w:t>
      </w:r>
      <w:r>
        <w:rPr>
          <w:color w:val="000000"/>
        </w:rPr>
        <w:t xml:space="preserve">” </w:t>
      </w:r>
      <w:r>
        <w:rPr>
          <w:rFonts w:ascii="Times New Roman;sans-serif" w:hAnsi="Times New Roman;sans-serif"/>
          <w:b w:val="false"/>
          <w:color w:val="000000"/>
          <w:sz w:val="20"/>
        </w:rPr>
        <w:t xml:space="preserve">means, at any time, Lenders having Revolving Exposures, Term Loans and unused Revolving Commitments (other than Swingline Commitments) representing more than 50% of the aggregate Revolving Exposures, outstanding Term Loans and unused Revolving Commitments (other than Swingline Commitments) at such time;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to the extent set forth in Section 9.02 or Section 9.04 whenever there are one or more Defaulting Lenders, the total outstanding Term Loans and Revolving Exposures of, and the unused Commitments of, each Defaulting Lender shall be excluded for purposes of making a determination of Required Lenders.</w:t>
      </w:r>
    </w:p>
    <w:p>
      <w:pPr>
        <w:pStyle w:val="TextBody"/>
        <w:bidi w:val="0"/>
        <w:spacing w:before="13"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Required Revolving Lenders</w:t>
      </w:r>
      <w:r>
        <w:rPr>
          <w:color w:val="000000"/>
        </w:rPr>
        <w:t xml:space="preserve">” </w:t>
      </w:r>
      <w:r>
        <w:rPr>
          <w:rFonts w:ascii="Times New Roman;sans-serif" w:hAnsi="Times New Roman;sans-serif"/>
          <w:b w:val="false"/>
          <w:color w:val="000000"/>
          <w:sz w:val="20"/>
        </w:rPr>
        <w:t xml:space="preserve">means, at any time, Revolving Lenders having Revolving Exposures and unused Commitments (exclusive of Swingline Commitments) representing more than 50.0% of the aggregate Revolving Exposures and unused Commitments (exclusive of Swingline Commitments) at such time;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to the extent set forth in Section 9.02 or Section 9.04 whenever there are one or more Defaulting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1155"/>
                <wp:effectExtent l="0" t="0" r="0" b="0"/>
                <wp:wrapNone/>
                <wp:docPr id="140" name="Frame1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Lenders, the total outstanding Revolving Exposures of, and the unused Revolving Commitments of, each Defaulting Lender, shall be excluded for purposes of making a determination of Required Revolving Lenders.</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Requirements of Law</w:t>
      </w:r>
      <w:r>
        <w:rPr>
          <w:color w:val="000000"/>
        </w:rPr>
        <w:t xml:space="preserve">” </w:t>
      </w:r>
      <w:r>
        <w:rPr>
          <w:rFonts w:ascii="Times New Roman;sans-serif" w:hAnsi="Times New Roman;sans-serif"/>
          <w:b w:val="false"/>
          <w:color w:val="000000"/>
          <w:sz w:val="20"/>
        </w:rPr>
        <w:t>means, with respect to any Person, any statutes, laws, treaties, rules, regulations, statutory instruments, orders, decrees, writs, injunctions or determinations of any arbitrator or court or other Governmental Authority, in each case applicable to or binding upon such Person or any of its property or to which such Person or any of its property is subject.</w:t>
      </w:r>
    </w:p>
    <w:p>
      <w:pPr>
        <w:pStyle w:val="TextBody"/>
        <w:bidi w:val="0"/>
        <w:spacing w:before="12"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Resignation Effective Date</w:t>
      </w:r>
      <w:r>
        <w:rPr>
          <w:color w:val="000000"/>
        </w:rPr>
        <w:t xml:space="preserve">” </w:t>
      </w:r>
      <w:r>
        <w:rPr>
          <w:rFonts w:ascii="Times New Roman;sans-serif" w:hAnsi="Times New Roman;sans-serif"/>
          <w:b w:val="false"/>
          <w:color w:val="000000"/>
          <w:sz w:val="20"/>
        </w:rPr>
        <w:t>has the meaning assigned to such term in Section 8.06.</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Resolution Authority</w:t>
      </w:r>
      <w:r>
        <w:rPr>
          <w:color w:val="000000"/>
        </w:rPr>
        <w:t xml:space="preserve">” </w:t>
      </w:r>
      <w:r>
        <w:rPr>
          <w:rFonts w:ascii="Times New Roman;sans-serif" w:hAnsi="Times New Roman;sans-serif"/>
          <w:b w:val="false"/>
          <w:color w:val="000000"/>
          <w:sz w:val="20"/>
        </w:rPr>
        <w:t>means an EEA Resolution Authority or, with respect to any UK Financial Institution, a UK Resolution Authority.</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Responsible Officer</w:t>
      </w:r>
      <w:r>
        <w:rPr>
          <w:color w:val="000000"/>
        </w:rPr>
        <w:t xml:space="preserve">” </w:t>
      </w:r>
      <w:r>
        <w:rPr>
          <w:rFonts w:ascii="Times New Roman;sans-serif" w:hAnsi="Times New Roman;sans-serif"/>
          <w:b w:val="false"/>
          <w:color w:val="000000"/>
          <w:sz w:val="20"/>
        </w:rPr>
        <w:t>means the chief executive officer, president, vice president, chief financial officer, treasurer or assistant treasurer, or other similar officer, manager or a member of the Board of Directors of a Loan Party and with respect to certain limited liability companies or partnerships that do not have officers, any manager, sole member, managing member or general partner thereof, and as to any document delivered on the Effective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Restricted Payment</w:t>
      </w:r>
      <w:r>
        <w:rPr>
          <w:color w:val="000000"/>
        </w:rPr>
        <w:t xml:space="preserve">” </w:t>
      </w:r>
      <w:r>
        <w:rPr>
          <w:rFonts w:ascii="Times New Roman;sans-serif" w:hAnsi="Times New Roman;sans-serif"/>
          <w:b w:val="false"/>
          <w:color w:val="000000"/>
          <w:sz w:val="20"/>
        </w:rPr>
        <w:t>means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cancellation or termination of any Equity Interests in the Borrower or any Restricted Subsidiary or any option, warrant or other right to acquire any such Equity Interests in the Borrower or any Restricted Subsidiary.</w:t>
      </w:r>
    </w:p>
    <w:p>
      <w:pPr>
        <w:pStyle w:val="TextBody"/>
        <w:bidi w:val="0"/>
        <w:spacing w:before="12" w:after="283"/>
        <w:jc w:val="left"/>
        <w:rPr/>
      </w:pPr>
      <w:r>
        <w:rPr/>
      </w:r>
    </w:p>
    <w:p>
      <w:pPr>
        <w:pStyle w:val="TextBody"/>
        <w:bidi w:val="0"/>
        <w:spacing w:lineRule="auto" w:line="288" w:before="1" w:after="283"/>
        <w:jc w:val="left"/>
        <w:rPr/>
      </w:pPr>
      <w:r>
        <w:rPr>
          <w:color w:val="000000"/>
        </w:rPr>
        <w:t>“</w:t>
      </w:r>
      <w:r>
        <w:rPr>
          <w:rFonts w:ascii="Times New Roman;sans-serif" w:hAnsi="Times New Roman;sans-serif"/>
          <w:b w:val="false"/>
          <w:color w:val="000000"/>
          <w:sz w:val="20"/>
          <w:u w:val="single"/>
        </w:rPr>
        <w:t>Restricted Prepayment Event</w:t>
      </w:r>
      <w:r>
        <w:rPr>
          <w:color w:val="000000"/>
        </w:rPr>
        <w:t xml:space="preserve">” </w:t>
      </w:r>
      <w:r>
        <w:rPr>
          <w:rFonts w:ascii="Times New Roman;sans-serif" w:hAnsi="Times New Roman;sans-serif"/>
          <w:b w:val="false"/>
          <w:color w:val="000000"/>
          <w:sz w:val="20"/>
        </w:rPr>
        <w:t>has the meaning assigned to such term in Section 2.11(g).</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Restricted Subsidiary</w:t>
      </w:r>
      <w:r>
        <w:rPr>
          <w:color w:val="000000"/>
        </w:rPr>
        <w:t xml:space="preserve">” </w:t>
      </w:r>
      <w:r>
        <w:rPr>
          <w:rFonts w:ascii="Times New Roman;sans-serif" w:hAnsi="Times New Roman;sans-serif"/>
          <w:b w:val="false"/>
          <w:color w:val="000000"/>
          <w:sz w:val="20"/>
        </w:rPr>
        <w:t>means any Subsidiary of the Borrower other than an Unrestricted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Subsidiary.</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Retained Declined Proceeds</w:t>
      </w:r>
      <w:r>
        <w:rPr>
          <w:color w:val="000000"/>
        </w:rPr>
        <w:t xml:space="preserve">” </w:t>
      </w:r>
      <w:r>
        <w:rPr>
          <w:rFonts w:ascii="Times New Roman;sans-serif" w:hAnsi="Times New Roman;sans-serif"/>
          <w:b w:val="false"/>
          <w:color w:val="000000"/>
          <w:sz w:val="20"/>
        </w:rPr>
        <w:t>has the meaning assigned to such term in Section 2.11(e).</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RFR</w:t>
      </w:r>
      <w:r>
        <w:rPr>
          <w:color w:val="000000"/>
        </w:rPr>
        <w:t xml:space="preserve">” </w:t>
      </w:r>
      <w:r>
        <w:rPr>
          <w:rFonts w:ascii="Times New Roman;sans-serif" w:hAnsi="Times New Roman;sans-serif"/>
          <w:b w:val="false"/>
          <w:color w:val="000000"/>
          <w:sz w:val="20"/>
        </w:rPr>
        <w:t>when used in reference to any Loan or Borrowing, means that such Loan, or the Loans comprising such Borrowing, denominated in (a) Sterling, at a rate that bears reference to Adjusted Daily Simple SONIA and (b) Dollars, at a rate that bears reference to Adjusted Daily Simple SOFR.</w:t>
      </w:r>
    </w:p>
    <w:p>
      <w:pPr>
        <w:pStyle w:val="TextBody"/>
        <w:bidi w:val="0"/>
        <w:spacing w:before="11" w:after="283"/>
        <w:jc w:val="left"/>
        <w:rPr/>
      </w:pPr>
      <w:r>
        <w:rPr/>
      </w:r>
    </w:p>
    <w:p>
      <w:pPr>
        <w:pStyle w:val="TextBody"/>
        <w:bidi w:val="0"/>
        <w:spacing w:lineRule="auto" w:line="288" w:before="1" w:after="283"/>
        <w:jc w:val="left"/>
        <w:rPr/>
      </w:pPr>
      <w:r>
        <w:rPr>
          <w:color w:val="000000"/>
        </w:rPr>
        <w:t>“</w:t>
      </w:r>
      <w:r>
        <w:rPr>
          <w:rFonts w:ascii="Times New Roman;sans-serif" w:hAnsi="Times New Roman;sans-serif"/>
          <w:b w:val="false"/>
          <w:color w:val="000000"/>
          <w:sz w:val="20"/>
          <w:u w:val="single"/>
        </w:rPr>
        <w:t>RFR Borrowing</w:t>
      </w:r>
      <w:r>
        <w:rPr>
          <w:color w:val="000000"/>
        </w:rPr>
        <w:t xml:space="preserve">” </w:t>
      </w:r>
      <w:r>
        <w:rPr>
          <w:rFonts w:ascii="Times New Roman;sans-serif" w:hAnsi="Times New Roman;sans-serif"/>
          <w:b w:val="false"/>
          <w:color w:val="000000"/>
          <w:sz w:val="20"/>
        </w:rPr>
        <w:t>means, as to any Borrowing, the RFR Loans comprising such Borrowing.</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RFR Business Day</w:t>
      </w:r>
      <w:r>
        <w:rPr>
          <w:color w:val="000000"/>
        </w:rPr>
        <w:t xml:space="preserve">” </w:t>
      </w:r>
      <w:r>
        <w:rPr>
          <w:rFonts w:ascii="Times New Roman;sans-serif" w:hAnsi="Times New Roman;sans-serif"/>
          <w:b w:val="false"/>
          <w:color w:val="000000"/>
          <w:sz w:val="20"/>
        </w:rPr>
        <w:t>means, for any Loan denominated in Dollars, a U.S. Government Securities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 Day.</w:t>
      </w:r>
    </w:p>
    <w:p>
      <w:pPr>
        <w:pStyle w:val="TextBody"/>
        <w:bidi w:val="0"/>
        <w:spacing w:lineRule="auto" w:line="655" w:before="1" w:after="283"/>
        <w:ind w:left="0" w:right="0" w:hanging="70"/>
        <w:jc w:val="left"/>
        <w:rPr/>
      </w:pPr>
      <w:r>
        <w:rPr>
          <w:color w:val="000000"/>
        </w:rPr>
        <w:t>“</w:t>
      </w:r>
      <w:r>
        <w:rPr>
          <w:rFonts w:ascii="Times New Roman;sans-serif" w:hAnsi="Times New Roman;sans-serif"/>
          <w:b w:val="false"/>
          <w:color w:val="000000"/>
          <w:sz w:val="20"/>
          <w:u w:val="single"/>
        </w:rPr>
        <w:t>RFR Loan</w:t>
      </w:r>
      <w:r>
        <w:rPr>
          <w:color w:val="000000"/>
        </w:rPr>
        <w:t xml:space="preserve">” </w:t>
      </w:r>
      <w:r>
        <w:rPr>
          <w:rFonts w:ascii="Times New Roman;sans-serif" w:hAnsi="Times New Roman;sans-serif"/>
          <w:b w:val="false"/>
          <w:color w:val="000000"/>
          <w:sz w:val="20"/>
        </w:rPr>
        <w:t>means a Loan that bears interest at a rate based on the Daily Simple RFR. “</w:t>
      </w:r>
      <w:r>
        <w:rPr>
          <w:rFonts w:ascii="Times New Roman;sans-serif" w:hAnsi="Times New Roman;sans-serif"/>
          <w:b w:val="false"/>
          <w:color w:val="000000"/>
          <w:sz w:val="20"/>
          <w:u w:val="single"/>
        </w:rPr>
        <w:t>Revolving Availability Period</w:t>
      </w:r>
      <w:r>
        <w:rPr>
          <w:color w:val="000000"/>
        </w:rPr>
        <w:t xml:space="preserve">” </w:t>
      </w:r>
      <w:r>
        <w:rPr>
          <w:rFonts w:ascii="Times New Roman;sans-serif" w:hAnsi="Times New Roman;sans-serif"/>
          <w:b w:val="false"/>
          <w:color w:val="000000"/>
          <w:sz w:val="20"/>
        </w:rPr>
        <w:t>means the period from and including the Effective Date to but</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excluding the earlier of the Revolving Maturity Date and the date of termination of the Revolving Commitments.</w:t>
      </w:r>
    </w:p>
    <w:p>
      <w:pPr>
        <w:pStyle w:val="TextBody"/>
        <w:bidi w:val="0"/>
        <w:spacing w:before="10" w:after="283"/>
        <w:jc w:val="left"/>
        <w:rPr/>
      </w:pPr>
      <w:r>
        <w:rPr/>
      </w:r>
    </w:p>
    <w:p>
      <w:pPr>
        <w:pStyle w:val="TextBody"/>
        <w:bidi w:val="0"/>
        <w:spacing w:lineRule="auto" w:line="288"/>
        <w:ind w:left="0" w:right="0" w:firstLine="1531"/>
        <w:jc w:val="both"/>
        <w:rPr/>
      </w:pPr>
      <w:r>
        <w:rPr>
          <w:color w:val="000000"/>
        </w:rPr>
        <w:t>“</w:t>
      </w:r>
      <w:r>
        <w:rPr>
          <w:rFonts w:ascii="Times New Roman;sans-serif" w:hAnsi="Times New Roman;sans-serif"/>
          <w:b w:val="false"/>
          <w:color w:val="000000"/>
          <w:sz w:val="20"/>
          <w:u w:val="single"/>
        </w:rPr>
        <w:t>Revolving Commitmen</w:t>
      </w:r>
      <w:r>
        <w:rPr>
          <w:rFonts w:ascii="Times New Roman;sans-serif" w:hAnsi="Times New Roman;sans-serif"/>
          <w:b w:val="false"/>
          <w:color w:val="000000"/>
          <w:sz w:val="20"/>
        </w:rPr>
        <w:t xml:space="preserve">t” means, with respect to each Lender, the commitment, if any, of such Lender to make Revolving Loans and to acquire participations in Letters of Credit and Swingline Loans hereunder, expressed as an amount representing the maximum possible aggregate amount of such Lender’s Revolving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1155"/>
                <wp:effectExtent l="0" t="0" r="0" b="0"/>
                <wp:wrapNone/>
                <wp:docPr id="141" name="Frame1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Exposure hereunder, as such commitment may be (a) reduced from time to time pursuant to Section 2.08 and (b) reduced or increased from time to time pursuant to (i) assignments by or to such Lender pursuant to an Assignment and Assumption, (ii) an Incremental Facility Amendment, (iii) a Refinancing Amendment, (iv) an Incremental Revolving Commitment Increase, (v) without duplication of the foregoing clause (v), the Amendment No. 1 Revolving Commitment Increase, (vi) without duplication of the following clause (vii), the Extended Revolving Commitments,</w:t>
      </w:r>
    </w:p>
    <w:p>
      <w:pPr>
        <w:pStyle w:val="TextBody"/>
        <w:bidi w:val="0"/>
        <w:spacing w:lineRule="auto" w:line="288" w:before="3"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(vii) a Loan Modification Agreement or (viii) an Additional/Replacement Revolving Commitment. The initial amount of each Lender’s Revolving Commitment is set forth on Schedule 2.01, with respect to the Amendment No.</w:t>
      </w:r>
    </w:p>
    <w:p>
      <w:pPr>
        <w:pStyle w:val="TextBody"/>
        <w:bidi w:val="0"/>
        <w:spacing w:lineRule="auto" w:line="288" w:before="1" w:after="283"/>
        <w:jc w:val="left"/>
        <w:rPr/>
      </w:pPr>
      <w:r>
        <w:rPr>
          <w:rFonts w:ascii="Times New Roman;sans-serif" w:hAnsi="Times New Roman;sans-serif"/>
          <w:b w:val="false"/>
          <w:color w:val="000000"/>
          <w:sz w:val="20"/>
        </w:rPr>
        <w:t xml:space="preserve">1 Revolving Commitment Increase, Schedule I of Amendment No. 1, with respect to the Amendment No. 2 Revolving Commitment Increase, Schedule I of Amendment No. 2, with respect to the Revolving Commitments on and after the Amendment No. 3 Effective Date (including the Amendment No. 3 Refinancing Revolving Commitments), Schedule I of Amendment No. 3, </w:t>
      </w:r>
      <w:r>
        <w:rPr>
          <w:rFonts w:ascii="Times New Roman;sans-serif" w:hAnsi="Times New Roman;sans-serif"/>
          <w:b/>
          <w:color w:val="0000FF"/>
          <w:sz w:val="20"/>
          <w:u w:val="single"/>
        </w:rPr>
        <w:t xml:space="preserve">with respect to the Revolving Commitments on and after the Amendment No. 5 Effective Date (including the 2025 Refinancing Revolving Commitments and the Amendment No. 5 Revolving Commitment Increase), Schedule I of Amendment No. 5, </w:t>
      </w:r>
      <w:r>
        <w:rPr>
          <w:rFonts w:ascii="Times New Roman;sans-serif" w:hAnsi="Times New Roman;sans-serif"/>
          <w:b w:val="false"/>
          <w:color w:val="000000"/>
          <w:sz w:val="20"/>
        </w:rPr>
        <w:t xml:space="preserve">or, in each case, in the Assignment and Assumption, Loan Modification Agreement or Refinancing Amendment pursuant to which such Lender shall have assumed its Revolving Commitment, as the case may be. As of the Amendment No. 1 Effective Date, the aggregate amount of the Lenders’ Revolving Commitments was $347,500,000, as of the Amendment No. 2 Effective Date, the aggregate amount of the Lenders’ Revolving Commitments is $423,750,000 </w:t>
      </w:r>
      <w:r>
        <w:rPr>
          <w:rFonts w:ascii="Times New Roman;sans-serif" w:hAnsi="Times New Roman;sans-serif"/>
          <w:b/>
          <w:strike/>
          <w:color w:val="FF0000"/>
          <w:sz w:val="20"/>
        </w:rPr>
        <w:t xml:space="preserve">and </w:t>
      </w:r>
      <w:r>
        <w:rPr>
          <w:rFonts w:ascii="Times New Roman;sans-serif" w:hAnsi="Times New Roman;sans-serif"/>
          <w:b w:val="false"/>
          <w:color w:val="000000"/>
          <w:sz w:val="20"/>
        </w:rPr>
        <w:t xml:space="preserve">as of the Amendment No. 3 Effective Date, the aggregate amount of the Lenders’ Revolving Commitments is $423,750,000 </w:t>
      </w:r>
      <w:r>
        <w:rPr>
          <w:rFonts w:ascii="Times New Roman;sans-serif" w:hAnsi="Times New Roman;sans-serif"/>
          <w:b/>
          <w:color w:val="0000FF"/>
          <w:sz w:val="20"/>
          <w:u w:val="single"/>
        </w:rPr>
        <w:t>and as of the Amendment No. 5 Effective Date, the aggregate amount of the Lenders’ Revolving Commitments is $600,000,000</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1505"/>
        <w:jc w:val="both"/>
        <w:rPr/>
      </w:pPr>
      <w:r>
        <w:rPr>
          <w:color w:val="000000"/>
        </w:rPr>
        <w:t>“</w:t>
      </w:r>
      <w:r>
        <w:rPr>
          <w:rFonts w:ascii="Times New Roman;sans-serif" w:hAnsi="Times New Roman;sans-serif"/>
          <w:b w:val="false"/>
          <w:color w:val="000000"/>
          <w:sz w:val="20"/>
          <w:u w:val="single"/>
        </w:rPr>
        <w:t>Revolving Exposure</w:t>
      </w:r>
      <w:r>
        <w:rPr>
          <w:color w:val="000000"/>
        </w:rPr>
        <w:t xml:space="preserve">” </w:t>
      </w:r>
      <w:r>
        <w:rPr>
          <w:rFonts w:ascii="Times New Roman;sans-serif" w:hAnsi="Times New Roman;sans-serif"/>
          <w:b w:val="false"/>
          <w:color w:val="000000"/>
          <w:sz w:val="20"/>
        </w:rPr>
        <w:t>means, with respect to any Revolving Lender at any time, the sum of the outstanding principal amount of such Revolving Lender’s Revolving Loans and its LC Exposure and its Swingline Exposure at such time.</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Revolving Facilities Amendment</w:t>
      </w:r>
      <w:r>
        <w:rPr>
          <w:color w:val="000000"/>
        </w:rPr>
        <w:t xml:space="preserve">” </w:t>
      </w:r>
      <w:r>
        <w:rPr>
          <w:rFonts w:ascii="Times New Roman;sans-serif" w:hAnsi="Times New Roman;sans-serif"/>
          <w:b w:val="false"/>
          <w:color w:val="000000"/>
          <w:sz w:val="20"/>
        </w:rPr>
        <w:t>means the Revolving Facilities Amendment to this Agreement, dated as of March 26, 2021 among the Borrower, the Extending Revolving Lenders party thereto, the Consenting Issuing Banks party thereto, the Administrative Agent and the other parties thereto.</w:t>
      </w:r>
    </w:p>
    <w:p>
      <w:pPr>
        <w:pStyle w:val="TextBody"/>
        <w:bidi w:val="0"/>
        <w:spacing w:before="11" w:after="283"/>
        <w:jc w:val="left"/>
        <w:rPr/>
      </w:pPr>
      <w:r>
        <w:rPr/>
      </w:r>
    </w:p>
    <w:p>
      <w:pPr>
        <w:pStyle w:val="TextBody"/>
        <w:bidi w:val="0"/>
        <w:spacing w:lineRule="auto" w:line="288" w:before="1" w:after="283"/>
        <w:ind w:left="0" w:right="0" w:firstLine="720"/>
        <w:jc w:val="left"/>
        <w:rPr/>
      </w:pPr>
      <w:r>
        <w:rPr>
          <w:color w:val="000000"/>
        </w:rPr>
        <w:t>“</w:t>
      </w:r>
      <w:r>
        <w:rPr>
          <w:rFonts w:ascii="Times New Roman;sans-serif" w:hAnsi="Times New Roman;sans-serif"/>
          <w:b w:val="false"/>
          <w:color w:val="000000"/>
          <w:sz w:val="20"/>
          <w:u w:val="single"/>
        </w:rPr>
        <w:t>Revolving Facilities Amendment Effective Date</w:t>
      </w:r>
      <w:r>
        <w:rPr>
          <w:color w:val="000000"/>
        </w:rPr>
        <w:t xml:space="preserve">” </w:t>
      </w:r>
      <w:r>
        <w:rPr>
          <w:rFonts w:ascii="Times New Roman;sans-serif" w:hAnsi="Times New Roman;sans-serif"/>
          <w:b w:val="false"/>
          <w:color w:val="000000"/>
          <w:sz w:val="20"/>
        </w:rPr>
        <w:t>means the date set forth in the definition of Revolving Facilities Amendment.</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Revolving Facility</w:t>
      </w:r>
      <w:r>
        <w:rPr>
          <w:color w:val="000000"/>
        </w:rPr>
        <w:t xml:space="preserve">” </w:t>
      </w:r>
      <w:r>
        <w:rPr>
          <w:rFonts w:ascii="Times New Roman;sans-serif" w:hAnsi="Times New Roman;sans-serif"/>
          <w:b w:val="false"/>
          <w:color w:val="000000"/>
          <w:sz w:val="20"/>
        </w:rPr>
        <w:t>means at any time, the aggregate amount of Revolving Commitments at such</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w:t>
      </w:r>
    </w:p>
    <w:p>
      <w:pPr>
        <w:pStyle w:val="TextBody"/>
        <w:bidi w:val="0"/>
        <w:spacing w:before="10" w:after="283"/>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0"/>
          <w:u w:val="single"/>
        </w:rPr>
        <w:t>Revolving Lender</w:t>
      </w:r>
      <w:r>
        <w:rPr>
          <w:color w:val="000000"/>
        </w:rPr>
        <w:t xml:space="preserve">” </w:t>
      </w:r>
      <w:r>
        <w:rPr>
          <w:rFonts w:ascii="Times New Roman;sans-serif" w:hAnsi="Times New Roman;sans-serif"/>
          <w:b w:val="false"/>
          <w:color w:val="000000"/>
          <w:sz w:val="20"/>
        </w:rPr>
        <w:t>means a Lender with a Revolving Commitment or, if the Revolving Commitments have terminated or expired, a Lender with Revolving Exposure.</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Revolving Loan</w:t>
      </w:r>
      <w:r>
        <w:rPr>
          <w:color w:val="000000"/>
        </w:rPr>
        <w:t xml:space="preserve">” </w:t>
      </w:r>
      <w:r>
        <w:rPr>
          <w:rFonts w:ascii="Times New Roman;sans-serif" w:hAnsi="Times New Roman;sans-serif"/>
          <w:b w:val="false"/>
          <w:color w:val="000000"/>
          <w:sz w:val="20"/>
        </w:rPr>
        <w:t>means a Loan made by a Revolving Lender pursuant to clause (b) of</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2.01.</w:t>
      </w:r>
    </w:p>
    <w:p>
      <w:pPr>
        <w:pStyle w:val="TextBody"/>
        <w:bidi w:val="0"/>
        <w:spacing w:before="10" w:after="283"/>
        <w:jc w:val="left"/>
        <w:rPr/>
      </w:pPr>
      <w:r>
        <w:rPr/>
      </w:r>
    </w:p>
    <w:p>
      <w:pPr>
        <w:pStyle w:val="TextBody"/>
        <w:bidi w:val="0"/>
        <w:spacing w:lineRule="auto" w:line="288"/>
        <w:ind w:left="0" w:right="0" w:firstLine="1440"/>
        <w:jc w:val="left"/>
        <w:rPr/>
      </w:pPr>
      <w:r>
        <w:rPr>
          <w:color w:val="000000"/>
        </w:rPr>
        <w:t>“</w:t>
      </w:r>
      <w:r>
        <w:rPr>
          <w:rFonts w:ascii="Times New Roman;sans-serif" w:hAnsi="Times New Roman;sans-serif"/>
          <w:b w:val="false"/>
          <w:color w:val="000000"/>
          <w:sz w:val="20"/>
          <w:u w:val="single"/>
        </w:rPr>
        <w:t>Revolving Maturity Date</w:t>
      </w:r>
      <w:r>
        <w:rPr>
          <w:color w:val="000000"/>
        </w:rPr>
        <w:t xml:space="preserve">” </w:t>
      </w:r>
      <w:r>
        <w:rPr>
          <w:rFonts w:ascii="Times New Roman;sans-serif" w:hAnsi="Times New Roman;sans-serif"/>
          <w:b w:val="false"/>
          <w:color w:val="000000"/>
          <w:sz w:val="20"/>
        </w:rPr>
        <w:t xml:space="preserve">means (i) </w:t>
      </w:r>
      <w:r>
        <w:rPr>
          <w:rFonts w:ascii="Times New Roman;sans-serif" w:hAnsi="Times New Roman;sans-serif"/>
          <w:b/>
          <w:strike/>
          <w:color w:val="FF0000"/>
          <w:sz w:val="20"/>
        </w:rPr>
        <w:t>March 1</w:t>
      </w:r>
      <w:r>
        <w:rPr>
          <w:rFonts w:ascii="Times New Roman;sans-serif" w:hAnsi="Times New Roman;sans-serif"/>
          <w:b/>
          <w:color w:val="0000FF"/>
          <w:sz w:val="20"/>
          <w:u w:val="single"/>
        </w:rPr>
        <w:t>April 30</w:t>
      </w:r>
      <w:r>
        <w:rPr>
          <w:rFonts w:ascii="Times New Roman;sans-serif" w:hAnsi="Times New Roman;sans-serif"/>
          <w:b w:val="false"/>
          <w:color w:val="000000"/>
          <w:sz w:val="20"/>
        </w:rPr>
        <w:t xml:space="preserve">, </w:t>
      </w:r>
      <w:r>
        <w:rPr>
          <w:rFonts w:ascii="Times New Roman;sans-serif" w:hAnsi="Times New Roman;sans-serif"/>
          <w:b/>
          <w:strike/>
          <w:color w:val="FF0000"/>
          <w:sz w:val="20"/>
        </w:rPr>
        <w:t>2029</w:t>
      </w:r>
      <w:r>
        <w:rPr>
          <w:rFonts w:ascii="Times New Roman;sans-serif" w:hAnsi="Times New Roman;sans-serif"/>
          <w:b/>
          <w:color w:val="0000FF"/>
          <w:sz w:val="20"/>
          <w:u w:val="single"/>
        </w:rPr>
        <w:t>2030</w:t>
      </w:r>
      <w:r>
        <w:rPr>
          <w:color w:val="0000FF"/>
        </w:rPr>
        <w:t xml:space="preserve"> </w:t>
      </w:r>
      <w:r>
        <w:rPr>
          <w:rFonts w:ascii="Times New Roman;sans-serif" w:hAnsi="Times New Roman;sans-serif"/>
          <w:b w:val="false"/>
          <w:color w:val="000000"/>
          <w:sz w:val="20"/>
        </w:rPr>
        <w:t xml:space="preserve">(or if such day is not a Business Day, the immediately preceding Business Day);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if as of the date that is 91 days prior to (x) the Term Maturity Date, any Term Loans with a Term Maturity Date prior to </w:t>
      </w:r>
      <w:r>
        <w:rPr>
          <w:rFonts w:ascii="Times New Roman;sans-serif" w:hAnsi="Times New Roman;sans-serif"/>
          <w:b/>
          <w:strike/>
          <w:color w:val="FF0000"/>
          <w:sz w:val="20"/>
        </w:rPr>
        <w:t>March 1, 2029</w:t>
      </w:r>
      <w:r>
        <w:rPr>
          <w:rFonts w:ascii="Times New Roman;sans-serif" w:hAnsi="Times New Roman;sans-serif"/>
          <w:b/>
          <w:color w:val="0000FF"/>
          <w:sz w:val="20"/>
          <w:u w:val="single"/>
        </w:rPr>
        <w:t>April 30, 2030</w:t>
      </w:r>
      <w:r>
        <w:rPr>
          <w:color w:val="0000FF"/>
        </w:rPr>
        <w:t xml:space="preserve"> </w:t>
      </w:r>
      <w:r>
        <w:rPr>
          <w:rFonts w:ascii="Times New Roman;sans-serif" w:hAnsi="Times New Roman;sans-serif"/>
          <w:b w:val="false"/>
          <w:color w:val="000000"/>
          <w:sz w:val="20"/>
        </w:rPr>
        <w:t xml:space="preserve">remain outstanding, the Revolving Maturity Date shall instead be the date that is 91 days prior to the Term Maturity Date (or if such day is not a Business Day, the immediately preceding Business Day) or (y) the Term Maturity Date (as defined in the Existing Term Loan Credit Agreement), any Term Loans (as defined in the Existing Term Loan Credit Agreement) with a Term Maturity Date (as defined in the Existing Term Loan Credit Agreement) prior to </w:t>
      </w:r>
      <w:r>
        <w:rPr>
          <w:rFonts w:ascii="Times New Roman;sans-serif" w:hAnsi="Times New Roman;sans-serif"/>
          <w:b/>
          <w:strike/>
          <w:color w:val="FF0000"/>
          <w:sz w:val="20"/>
        </w:rPr>
        <w:t>March 1, 2029</w:t>
      </w:r>
      <w:r>
        <w:rPr>
          <w:rFonts w:ascii="Times New Roman;sans-serif" w:hAnsi="Times New Roman;sans-serif"/>
          <w:b/>
          <w:color w:val="0000FF"/>
          <w:sz w:val="20"/>
          <w:u w:val="single"/>
        </w:rPr>
        <w:t>April 30, 2030</w:t>
      </w:r>
      <w:r>
        <w:rPr>
          <w:color w:val="0000FF"/>
        </w:rPr>
        <w:t xml:space="preserve"> </w:t>
      </w:r>
      <w:r>
        <w:rPr>
          <w:rFonts w:ascii="Times New Roman;sans-serif" w:hAnsi="Times New Roman;sans-serif"/>
          <w:b w:val="false"/>
          <w:color w:val="000000"/>
          <w:sz w:val="20"/>
        </w:rPr>
        <w:t xml:space="preserve">remain outstanding, the Revolving Maturity Date shall instead be the date that is 91 days prior to such Term Maturity Date (as defined in the Existing Term Loan Credit Agreement) (or if such day is not a Business Day, the immediately preceding Business Day) or (ii) with respect to any Revolving Lender that has extended its Revolving Commitment pursuant to a Permitted Amendment and with respect to any Issuing Bank that has consented to such extension, the extended maturity date set forth in any such Loan Modification Agreement. As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1155"/>
                <wp:effectExtent l="0" t="0" r="0" b="0"/>
                <wp:wrapNone/>
                <wp:docPr id="142" name="Frame1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20"/>
        </w:rPr>
        <w:t xml:space="preserve">of the Amendment No. </w:t>
      </w:r>
      <w:r>
        <w:rPr>
          <w:rFonts w:ascii="Times New Roman;sans-serif" w:hAnsi="Times New Roman;sans-serif"/>
          <w:b/>
          <w:strike/>
          <w:color w:val="FF0000"/>
          <w:sz w:val="20"/>
        </w:rPr>
        <w:t>4</w:t>
      </w:r>
      <w:r>
        <w:rPr>
          <w:rFonts w:ascii="Times New Roman;sans-serif" w:hAnsi="Times New Roman;sans-serif"/>
          <w:b/>
          <w:color w:val="0000FF"/>
          <w:sz w:val="20"/>
          <w:u w:val="single"/>
        </w:rPr>
        <w:t>5</w:t>
      </w:r>
      <w:r>
        <w:rPr>
          <w:color w:val="0000FF"/>
        </w:rPr>
        <w:t xml:space="preserve"> </w:t>
      </w:r>
      <w:r>
        <w:rPr>
          <w:rFonts w:ascii="Times New Roman;sans-serif" w:hAnsi="Times New Roman;sans-serif"/>
          <w:b w:val="false"/>
          <w:color w:val="000000"/>
          <w:sz w:val="20"/>
        </w:rPr>
        <w:t xml:space="preserve">Effective Date there are no Term Loans with a Term Maturity Date prior to </w:t>
      </w:r>
      <w:r>
        <w:rPr>
          <w:rFonts w:ascii="Times New Roman;sans-serif" w:hAnsi="Times New Roman;sans-serif"/>
          <w:b/>
          <w:strike/>
          <w:color w:val="FF0000"/>
          <w:sz w:val="20"/>
        </w:rPr>
        <w:t>March 1, 2029</w:t>
      </w:r>
      <w:r>
        <w:rPr>
          <w:rFonts w:ascii="Times New Roman;sans-serif" w:hAnsi="Times New Roman;sans-serif"/>
          <w:b/>
          <w:color w:val="0000FF"/>
          <w:sz w:val="20"/>
          <w:u w:val="single"/>
        </w:rPr>
        <w:t>April 30, 2030</w:t>
      </w:r>
      <w:r>
        <w:rPr>
          <w:color w:val="0000FF"/>
        </w:rPr>
        <w:t xml:space="preserve"> </w:t>
      </w:r>
      <w:r>
        <w:rPr>
          <w:rFonts w:ascii="Times New Roman;sans-serif" w:hAnsi="Times New Roman;sans-serif"/>
          <w:b w:val="false"/>
          <w:color w:val="000000"/>
          <w:sz w:val="20"/>
        </w:rPr>
        <w:t>outstanding.</w:t>
      </w:r>
    </w:p>
    <w:p>
      <w:pPr>
        <w:pStyle w:val="TextBody"/>
        <w:bidi w:val="0"/>
        <w:spacing w:before="16"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S&amp;P</w:t>
      </w:r>
      <w:r>
        <w:rPr>
          <w:color w:val="000000"/>
        </w:rPr>
        <w:t xml:space="preserve">” </w:t>
      </w:r>
      <w:r>
        <w:rPr>
          <w:rFonts w:ascii="Times New Roman;sans-serif" w:hAnsi="Times New Roman;sans-serif"/>
          <w:b w:val="false"/>
          <w:color w:val="000000"/>
          <w:sz w:val="20"/>
        </w:rPr>
        <w:t>means Standard &amp; Poor’s Ratings Services, a Standard &amp; Poor’s Financial Services LLC business, and any successor to its rating agency business.</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Sanctions</w:t>
      </w:r>
      <w:r>
        <w:rPr>
          <w:color w:val="000000"/>
        </w:rPr>
        <w:t xml:space="preserve">” </w:t>
      </w:r>
      <w:r>
        <w:rPr>
          <w:rFonts w:ascii="Times New Roman;sans-serif" w:hAnsi="Times New Roman;sans-serif"/>
          <w:b w:val="false"/>
          <w:color w:val="000000"/>
          <w:sz w:val="20"/>
        </w:rPr>
        <w:t>means economic sanctions administered or enforced by the United States Government (including without limitation, sanctions enforced by OFAC).</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Sanctioned Country</w:t>
      </w:r>
      <w:r>
        <w:rPr>
          <w:color w:val="000000"/>
        </w:rPr>
        <w:t xml:space="preserve">” </w:t>
      </w:r>
      <w:r>
        <w:rPr>
          <w:rFonts w:ascii="Times New Roman;sans-serif" w:hAnsi="Times New Roman;sans-serif"/>
          <w:b w:val="false"/>
          <w:color w:val="000000"/>
          <w:sz w:val="20"/>
        </w:rPr>
        <w:t>means, at any time, a country or territory which is the target of any comprehensive Sanctions (as of the date of this Agreement, the so-called Donetsk People’s Republic, the so-called Luhansk People’s Republic, the Crimea region of Ukraine, Cuba, Iran, North Korea and Syria).</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Santander Letter of Credit Sublimit</w:t>
      </w:r>
      <w:r>
        <w:rPr>
          <w:color w:val="000000"/>
        </w:rPr>
        <w:t xml:space="preserve">” </w:t>
      </w:r>
      <w:r>
        <w:rPr>
          <w:rFonts w:ascii="Times New Roman;sans-serif" w:hAnsi="Times New Roman;sans-serif"/>
          <w:b w:val="false"/>
          <w:color w:val="000000"/>
          <w:sz w:val="20"/>
        </w:rPr>
        <w:t>means an amount equal to the amount listed on Schedule</w:t>
      </w:r>
    </w:p>
    <w:p>
      <w:pPr>
        <w:pStyle w:val="TextBody"/>
        <w:bidi w:val="0"/>
        <w:spacing w:lineRule="auto" w:line="288" w:before="0" w:after="0"/>
        <w:jc w:val="left"/>
        <w:rPr/>
      </w:pPr>
      <w:r>
        <w:rPr>
          <w:rFonts w:ascii="Times New Roman;sans-serif" w:hAnsi="Times New Roman;sans-serif"/>
          <w:b w:val="false"/>
          <w:color w:val="000000"/>
          <w:sz w:val="20"/>
        </w:rPr>
        <w:t xml:space="preserve">2.01 as amended by Amendment No. </w:t>
      </w:r>
      <w:r>
        <w:rPr>
          <w:rFonts w:ascii="Times New Roman;sans-serif" w:hAnsi="Times New Roman;sans-serif"/>
          <w:b/>
          <w:strike/>
          <w:color w:val="FF0000"/>
          <w:sz w:val="20"/>
        </w:rPr>
        <w:t>3</w:t>
      </w:r>
      <w:r>
        <w:rPr>
          <w:rFonts w:ascii="Times New Roman;sans-serif" w:hAnsi="Times New Roman;sans-serif"/>
          <w:b/>
          <w:color w:val="0000FF"/>
          <w:sz w:val="20"/>
          <w:u w:val="single"/>
        </w:rPr>
        <w:t>5</w:t>
      </w:r>
      <w:r>
        <w:rPr>
          <w:rFonts w:ascii="Times New Roman;sans-serif" w:hAnsi="Times New Roman;sans-serif"/>
          <w:b w:val="false"/>
          <w:color w:val="000000"/>
          <w:sz w:val="20"/>
        </w:rPr>
        <w:t>. Letters of Credit issued pursuant to the Santander Letter of Credit Sublimit will be issued by Banco Santander, S.A., New York Branch in its capacity as an “Issuing Bank”.</w:t>
      </w:r>
    </w:p>
    <w:p>
      <w:pPr>
        <w:pStyle w:val="TextBody"/>
        <w:bidi w:val="0"/>
        <w:spacing w:before="60" w:after="283"/>
        <w:ind w:left="0" w:right="0" w:firstLine="1440"/>
        <w:jc w:val="both"/>
        <w:rPr/>
      </w:pPr>
      <w:r>
        <w:rPr/>
      </w:r>
    </w:p>
    <w:p>
      <w:pPr>
        <w:pStyle w:val="TextBody"/>
        <w:bidi w:val="0"/>
        <w:spacing w:lineRule="auto" w:line="288" w:before="60" w:after="283"/>
        <w:ind w:left="0" w:right="0" w:firstLine="1440"/>
        <w:jc w:val="both"/>
        <w:rPr/>
      </w:pPr>
      <w:r>
        <w:rPr>
          <w:color w:val="000000"/>
        </w:rPr>
        <w:t>“</w:t>
      </w:r>
      <w:r>
        <w:rPr>
          <w:rFonts w:ascii="Times New Roman;sans-serif" w:hAnsi="Times New Roman;sans-serif"/>
          <w:b w:val="false"/>
          <w:color w:val="000000"/>
          <w:sz w:val="20"/>
          <w:u w:val="single"/>
        </w:rPr>
        <w:t>SEC</w:t>
      </w:r>
      <w:r>
        <w:rPr>
          <w:color w:val="000000"/>
        </w:rPr>
        <w:t xml:space="preserve">” </w:t>
      </w:r>
      <w:r>
        <w:rPr>
          <w:rFonts w:ascii="Times New Roman;sans-serif" w:hAnsi="Times New Roman;sans-serif"/>
          <w:b w:val="false"/>
          <w:color w:val="000000"/>
          <w:sz w:val="20"/>
        </w:rPr>
        <w:t>means the Securities and Exchange Commission or any Governmental Authority succeeding to any of its principal functions.</w:t>
      </w:r>
    </w:p>
    <w:p>
      <w:pPr>
        <w:pStyle w:val="TextBody"/>
        <w:bidi w:val="0"/>
        <w:spacing w:before="11" w:after="283"/>
        <w:jc w:val="left"/>
        <w:rPr/>
      </w:pPr>
      <w:r>
        <w:rPr/>
      </w:r>
    </w:p>
    <w:p>
      <w:pPr>
        <w:pStyle w:val="TextBody"/>
        <w:bidi w:val="0"/>
        <w:spacing w:lineRule="auto" w:line="288" w:before="0" w:after="0"/>
        <w:ind w:left="0" w:right="0" w:firstLine="1499"/>
        <w:jc w:val="both"/>
        <w:rPr/>
      </w:pPr>
      <w:r>
        <w:rPr>
          <w:color w:val="000000"/>
        </w:rPr>
        <w:t>“</w:t>
      </w:r>
      <w:r>
        <w:rPr>
          <w:rFonts w:ascii="Times New Roman;sans-serif" w:hAnsi="Times New Roman;sans-serif"/>
          <w:b w:val="false"/>
          <w:color w:val="000000"/>
          <w:sz w:val="20"/>
          <w:u w:val="single"/>
        </w:rPr>
        <w:t>Secured Cash Management Obligations</w:t>
      </w:r>
      <w:r>
        <w:rPr>
          <w:color w:val="000000"/>
        </w:rPr>
        <w:t xml:space="preserve">” </w:t>
      </w:r>
      <w:r>
        <w:rPr>
          <w:rFonts w:ascii="Times New Roman;sans-serif" w:hAnsi="Times New Roman;sans-serif"/>
          <w:b w:val="false"/>
          <w:color w:val="000000"/>
          <w:sz w:val="20"/>
        </w:rPr>
        <w:t>means the due and punctual payment and performance of all obligations of Holdings, the Borrower and any Restricted Subsidiaries in respect of any overdraft and related liabilities arising from treasury, depository, cash pooling arrangements and cash management services, corporate credit and purchasing cards and related programs or any automated clearing house transfers of funds (collectively, “</w:t>
      </w:r>
      <w:r>
        <w:rPr>
          <w:rFonts w:ascii="Times New Roman;sans-serif" w:hAnsi="Times New Roman;sans-serif"/>
          <w:b w:val="false"/>
          <w:color w:val="000000"/>
          <w:sz w:val="20"/>
          <w:u w:val="single"/>
        </w:rPr>
        <w:t>Cash Management Services</w:t>
      </w:r>
      <w:r>
        <w:rPr>
          <w:color w:val="000000"/>
        </w:rPr>
        <w:t>”</w:t>
      </w:r>
      <w:r>
        <w:rPr>
          <w:rFonts w:ascii="Times New Roman;sans-serif" w:hAnsi="Times New Roman;sans-serif"/>
          <w:b w:val="false"/>
          <w:color w:val="000000"/>
          <w:sz w:val="20"/>
        </w:rPr>
        <w:t>) provided to Holdings, the Borrower or any Subsidiary (whether absolute or contingent and howsoever and whenever created, arising, evidenced or acquired (including all renewals, extensions and modifications thereof and substitutions therefor)) that are (a) owed to the First Lien Administrative Agent, a Joint Lead Arranger, a Lender or any of their respective Affiliates, (b) owed on the Effective Date to a Person that is a Lender or an Affiliate of a Lender as of the Effective Date or (c) owed to a Person that is an Agent, a Lender or an Affiliate of an Agent or Lender at the time such obligations are incurred.</w:t>
      </w:r>
    </w:p>
    <w:p>
      <w:pPr>
        <w:pStyle w:val="TextBody"/>
        <w:bidi w:val="0"/>
        <w:spacing w:before="14"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Secured Obligations</w:t>
      </w:r>
      <w:r>
        <w:rPr>
          <w:color w:val="000000"/>
        </w:rPr>
        <w:t xml:space="preserve">” </w:t>
      </w:r>
      <w:r>
        <w:rPr>
          <w:rFonts w:ascii="Times New Roman;sans-serif" w:hAnsi="Times New Roman;sans-serif"/>
          <w:b w:val="false"/>
          <w:color w:val="000000"/>
          <w:sz w:val="20"/>
        </w:rPr>
        <w:t>means (a) the First Lien Loan Document Obligations, (b) the Secured Cash Management Obligations and (c) the Secured Swap Obligations (excluding with respect to any Loan Guarantor, Excluded Swap Obligations of such Loan Guarantor).</w:t>
      </w:r>
    </w:p>
    <w:p>
      <w:pPr>
        <w:pStyle w:val="TextBody"/>
        <w:bidi w:val="0"/>
        <w:spacing w:before="11"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Secured Parties</w:t>
      </w:r>
      <w:r>
        <w:rPr>
          <w:color w:val="000000"/>
        </w:rPr>
        <w:t xml:space="preserve">” </w:t>
      </w:r>
      <w:r>
        <w:rPr>
          <w:rFonts w:ascii="Times New Roman;sans-serif" w:hAnsi="Times New Roman;sans-serif"/>
          <w:b w:val="false"/>
          <w:color w:val="000000"/>
          <w:sz w:val="20"/>
        </w:rPr>
        <w:t>means (a) each Lender, (b) each Issuing Bank, (c) the First Lien Administrative Agent, (d) the First Lien Collateral Agent, (e) each Joint Lead Arranger, (f) each Person to whom any Secured Cash Management Obligations are owed, (g) each counterparty to any Swap Agreement the obligations under which constitute Secured Swap Obligations, (h) the beneficiaries of each indemnification obligation undertaken by any Loan Party under any First Lien Loan Document and (i) the permitted successors and assigns of each of the foregoing.</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Secured Swap Obligations</w:t>
      </w:r>
      <w:r>
        <w:rPr>
          <w:color w:val="000000"/>
        </w:rPr>
        <w:t xml:space="preserve">” </w:t>
      </w:r>
      <w:r>
        <w:rPr>
          <w:rFonts w:ascii="Times New Roman;sans-serif" w:hAnsi="Times New Roman;sans-serif"/>
          <w:b w:val="false"/>
          <w:color w:val="000000"/>
          <w:sz w:val="20"/>
        </w:rPr>
        <w:t>means the due and punctual payment and performance of all obligations of the Borrower and its Restricted Subsidiaries under each Swap Agreement that (a) is with a counterparty that is the First Lien Administrative Agent, a Joint Lead Arranger, a Lender or any of their respective Affiliates, (b) is in effect on the Effective Date with a counterparty that is a Lender, an Agent or an Affiliate of a Lender or an Agent as of the Effective Date or (c) is entered into after the Effective Date with any counterparty that is a Lender, an Agent or an Affiliate of a Lender or an Agent at the time such Swap Agreement is entered into.</w:t>
      </w:r>
    </w:p>
    <w:p>
      <w:pPr>
        <w:pStyle w:val="TextBody"/>
        <w:bidi w:val="0"/>
        <w:spacing w:before="12"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Securitization Assets</w:t>
      </w:r>
      <w:r>
        <w:rPr>
          <w:color w:val="000000"/>
        </w:rPr>
        <w:t xml:space="preserve">” </w:t>
      </w:r>
      <w:r>
        <w:rPr>
          <w:rFonts w:ascii="Times New Roman;sans-serif" w:hAnsi="Times New Roman;sans-serif"/>
          <w:b w:val="false"/>
          <w:color w:val="000000"/>
          <w:sz w:val="20"/>
        </w:rPr>
        <w:t>means the accounts receivable, royalty and other similar rights to payment and any other assets related thereto subject to a Qualified Securitization Facility that are customarily sold or pledged in connection with securitization transactions and the proceeds thereof.</w:t>
      </w:r>
    </w:p>
    <w:p>
      <w:pPr>
        <w:pStyle w:val="TextBody"/>
        <w:bidi w:val="0"/>
        <w:spacing w:before="1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1155"/>
                <wp:effectExtent l="0" t="0" r="0" b="0"/>
                <wp:wrapNone/>
                <wp:docPr id="143" name="Frame1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Securitization Facility</w:t>
      </w:r>
      <w:r>
        <w:rPr>
          <w:color w:val="000000"/>
        </w:rPr>
        <w:t xml:space="preserve">” </w:t>
      </w:r>
      <w:r>
        <w:rPr>
          <w:rFonts w:ascii="Times New Roman;sans-serif" w:hAnsi="Times New Roman;sans-serif"/>
          <w:b w:val="false"/>
          <w:color w:val="000000"/>
          <w:sz w:val="20"/>
        </w:rPr>
        <w:t>means any of one or more receivables securitization financing facilities as amended, supplemented, modified, extended, renewed, restated or refunded from time to time, the obligations of which are non-recourse (except for customary representations, warranties and indemnities made in connection with such facilities) to the Borrower or any Restricted Subsidiary (other than a Securitization Subsidiary) pursuant to which the Borrower or any Restricted Subsidiary sells or grants a security interest in its accounts receivable or assets related thereto that are customarily sold or pledged in connection with securitization transactions to either (a) a Person that is not a Restricted Subsidiary or (b) a Securitization Subsidiary that in turn sells its accounts receivable to a Person that is not a Restricted Subsidiary.</w:t>
      </w:r>
    </w:p>
    <w:p>
      <w:pPr>
        <w:pStyle w:val="TextBody"/>
        <w:bidi w:val="0"/>
        <w:spacing w:before="13"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Securitization Fees</w:t>
      </w:r>
      <w:r>
        <w:rPr>
          <w:color w:val="000000"/>
        </w:rPr>
        <w:t xml:space="preserve">” </w:t>
      </w:r>
      <w:r>
        <w:rPr>
          <w:rFonts w:ascii="Times New Roman;sans-serif" w:hAnsi="Times New Roman;sans-serif"/>
          <w:b w:val="false"/>
          <w:color w:val="000000"/>
          <w:sz w:val="20"/>
        </w:rPr>
        <w:t>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pStyle w:val="TextBody"/>
        <w:bidi w:val="0"/>
        <w:spacing w:before="11"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Securitization Subsidiary</w:t>
      </w:r>
      <w:r>
        <w:rPr>
          <w:color w:val="000000"/>
        </w:rPr>
        <w:t xml:space="preserve">” </w:t>
      </w:r>
      <w:r>
        <w:rPr>
          <w:rFonts w:ascii="Times New Roman;sans-serif" w:hAnsi="Times New Roman;sans-serif"/>
          <w:b w:val="false"/>
          <w:color w:val="000000"/>
          <w:sz w:val="20"/>
        </w:rPr>
        <w:t>means any Subsidiary formed for the purpose of, and that solely engages only in one or more Qualified Securitization Facilities and other activities reasonably related thereto.</w:t>
      </w:r>
    </w:p>
    <w:p>
      <w:pPr>
        <w:pStyle w:val="TextBody"/>
        <w:bidi w:val="0"/>
        <w:spacing w:before="60" w:after="283"/>
        <w:ind w:left="0" w:right="0" w:firstLine="1440"/>
        <w:jc w:val="both"/>
        <w:rPr/>
      </w:pPr>
      <w:r>
        <w:rPr/>
      </w:r>
    </w:p>
    <w:p>
      <w:pPr>
        <w:pStyle w:val="TextBody"/>
        <w:bidi w:val="0"/>
        <w:spacing w:lineRule="auto" w:line="288" w:before="60" w:after="283"/>
        <w:ind w:left="0" w:right="0" w:firstLine="1440"/>
        <w:jc w:val="both"/>
        <w:rPr/>
      </w:pPr>
      <w:r>
        <w:rPr>
          <w:color w:val="000000"/>
        </w:rPr>
        <w:t>“</w:t>
      </w:r>
      <w:r>
        <w:rPr>
          <w:rFonts w:ascii="Times New Roman;sans-serif" w:hAnsi="Times New Roman;sans-serif"/>
          <w:b w:val="false"/>
          <w:color w:val="000000"/>
          <w:sz w:val="20"/>
          <w:u w:val="single"/>
        </w:rPr>
        <w:t>Security Documents</w:t>
      </w:r>
      <w:r>
        <w:rPr>
          <w:color w:val="000000"/>
        </w:rPr>
        <w:t xml:space="preserve">” </w:t>
      </w:r>
      <w:r>
        <w:rPr>
          <w:rFonts w:ascii="Times New Roman;sans-serif" w:hAnsi="Times New Roman;sans-serif"/>
          <w:b w:val="false"/>
          <w:color w:val="000000"/>
          <w:sz w:val="20"/>
        </w:rPr>
        <w:t>means the First Lien Collateral Agreement, the Mortgages and each other security agreement or pledge agreement executed and delivered pursuant to the Collateral and Guarantee Requirement or Sections 5.11, 5.12 or 5.14 to secure any of the Secured Obligations.</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Senior Representative</w:t>
      </w:r>
      <w:r>
        <w:rPr>
          <w:color w:val="000000"/>
        </w:rPr>
        <w:t xml:space="preserve">” </w:t>
      </w:r>
      <w:r>
        <w:rPr>
          <w:rFonts w:ascii="Times New Roman;sans-serif" w:hAnsi="Times New Roman;sans-serif"/>
          <w:b w:val="false"/>
          <w:color w:val="000000"/>
          <w:sz w:val="20"/>
        </w:rPr>
        <w:t xml:space="preserve">means, with respect to any series of Indebtedness permitted by this Agreement to be secured by the Collateral on a </w:t>
      </w:r>
      <w:r>
        <w:rPr>
          <w:rFonts w:ascii="Times New Roman;sans-serif" w:hAnsi="Times New Roman;sans-serif"/>
          <w:b w:val="false"/>
          <w:color w:val="000000"/>
          <w:sz w:val="20"/>
          <w:u w:val="single"/>
        </w:rPr>
        <w:t>pari passu</w:t>
      </w:r>
      <w:r>
        <w:rPr>
          <w:color w:val="000000"/>
        </w:rPr>
        <w:t xml:space="preserve"> </w:t>
      </w:r>
      <w:r>
        <w:rPr>
          <w:rFonts w:ascii="Times New Roman;sans-serif" w:hAnsi="Times New Roman;sans-serif"/>
          <w:b w:val="false"/>
          <w:color w:val="000000"/>
          <w:sz w:val="20"/>
        </w:rPr>
        <w:t>or junior basis with the Secured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pStyle w:val="TextBody"/>
        <w:bidi w:val="0"/>
        <w:spacing w:before="12" w:after="283"/>
        <w:jc w:val="left"/>
        <w:rPr/>
      </w:pPr>
      <w:r>
        <w:rPr/>
      </w:r>
    </w:p>
    <w:p>
      <w:pPr>
        <w:pStyle w:val="TextBody"/>
        <w:bidi w:val="0"/>
        <w:spacing w:lineRule="auto" w:line="288" w:before="1" w:after="283"/>
        <w:ind w:left="0" w:right="0" w:firstLine="1493"/>
        <w:jc w:val="both"/>
        <w:rPr/>
      </w:pPr>
      <w:r>
        <w:rPr>
          <w:color w:val="000000"/>
        </w:rPr>
        <w:t>“</w:t>
      </w:r>
      <w:r>
        <w:rPr>
          <w:rFonts w:ascii="Times New Roman;sans-serif" w:hAnsi="Times New Roman;sans-serif"/>
          <w:b w:val="false"/>
          <w:color w:val="000000"/>
          <w:sz w:val="20"/>
          <w:u w:val="single"/>
        </w:rPr>
        <w:t>Senior Secured First Lien Net Leverage Ratio</w:t>
      </w:r>
      <w:r>
        <w:rPr>
          <w:color w:val="000000"/>
        </w:rPr>
        <w:t xml:space="preserve">” </w:t>
      </w:r>
      <w:r>
        <w:rPr>
          <w:rFonts w:ascii="Times New Roman;sans-serif" w:hAnsi="Times New Roman;sans-serif"/>
          <w:b w:val="false"/>
          <w:color w:val="000000"/>
          <w:sz w:val="20"/>
        </w:rPr>
        <w:t>means, as of any date of determination, the ratio, on a Pro Forma Basis, of (a) Consolidated Senior Secured First Lien Net Indebtedness as of such date to (b) Consolidated EBITDA for the most recently ended Test Period.</w:t>
      </w:r>
    </w:p>
    <w:p>
      <w:pPr>
        <w:pStyle w:val="TextBody"/>
        <w:bidi w:val="0"/>
        <w:spacing w:before="11" w:after="283"/>
        <w:jc w:val="left"/>
        <w:rPr/>
      </w:pPr>
      <w:r>
        <w:rPr/>
      </w:r>
    </w:p>
    <w:p>
      <w:pPr>
        <w:pStyle w:val="TextBody"/>
        <w:bidi w:val="0"/>
        <w:spacing w:lineRule="auto" w:line="288" w:before="0" w:after="0"/>
        <w:ind w:left="0" w:right="0" w:firstLine="1499"/>
        <w:jc w:val="both"/>
        <w:rPr/>
      </w:pPr>
      <w:r>
        <w:rPr>
          <w:color w:val="000000"/>
        </w:rPr>
        <w:t>“</w:t>
      </w:r>
      <w:r>
        <w:rPr>
          <w:rFonts w:ascii="Times New Roman;sans-serif" w:hAnsi="Times New Roman;sans-serif"/>
          <w:b w:val="false"/>
          <w:color w:val="000000"/>
          <w:sz w:val="20"/>
          <w:u w:val="single"/>
        </w:rPr>
        <w:t>Senior Secured Net Leverage Ratio</w:t>
      </w:r>
      <w:r>
        <w:rPr>
          <w:color w:val="000000"/>
        </w:rPr>
        <w:t xml:space="preserve">” </w:t>
      </w:r>
      <w:r>
        <w:rPr>
          <w:rFonts w:ascii="Times New Roman;sans-serif" w:hAnsi="Times New Roman;sans-serif"/>
          <w:b w:val="false"/>
          <w:color w:val="000000"/>
          <w:sz w:val="20"/>
        </w:rPr>
        <w:t>means, as of any date of determination, the ratio, on a Pro Forma Basis, of (a) Consolidated Senior Secured Indebtedness as of such date to (b) Consolidated EBITDA for the most recently completed Test Period.</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Senior Secured Notes</w:t>
      </w:r>
      <w:r>
        <w:rPr>
          <w:color w:val="000000"/>
        </w:rPr>
        <w:t xml:space="preserve">” </w:t>
      </w:r>
      <w:r>
        <w:rPr>
          <w:rFonts w:ascii="Times New Roman;sans-serif" w:hAnsi="Times New Roman;sans-serif"/>
          <w:b w:val="false"/>
          <w:color w:val="000000"/>
          <w:sz w:val="20"/>
        </w:rPr>
        <w:t>means the $750,000,000 aggregate principal amount of 7.375% Senior Secured Notes due 2031 issued by the Borrower pursuant to the Senior Secured Notes Documents.</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u w:val="single"/>
        </w:rPr>
        <w:t>Senior Secured Notes Documents</w:t>
      </w:r>
      <w:r>
        <w:rPr>
          <w:color w:val="000000"/>
        </w:rPr>
        <w:t xml:space="preserve">” </w:t>
      </w:r>
      <w:r>
        <w:rPr>
          <w:rFonts w:ascii="Times New Roman;sans-serif" w:hAnsi="Times New Roman;sans-serif"/>
          <w:b w:val="false"/>
          <w:color w:val="000000"/>
          <w:sz w:val="20"/>
        </w:rPr>
        <w:t>means the Senior Secured Notes Indenture and all other agreements, instruments and other documents (including collateral documents with respect thereto) pursuant to which the Senior Secured Notes have been issued.</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Senior Secured Notes Indenture</w:t>
      </w:r>
      <w:r>
        <w:rPr>
          <w:color w:val="000000"/>
        </w:rPr>
        <w:t xml:space="preserve">” </w:t>
      </w:r>
      <w:r>
        <w:rPr>
          <w:rFonts w:ascii="Times New Roman;sans-serif" w:hAnsi="Times New Roman;sans-serif"/>
          <w:b w:val="false"/>
          <w:color w:val="000000"/>
          <w:sz w:val="20"/>
        </w:rPr>
        <w:t>means the Indenture, dated as of May 30, 2024, among the Borrower, the subsidiary guarantors party thereto from time to time and Wilmington Trust, National Association, as trustee, governing the Senior Secured Notes, as the same may be amended, supplemented, waived or otherwise modified from time to time.</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Settlement</w:t>
      </w:r>
      <w:r>
        <w:rPr>
          <w:color w:val="000000"/>
        </w:rPr>
        <w:t xml:space="preserve">” </w:t>
      </w:r>
      <w:r>
        <w:rPr>
          <w:rFonts w:ascii="Times New Roman;sans-serif" w:hAnsi="Times New Roman;sans-serif"/>
          <w:b w:val="false"/>
          <w:color w:val="000000"/>
          <w:sz w:val="20"/>
        </w:rPr>
        <w:t>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pStyle w:val="TextBody"/>
        <w:bidi w:val="0"/>
        <w:spacing w:before="11"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Settlement Asset</w:t>
      </w:r>
      <w:r>
        <w:rPr>
          <w:color w:val="000000"/>
        </w:rPr>
        <w:t xml:space="preserve">” </w:t>
      </w:r>
      <w:r>
        <w:rPr>
          <w:rFonts w:ascii="Times New Roman;sans-serif" w:hAnsi="Times New Roman;sans-serif"/>
          <w:b w:val="false"/>
          <w:color w:val="000000"/>
          <w:sz w:val="20"/>
        </w:rPr>
        <w:t>means any cash, receivable or other property, including a Settlement Receivable, due or conveyed to a Person in consideration for a Settlement made or arranged, or to be made or arranged, by such Person or an Affiliate of such Person.</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1155"/>
                <wp:effectExtent l="0" t="0" r="0" b="0"/>
                <wp:wrapNone/>
                <wp:docPr id="144" name="Frame1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bidi w:val="0"/>
                        <w:spacing w:before="0" w:after="0"/>
                        <w:jc w:val="left"/>
                        <w:rPr/>
                      </w:pPr>
                      <w:r>
                        <w:rPr/>
                      </w:r>
                    </w:p>
                  </w:txbxContent>
                </v:textbox>
                <w10:wrap type="none"/>
              </v:rect>
            </w:pict>
          </mc:Fallback>
        </mc:AlternateConten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Settlement Indebtedness</w:t>
      </w:r>
      <w:r>
        <w:rPr>
          <w:color w:val="000000"/>
        </w:rPr>
        <w:t xml:space="preserve">” </w:t>
      </w:r>
      <w:r>
        <w:rPr>
          <w:rFonts w:ascii="Times New Roman;sans-serif" w:hAnsi="Times New Roman;sans-serif"/>
          <w:b w:val="false"/>
          <w:color w:val="000000"/>
          <w:sz w:val="20"/>
        </w:rPr>
        <w:t>means any payment or reimbursement obligation in respect of a Settlement Payment.</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Settlement Lien</w:t>
      </w:r>
      <w:r>
        <w:rPr>
          <w:color w:val="000000"/>
        </w:rPr>
        <w:t xml:space="preserve">” </w:t>
      </w:r>
      <w:r>
        <w:rPr>
          <w:rFonts w:ascii="Times New Roman;sans-serif" w:hAnsi="Times New Roman;sans-serif"/>
          <w:b w:val="false"/>
          <w:color w:val="000000"/>
          <w:sz w:val="20"/>
        </w:rPr>
        <w:t>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Settlement Payment</w:t>
      </w:r>
      <w:r>
        <w:rPr>
          <w:color w:val="000000"/>
        </w:rPr>
        <w:t xml:space="preserve">” </w:t>
      </w:r>
      <w:r>
        <w:rPr>
          <w:rFonts w:ascii="Times New Roman;sans-serif" w:hAnsi="Times New Roman;sans-serif"/>
          <w:b w:val="false"/>
          <w:color w:val="000000"/>
          <w:sz w:val="20"/>
        </w:rPr>
        <w:t>means the transfer, or contractual undertaking (including by automated clearing house transaction) to effect a transfer, of cash or other property to effect a Settlement.</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Settlement Receivable</w:t>
      </w:r>
      <w:r>
        <w:rPr>
          <w:color w:val="000000"/>
        </w:rPr>
        <w:t xml:space="preserve">” </w:t>
      </w:r>
      <w:r>
        <w:rPr>
          <w:rFonts w:ascii="Times New Roman;sans-serif" w:hAnsi="Times New Roman;sans-serif"/>
          <w:b w:val="false"/>
          <w:color w:val="000000"/>
          <w:sz w:val="20"/>
        </w:rPr>
        <w:t>means any general intangible, payment intangible, or instrument representing or reflecting an obligation to make payments to or for the benefit of a Person in consideration for a Settlement made or arranged, or to be made or arranged, by such Person.</w:t>
      </w:r>
    </w:p>
    <w:p>
      <w:pPr>
        <w:pStyle w:val="TextBody"/>
        <w:bidi w:val="0"/>
        <w:spacing w:before="60" w:after="283"/>
        <w:jc w:val="left"/>
        <w:rPr/>
      </w:pPr>
      <w:r>
        <w:rPr/>
      </w:r>
    </w:p>
    <w:p>
      <w:pPr>
        <w:pStyle w:val="TextBody"/>
        <w:bidi w:val="0"/>
        <w:spacing w:lineRule="auto" w:line="288" w:before="60" w:after="283"/>
        <w:jc w:val="left"/>
        <w:rPr/>
      </w:pPr>
      <w:r>
        <w:rPr>
          <w:color w:val="000000"/>
        </w:rPr>
        <w:t>“</w:t>
      </w:r>
      <w:r>
        <w:rPr>
          <w:rFonts w:ascii="Times New Roman;sans-serif" w:hAnsi="Times New Roman;sans-serif"/>
          <w:b w:val="false"/>
          <w:color w:val="000000"/>
          <w:sz w:val="20"/>
          <w:u w:val="single"/>
        </w:rPr>
        <w:t>SOFR</w:t>
      </w:r>
      <w:r>
        <w:rPr>
          <w:color w:val="000000"/>
        </w:rPr>
        <w:t xml:space="preserve">” </w:t>
      </w:r>
      <w:r>
        <w:rPr>
          <w:rFonts w:ascii="Times New Roman;sans-serif" w:hAnsi="Times New Roman;sans-serif"/>
          <w:b w:val="false"/>
          <w:color w:val="000000"/>
          <w:sz w:val="20"/>
        </w:rPr>
        <w:t>means a rate equal to the secured overnight financing rate as administered by the SOFR</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Administrator.</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SOFR Administrator</w:t>
      </w:r>
      <w:r>
        <w:rPr>
          <w:color w:val="000000"/>
        </w:rPr>
        <w:t xml:space="preserve">” </w:t>
      </w:r>
      <w:r>
        <w:rPr>
          <w:rFonts w:ascii="Times New Roman;sans-serif" w:hAnsi="Times New Roman;sans-serif"/>
          <w:b w:val="false"/>
          <w:color w:val="000000"/>
          <w:sz w:val="20"/>
        </w:rPr>
        <w:t>means the NYFRB (or a successor administrator of the secured overnight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financing rate).</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SOFR Administrator’s Website</w:t>
      </w:r>
      <w:r>
        <w:rPr>
          <w:color w:val="000000"/>
        </w:rPr>
        <w:t xml:space="preserve">” </w:t>
      </w:r>
      <w:r>
        <w:rPr>
          <w:rFonts w:ascii="Times New Roman;sans-serif" w:hAnsi="Times New Roman;sans-serif"/>
          <w:b w:val="false"/>
          <w:color w:val="000000"/>
          <w:sz w:val="20"/>
        </w:rPr>
        <w:t>means the NYFRB’s Website, currently at http://www.newyorkfed.org, or any successor source for the secured overnight financing rate identified as such by the SOFR Administrator from time to time.</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SOFR Amendment</w:t>
      </w:r>
      <w:r>
        <w:rPr>
          <w:color w:val="000000"/>
        </w:rPr>
        <w:t xml:space="preserve">” </w:t>
      </w:r>
      <w:r>
        <w:rPr>
          <w:rFonts w:ascii="Times New Roman;sans-serif" w:hAnsi="Times New Roman;sans-serif"/>
          <w:b w:val="false"/>
          <w:color w:val="000000"/>
          <w:sz w:val="20"/>
        </w:rPr>
        <w:t>means that certain Amendment to this Agreement dated as of June 22, 2023.</w:t>
      </w:r>
    </w:p>
    <w:p>
      <w:pPr>
        <w:pStyle w:val="TextBody"/>
        <w:bidi w:val="0"/>
        <w:spacing w:before="10" w:after="283"/>
        <w:jc w:val="left"/>
        <w:rPr/>
      </w:pPr>
      <w:r>
        <w:rPr/>
      </w:r>
    </w:p>
    <w:p>
      <w:pPr>
        <w:pStyle w:val="TextBody"/>
        <w:bidi w:val="0"/>
        <w:spacing w:lineRule="auto" w:line="288" w:before="1" w:after="283"/>
        <w:jc w:val="left"/>
        <w:rPr/>
      </w:pPr>
      <w:r>
        <w:rPr>
          <w:color w:val="000000"/>
        </w:rPr>
        <w:t>“</w:t>
      </w:r>
      <w:r>
        <w:rPr>
          <w:rFonts w:ascii="Times New Roman;sans-serif" w:hAnsi="Times New Roman;sans-serif"/>
          <w:b w:val="false"/>
          <w:color w:val="000000"/>
          <w:sz w:val="20"/>
          <w:u w:val="single"/>
        </w:rPr>
        <w:t>SOFR Amendment Effective Date</w:t>
      </w:r>
      <w:r>
        <w:rPr>
          <w:color w:val="000000"/>
        </w:rPr>
        <w:t xml:space="preserve">” </w:t>
      </w:r>
      <w:r>
        <w:rPr>
          <w:rFonts w:ascii="Times New Roman;sans-serif" w:hAnsi="Times New Roman;sans-serif"/>
          <w:b w:val="false"/>
          <w:color w:val="000000"/>
          <w:sz w:val="20"/>
        </w:rPr>
        <w:t>means “Amendment Effective Date” as defined in the SOFR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w:t>
      </w:r>
    </w:p>
    <w:p>
      <w:pPr>
        <w:pStyle w:val="TextBody"/>
        <w:bidi w:val="0"/>
        <w:spacing w:before="10"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SOFR Rate Day</w:t>
      </w:r>
      <w:r>
        <w:rPr>
          <w:color w:val="000000"/>
        </w:rPr>
        <w:t xml:space="preserve">” </w:t>
      </w:r>
      <w:r>
        <w:rPr>
          <w:rFonts w:ascii="Times New Roman;sans-serif" w:hAnsi="Times New Roman;sans-serif"/>
          <w:b w:val="false"/>
          <w:color w:val="000000"/>
          <w:sz w:val="20"/>
        </w:rPr>
        <w:t>has the meaning specified in the definition of “Daily Simple SOFR.”</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Sold Entity or Business</w:t>
      </w:r>
      <w:r>
        <w:rPr>
          <w:color w:val="000000"/>
        </w:rPr>
        <w:t xml:space="preserve">” </w:t>
      </w:r>
      <w:r>
        <w:rPr>
          <w:rFonts w:ascii="Times New Roman;sans-serif" w:hAnsi="Times New Roman;sans-serif"/>
          <w:b w:val="false"/>
          <w:color w:val="000000"/>
          <w:sz w:val="20"/>
        </w:rPr>
        <w:t>has the meaning assigned to such term in the definition of the term “Consolidated EBITDA.”</w:t>
      </w:r>
    </w:p>
    <w:p>
      <w:pPr>
        <w:pStyle w:val="TextBody"/>
        <w:bidi w:val="0"/>
        <w:spacing w:lineRule="auto" w:line="655" w:before="1" w:after="283"/>
        <w:jc w:val="left"/>
        <w:rPr/>
      </w:pPr>
      <w:r>
        <w:rPr>
          <w:color w:val="000000"/>
        </w:rPr>
        <w:t>“</w:t>
      </w:r>
      <w:r>
        <w:rPr>
          <w:rFonts w:ascii="Times New Roman;sans-serif" w:hAnsi="Times New Roman;sans-serif"/>
          <w:b w:val="false"/>
          <w:color w:val="000000"/>
          <w:sz w:val="20"/>
          <w:u w:val="single"/>
        </w:rPr>
        <w:t>Solicited Discount Proration</w:t>
      </w:r>
      <w:r>
        <w:rPr>
          <w:color w:val="000000"/>
        </w:rPr>
        <w:t xml:space="preserve">” </w:t>
      </w:r>
      <w:r>
        <w:rPr>
          <w:rFonts w:ascii="Times New Roman;sans-serif" w:hAnsi="Times New Roman;sans-serif"/>
          <w:b w:val="false"/>
          <w:color w:val="000000"/>
          <w:sz w:val="20"/>
        </w:rPr>
        <w:t>has the meaning assigned to such term in Section 2.11(a)(ii)(D)(3). “</w:t>
      </w:r>
      <w:r>
        <w:rPr>
          <w:rFonts w:ascii="Times New Roman;sans-serif" w:hAnsi="Times New Roman;sans-serif"/>
          <w:b w:val="false"/>
          <w:color w:val="000000"/>
          <w:sz w:val="20"/>
          <w:u w:val="single"/>
        </w:rPr>
        <w:t>Solicited Discounted Prepayment Amount</w:t>
      </w:r>
      <w:r>
        <w:rPr>
          <w:color w:val="000000"/>
        </w:rPr>
        <w:t xml:space="preserve">” </w:t>
      </w:r>
      <w:r>
        <w:rPr>
          <w:rFonts w:ascii="Times New Roman;sans-serif" w:hAnsi="Times New Roman;sans-serif"/>
          <w:b w:val="false"/>
          <w:color w:val="000000"/>
          <w:sz w:val="20"/>
        </w:rPr>
        <w:t>has the meaning assigned to such term in</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2.11(a)(ii)(D)(1).</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Solicited Discounted Prepayment Notice</w:t>
      </w:r>
      <w:r>
        <w:rPr>
          <w:color w:val="000000"/>
        </w:rPr>
        <w:t xml:space="preserve">” </w:t>
      </w:r>
      <w:r>
        <w:rPr>
          <w:rFonts w:ascii="Times New Roman;sans-serif" w:hAnsi="Times New Roman;sans-serif"/>
          <w:b w:val="false"/>
          <w:color w:val="000000"/>
          <w:sz w:val="20"/>
        </w:rPr>
        <w:t>means an irrevocable written notice of a Borrower Solicitation of Discounted Prepayment Offers made pursuant to Section 2.11(a)(ii)(D) substantially in the form of Exhibit K.</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Solicited Discounted Prepayment Offer</w:t>
      </w:r>
      <w:r>
        <w:rPr>
          <w:color w:val="000000"/>
        </w:rPr>
        <w:t xml:space="preserve">” </w:t>
      </w:r>
      <w:r>
        <w:rPr>
          <w:rFonts w:ascii="Times New Roman;sans-serif" w:hAnsi="Times New Roman;sans-serif"/>
          <w:b w:val="false"/>
          <w:color w:val="000000"/>
          <w:sz w:val="20"/>
        </w:rPr>
        <w:t>means the irrevocable written offer by each Term Lender, substantially in the form of Exhibit L, submitted following the First Lien Administrative Agent’s receipt of a Solicited Discounted Prepayment Notice.</w:t>
      </w:r>
    </w:p>
    <w:p>
      <w:pPr>
        <w:pStyle w:val="TextBody"/>
        <w:bidi w:val="0"/>
        <w:spacing w:before="11"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Solicited Discounted Prepayment Response Date</w:t>
      </w:r>
      <w:r>
        <w:rPr>
          <w:color w:val="000000"/>
        </w:rPr>
        <w:t xml:space="preserve">” </w:t>
      </w:r>
      <w:r>
        <w:rPr>
          <w:rFonts w:ascii="Times New Roman;sans-serif" w:hAnsi="Times New Roman;sans-serif"/>
          <w:b w:val="false"/>
          <w:color w:val="000000"/>
          <w:sz w:val="20"/>
        </w:rPr>
        <w:t>has the meaning assigned to such term in Section 2.11(a)(ii)(D)(1).</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1155"/>
                <wp:effectExtent l="0" t="0" r="0" b="0"/>
                <wp:wrapNone/>
                <wp:docPr id="145" name="Frame1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SONIA</w:t>
      </w:r>
      <w:r>
        <w:rPr>
          <w:color w:val="000000"/>
        </w:rPr>
        <w:t xml:space="preserve">” </w:t>
      </w:r>
      <w:r>
        <w:rPr>
          <w:rFonts w:ascii="Times New Roman;sans-serif" w:hAnsi="Times New Roman;sans-serif"/>
          <w:b w:val="false"/>
          <w:color w:val="000000"/>
          <w:sz w:val="20"/>
        </w:rPr>
        <w:t>means, with respect to any Business Day, a rate per annum equal to the Sterling Overnight Index Average for such Business Day published by the SONIA Administrator on the SONIA Administrator’s Website on the immediately succeeding Business Day.</w:t>
      </w:r>
    </w:p>
    <w:p>
      <w:pPr>
        <w:pStyle w:val="TextBody"/>
        <w:bidi w:val="0"/>
        <w:spacing w:before="11"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SONIA Administrator</w:t>
      </w:r>
      <w:r>
        <w:rPr>
          <w:color w:val="000000"/>
        </w:rPr>
        <w:t xml:space="preserve">” </w:t>
      </w:r>
      <w:r>
        <w:rPr>
          <w:rFonts w:ascii="Times New Roman;sans-serif" w:hAnsi="Times New Roman;sans-serif"/>
          <w:b w:val="false"/>
          <w:color w:val="000000"/>
          <w:sz w:val="20"/>
        </w:rPr>
        <w:t>means the Bank of England (or any successor administrator of the Sterling Overnight Index Average).</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SONIA Administrator’s Website</w:t>
      </w:r>
      <w:r>
        <w:rPr>
          <w:color w:val="000000"/>
        </w:rPr>
        <w:t xml:space="preserve">” </w:t>
      </w:r>
      <w:r>
        <w:rPr>
          <w:rFonts w:ascii="Times New Roman;sans-serif" w:hAnsi="Times New Roman;sans-serif"/>
          <w:b w:val="false"/>
          <w:color w:val="000000"/>
          <w:sz w:val="20"/>
        </w:rPr>
        <w:t>means the Bank of England’s website, currently at http://www.bankofengland.co.uk, or any successor source for the Sterling Overnight Index Average identified as such by the SONIA Administrator from time to time.</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SONIA Borrowing</w:t>
      </w:r>
      <w:r>
        <w:rPr>
          <w:color w:val="000000"/>
        </w:rPr>
        <w:t xml:space="preserve">” </w:t>
      </w:r>
      <w:r>
        <w:rPr>
          <w:rFonts w:ascii="Times New Roman;sans-serif" w:hAnsi="Times New Roman;sans-serif"/>
          <w:b w:val="false"/>
          <w:color w:val="000000"/>
          <w:sz w:val="20"/>
        </w:rPr>
        <w:t>means, for any as to any Borrowing, the SONIA Loans comprising such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Borrowing.</w:t>
      </w:r>
    </w:p>
    <w:p>
      <w:pPr>
        <w:pStyle w:val="TextBody"/>
        <w:bidi w:val="0"/>
        <w:spacing w:before="10" w:after="283"/>
        <w:jc w:val="left"/>
        <w:rPr/>
      </w:pPr>
      <w:r>
        <w:rPr/>
      </w:r>
    </w:p>
    <w:p>
      <w:pPr>
        <w:pStyle w:val="TextBody"/>
        <w:bidi w:val="0"/>
        <w:spacing w:lineRule="auto" w:line="288" w:before="1" w:after="283"/>
        <w:ind w:left="0" w:right="0" w:firstLine="1440"/>
        <w:jc w:val="left"/>
        <w:rPr/>
      </w:pPr>
      <w:r>
        <w:rPr>
          <w:color w:val="000000"/>
        </w:rPr>
        <w:t>“</w:t>
      </w:r>
      <w:r>
        <w:rPr>
          <w:rFonts w:ascii="Times New Roman;sans-serif" w:hAnsi="Times New Roman;sans-serif"/>
          <w:b w:val="false"/>
          <w:color w:val="000000"/>
          <w:sz w:val="20"/>
          <w:u w:val="single"/>
        </w:rPr>
        <w:t>SONIA Business Day</w:t>
      </w:r>
      <w:r>
        <w:rPr>
          <w:color w:val="000000"/>
        </w:rPr>
        <w:t xml:space="preserve">” </w:t>
      </w:r>
      <w:r>
        <w:rPr>
          <w:rFonts w:ascii="Times New Roman;sans-serif" w:hAnsi="Times New Roman;sans-serif"/>
          <w:b w:val="false"/>
          <w:color w:val="000000"/>
          <w:sz w:val="20"/>
        </w:rPr>
        <w:t>means, for any Loan denominated in Sterling, any day except for (i) a Saturday, (ii) a Sunday or (iii) a day on which banks are closed for general business in London.</w:t>
      </w:r>
    </w:p>
    <w:p>
      <w:pPr>
        <w:pStyle w:val="TextBody"/>
        <w:bidi w:val="0"/>
        <w:spacing w:before="60" w:after="283"/>
        <w:jc w:val="left"/>
        <w:rPr/>
      </w:pPr>
      <w:r>
        <w:rPr/>
      </w:r>
    </w:p>
    <w:p>
      <w:pPr>
        <w:pStyle w:val="TextBody"/>
        <w:bidi w:val="0"/>
        <w:spacing w:lineRule="auto" w:line="288" w:before="60" w:after="283"/>
        <w:jc w:val="left"/>
        <w:rPr/>
      </w:pPr>
      <w:r>
        <w:rPr>
          <w:color w:val="000000"/>
        </w:rPr>
        <w:t>“</w:t>
      </w:r>
      <w:r>
        <w:rPr>
          <w:rFonts w:ascii="Times New Roman;sans-serif" w:hAnsi="Times New Roman;sans-serif"/>
          <w:b w:val="false"/>
          <w:color w:val="000000"/>
          <w:sz w:val="20"/>
          <w:u w:val="single"/>
        </w:rPr>
        <w:t>SONIA Interest Day</w:t>
      </w:r>
      <w:r>
        <w:rPr>
          <w:color w:val="000000"/>
        </w:rPr>
        <w:t xml:space="preserve">” </w:t>
      </w:r>
      <w:r>
        <w:rPr>
          <w:rFonts w:ascii="Times New Roman;sans-serif" w:hAnsi="Times New Roman;sans-serif"/>
          <w:b w:val="false"/>
          <w:color w:val="000000"/>
          <w:sz w:val="20"/>
        </w:rPr>
        <w:t>has the meaning specified in the definition of “Daily Simple SONIA”.</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SONIA Loan</w:t>
      </w:r>
      <w:r>
        <w:rPr>
          <w:color w:val="000000"/>
        </w:rPr>
        <w:t xml:space="preserve">” </w:t>
      </w:r>
      <w:r>
        <w:rPr>
          <w:rFonts w:ascii="Times New Roman;sans-serif" w:hAnsi="Times New Roman;sans-serif"/>
          <w:b w:val="false"/>
          <w:color w:val="000000"/>
          <w:sz w:val="20"/>
        </w:rPr>
        <w:t>means any Loan denominated in Sterling, which shall bear interest at a rate based on the Adjusted Daily Simple SONIA.</w:t>
      </w:r>
    </w:p>
    <w:p>
      <w:pPr>
        <w:pStyle w:val="TextBody"/>
        <w:bidi w:val="0"/>
        <w:spacing w:lineRule="auto" w:line="655" w:before="0" w:after="0"/>
        <w:ind w:left="0" w:right="0" w:firstLine="49"/>
        <w:jc w:val="left"/>
        <w:rPr/>
      </w:pPr>
      <w:r>
        <w:rPr>
          <w:color w:val="000000"/>
        </w:rPr>
        <w:t>“</w:t>
      </w:r>
      <w:r>
        <w:rPr>
          <w:rFonts w:ascii="Times New Roman;sans-serif" w:hAnsi="Times New Roman;sans-serif"/>
          <w:b w:val="false"/>
          <w:color w:val="000000"/>
          <w:sz w:val="20"/>
          <w:u w:val="single"/>
        </w:rPr>
        <w:t>Specified Discount</w:t>
      </w:r>
      <w:r>
        <w:rPr>
          <w:color w:val="000000"/>
        </w:rPr>
        <w:t xml:space="preserve">” </w:t>
      </w:r>
      <w:r>
        <w:rPr>
          <w:rFonts w:ascii="Times New Roman;sans-serif" w:hAnsi="Times New Roman;sans-serif"/>
          <w:b w:val="false"/>
          <w:color w:val="000000"/>
          <w:sz w:val="20"/>
        </w:rPr>
        <w:t>has the meaning assigned to such term in Section 2.11(a)(ii)(B)(1). “</w:t>
      </w:r>
      <w:r>
        <w:rPr>
          <w:rFonts w:ascii="Times New Roman;sans-serif" w:hAnsi="Times New Roman;sans-serif"/>
          <w:b w:val="false"/>
          <w:color w:val="000000"/>
          <w:sz w:val="20"/>
          <w:u w:val="single"/>
        </w:rPr>
        <w:t>Specified Discount Prepayment Amount</w:t>
      </w:r>
      <w:r>
        <w:rPr>
          <w:color w:val="000000"/>
        </w:rPr>
        <w:t xml:space="preserve">” </w:t>
      </w:r>
      <w:r>
        <w:rPr>
          <w:rFonts w:ascii="Times New Roman;sans-serif" w:hAnsi="Times New Roman;sans-serif"/>
          <w:b w:val="false"/>
          <w:color w:val="000000"/>
          <w:sz w:val="20"/>
        </w:rPr>
        <w:t>has the meaning assigned to such term in</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2.11(a)(ii)(B)(1).</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Specified Discount Prepayment Notice</w:t>
      </w:r>
      <w:r>
        <w:rPr>
          <w:color w:val="000000"/>
        </w:rPr>
        <w:t xml:space="preserve">” </w:t>
      </w:r>
      <w:r>
        <w:rPr>
          <w:rFonts w:ascii="Times New Roman;sans-serif" w:hAnsi="Times New Roman;sans-serif"/>
          <w:b w:val="false"/>
          <w:color w:val="000000"/>
          <w:sz w:val="20"/>
        </w:rPr>
        <w:t>means an irrevocable written notice of the Borrower of Specified Discount Prepayment Amount made pursuant to Section 2.11(a)(ii)(B) substantially in the form of Exhibit G.</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Specified Discount Prepayment Response</w:t>
      </w:r>
      <w:r>
        <w:rPr>
          <w:color w:val="000000"/>
        </w:rPr>
        <w:t xml:space="preserve">” </w:t>
      </w:r>
      <w:r>
        <w:rPr>
          <w:rFonts w:ascii="Times New Roman;sans-serif" w:hAnsi="Times New Roman;sans-serif"/>
          <w:b w:val="false"/>
          <w:color w:val="000000"/>
          <w:sz w:val="20"/>
        </w:rPr>
        <w:t>means the irrevocable written response by each Term Lender, substantially in the form of Exhibit H, to a Specified Discount Prepayment Notice.</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Specified Discount Prepayment Response Date</w:t>
      </w:r>
      <w:r>
        <w:rPr>
          <w:color w:val="000000"/>
        </w:rPr>
        <w:t xml:space="preserve">” </w:t>
      </w:r>
      <w:r>
        <w:rPr>
          <w:rFonts w:ascii="Times New Roman;sans-serif" w:hAnsi="Times New Roman;sans-serif"/>
          <w:b w:val="false"/>
          <w:color w:val="000000"/>
          <w:sz w:val="20"/>
        </w:rPr>
        <w:t>has the meaning assigned to such term in Section 2.11(a)(ii)(B)(1).</w:t>
      </w:r>
    </w:p>
    <w:p>
      <w:pPr>
        <w:pStyle w:val="TextBody"/>
        <w:bidi w:val="0"/>
        <w:spacing w:lineRule="auto" w:line="655" w:before="1" w:after="283"/>
        <w:jc w:val="left"/>
        <w:rPr/>
      </w:pPr>
      <w:r>
        <w:rPr>
          <w:color w:val="000000"/>
        </w:rPr>
        <w:t>“</w:t>
      </w:r>
      <w:r>
        <w:rPr>
          <w:rFonts w:ascii="Times New Roman;sans-serif" w:hAnsi="Times New Roman;sans-serif"/>
          <w:b w:val="false"/>
          <w:color w:val="000000"/>
          <w:sz w:val="20"/>
          <w:u w:val="single"/>
        </w:rPr>
        <w:t>Specified Discount Proration</w:t>
      </w:r>
      <w:r>
        <w:rPr>
          <w:color w:val="000000"/>
        </w:rPr>
        <w:t xml:space="preserve">” </w:t>
      </w:r>
      <w:r>
        <w:rPr>
          <w:rFonts w:ascii="Times New Roman;sans-serif" w:hAnsi="Times New Roman;sans-serif"/>
          <w:b w:val="false"/>
          <w:color w:val="000000"/>
          <w:sz w:val="20"/>
        </w:rPr>
        <w:t>has the meaning assigned to such term in Section 2.11(a)(ii)(B)(3). “</w:t>
      </w:r>
      <w:r>
        <w:rPr>
          <w:rFonts w:ascii="Times New Roman;sans-serif" w:hAnsi="Times New Roman;sans-serif"/>
          <w:b w:val="false"/>
          <w:color w:val="000000"/>
          <w:sz w:val="20"/>
          <w:u w:val="single"/>
        </w:rPr>
        <w:t>Specified Event of Default</w:t>
      </w:r>
      <w:r>
        <w:rPr>
          <w:color w:val="000000"/>
        </w:rPr>
        <w:t xml:space="preserve">” </w:t>
      </w:r>
      <w:r>
        <w:rPr>
          <w:rFonts w:ascii="Times New Roman;sans-serif" w:hAnsi="Times New Roman;sans-serif"/>
          <w:b w:val="false"/>
          <w:color w:val="000000"/>
          <w:sz w:val="20"/>
        </w:rPr>
        <w:t>means an Event of Default under Section 7.01(a), (b), (h) or (i). “</w:t>
      </w:r>
      <w:r>
        <w:rPr>
          <w:rFonts w:ascii="Times New Roman;sans-serif" w:hAnsi="Times New Roman;sans-serif"/>
          <w:b w:val="false"/>
          <w:color w:val="000000"/>
          <w:sz w:val="20"/>
          <w:u w:val="single"/>
        </w:rPr>
        <w:t>Specified Transaction</w:t>
      </w:r>
      <w:r>
        <w:rPr>
          <w:color w:val="000000"/>
        </w:rPr>
        <w:t xml:space="preserve">” </w:t>
      </w:r>
      <w:r>
        <w:rPr>
          <w:rFonts w:ascii="Times New Roman;sans-serif" w:hAnsi="Times New Roman;sans-serif"/>
          <w:b w:val="false"/>
          <w:color w:val="000000"/>
          <w:sz w:val="20"/>
        </w:rPr>
        <w:t>means, with respect to any period, any Investment, sale, transfer or other</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disposition of assets, incurrence or repayment of Indebtedness, Restricted Payment, subsidiary designation, New Project or other event that by the terms of the First Lien Loan Documents requires “Pro Forma Compliance” with a test or covenant hereunder or requires such test or covenant to be calculated on a Pro Forma Basis after giving Pro Forma Effect thereto.</w:t>
      </w:r>
    </w:p>
    <w:p>
      <w:pPr>
        <w:pStyle w:val="TextBody"/>
        <w:bidi w:val="0"/>
        <w:spacing w:before="11"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Sponsor</w:t>
      </w:r>
      <w:r>
        <w:rPr>
          <w:color w:val="000000"/>
        </w:rPr>
        <w:t xml:space="preserve">” </w:t>
      </w:r>
      <w:r>
        <w:rPr>
          <w:rFonts w:ascii="Times New Roman;sans-serif" w:hAnsi="Times New Roman;sans-serif"/>
          <w:b w:val="false"/>
          <w:color w:val="000000"/>
          <w:sz w:val="20"/>
        </w:rPr>
        <w:t>means Warburg Pincus LLC, GTCR LLC and each of their respective Affiliates, but not including, however, any portfolio companies of the foregoing.</w:t>
      </w:r>
    </w:p>
    <w:p>
      <w:pPr>
        <w:pStyle w:val="TextBody"/>
        <w:bidi w:val="0"/>
        <w:spacing w:before="10"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Spot Rate</w:t>
      </w:r>
      <w:r>
        <w:rPr>
          <w:color w:val="000000"/>
        </w:rPr>
        <w:t xml:space="preserve">” </w:t>
      </w:r>
      <w:r>
        <w:rPr>
          <w:rFonts w:ascii="Times New Roman;sans-serif" w:hAnsi="Times New Roman;sans-serif"/>
          <w:b w:val="false"/>
          <w:color w:val="000000"/>
          <w:sz w:val="20"/>
        </w:rPr>
        <w:t xml:space="preserve">means, on any day, with respect to any currency other than Dollars (for purposes of determining the Dollar Amount thereof) or Dollars (for purposes of determining the Alternative Currency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1155"/>
                <wp:effectExtent l="0" t="0" r="0" b="0"/>
                <wp:wrapNone/>
                <wp:docPr id="146" name="Frame1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 xml:space="preserve">Equivalent thereof), the rate at which such currency may be exchanged into Dollars or the applicable Alternative Currency, as the case may be, as set forth at approximately 11:00 a.m., New York City time, two (2) Business Days prior to such date on the applicable Bloomberg Key Cross Currency Rates Page. In the event that any such rate does not appear on any Bloomberg Key Cross Currency Rates Page, the Spot Rate shall be determined by reference to such other publicly available service for displaying exchange rates selected by the First Lien Administrative Agent for such purpose, or, at the discretion of the First Lien Administrative Agent, such Spot Rate shall instead be the arithmetic average of the spot rates of exchange of the First Lien Administrative Agent in the market where its foreign currency exchange operations in respect of such currency are then being conducted, at or about 10:00 a.m., local time in such market, two (2) Business Days prior to such date for the purchase of Dollars or the applicable Alternative Currency, as the case may be, for delivery two (2) Business Days later;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at the time of any such determination, for any reason, no such spot rate is being quoted, the First Lien Administrative Agent may use any other reasonable method it deems appropriate to determine such rate, and such determination shall be presumed correct absent manifest error.</w:t>
      </w:r>
    </w:p>
    <w:p>
      <w:pPr>
        <w:pStyle w:val="TextBody"/>
        <w:bidi w:val="0"/>
        <w:spacing w:lineRule="auto" w:line="655" w:before="7" w:after="283"/>
        <w:jc w:val="left"/>
        <w:rPr/>
      </w:pPr>
      <w:r>
        <w:rPr>
          <w:color w:val="000000"/>
        </w:rPr>
        <w:t>“</w:t>
      </w:r>
      <w:r>
        <w:rPr>
          <w:rFonts w:ascii="Times New Roman;sans-serif" w:hAnsi="Times New Roman;sans-serif"/>
          <w:b w:val="false"/>
          <w:color w:val="000000"/>
          <w:sz w:val="20"/>
          <w:u w:val="single"/>
        </w:rPr>
        <w:t>Starter Basket</w:t>
      </w:r>
      <w:r>
        <w:rPr>
          <w:color w:val="000000"/>
        </w:rPr>
        <w:t xml:space="preserve">” </w:t>
      </w:r>
      <w:r>
        <w:rPr>
          <w:rFonts w:ascii="Times New Roman;sans-serif" w:hAnsi="Times New Roman;sans-serif"/>
          <w:b w:val="false"/>
          <w:color w:val="000000"/>
          <w:sz w:val="20"/>
        </w:rPr>
        <w:t>has the meaning assigned to such term in the definition of “Available Amount.” “</w:t>
      </w:r>
      <w:r>
        <w:rPr>
          <w:rFonts w:ascii="Times New Roman;sans-serif" w:hAnsi="Times New Roman;sans-serif"/>
          <w:b w:val="false"/>
          <w:color w:val="000000"/>
          <w:sz w:val="20"/>
          <w:u w:val="single"/>
        </w:rPr>
        <w:t>Statutory Reserve Rate</w:t>
      </w:r>
      <w:r>
        <w:rPr>
          <w:color w:val="000000"/>
        </w:rPr>
        <w:t xml:space="preserve">” </w:t>
      </w:r>
      <w:r>
        <w:rPr>
          <w:rFonts w:ascii="Times New Roman;sans-serif" w:hAnsi="Times New Roman;sans-serif"/>
          <w:b w:val="false"/>
          <w:color w:val="000000"/>
          <w:sz w:val="20"/>
        </w:rPr>
        <w:t>means a fraction (expressed as a decimal), the numerator of which is the</w:t>
      </w:r>
    </w:p>
    <w:p>
      <w:pPr>
        <w:pStyle w:val="TextBody"/>
        <w:bidi w:val="0"/>
        <w:spacing w:lineRule="auto" w:line="288" w:before="1" w:after="283"/>
        <w:jc w:val="both"/>
        <w:rPr/>
      </w:pPr>
      <w:r>
        <w:rPr>
          <w:rFonts w:ascii="Times New Roman;sans-serif" w:hAnsi="Times New Roman;sans-serif"/>
          <w:b w:val="false"/>
          <w:color w:val="000000"/>
          <w:sz w:val="20"/>
        </w:rPr>
        <w:t xml:space="preserve">number one and the denominator of which is the number one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the aggregate of the maximum reserve, liquid asset or similar percentages (including any marginal, special, emergency or supplemental reserves) expressed as a decimal established by any Governmental Authority of the United States. Such reserve, liquid asset or similar percentages shall include those imposed pursuant to Regulation D of the Board of Governors. Term Benchmark Loans shall be deemed to be subject to such reserve, liquid asset or similar requirements without benefit of or credit for proration, exemptions or offsets that may be available from time to time to any Lender under Regulation D of the Board of Governors or any other Requirements of Law. The Statutory Reserve Rate shall be adjusted automatically on and as of the effective date of any change in any reserve percentage.</w:t>
      </w:r>
    </w:p>
    <w:p>
      <w:pPr>
        <w:pStyle w:val="TextBody"/>
        <w:bidi w:val="0"/>
        <w:spacing w:lineRule="auto" w:line="655" w:before="3" w:after="283"/>
        <w:jc w:val="left"/>
        <w:rPr/>
      </w:pPr>
      <w:r>
        <w:rPr>
          <w:color w:val="000000"/>
        </w:rPr>
        <w:t>“</w:t>
      </w:r>
      <w:r>
        <w:rPr>
          <w:rFonts w:ascii="Times New Roman;sans-serif" w:hAnsi="Times New Roman;sans-serif"/>
          <w:b w:val="false"/>
          <w:color w:val="000000"/>
          <w:sz w:val="20"/>
          <w:u w:val="single"/>
        </w:rPr>
        <w:t>Sterling</w:t>
      </w:r>
      <w:r>
        <w:rPr>
          <w:color w:val="000000"/>
        </w:rPr>
        <w:t xml:space="preserve">” </w:t>
      </w:r>
      <w:r>
        <w:rPr>
          <w:rFonts w:ascii="Times New Roman;sans-serif" w:hAnsi="Times New Roman;sans-serif"/>
          <w:b w:val="false"/>
          <w:color w:val="000000"/>
          <w:sz w:val="20"/>
        </w:rPr>
        <w:t>and “£” mean the lawful currency for the time being of the United Kingdom. “</w:t>
      </w:r>
      <w:r>
        <w:rPr>
          <w:rFonts w:ascii="Times New Roman;sans-serif" w:hAnsi="Times New Roman;sans-serif"/>
          <w:b w:val="false"/>
          <w:color w:val="000000"/>
          <w:sz w:val="20"/>
          <w:u w:val="single"/>
        </w:rPr>
        <w:t>Submitted Amount</w:t>
      </w:r>
      <w:r>
        <w:rPr>
          <w:color w:val="000000"/>
        </w:rPr>
        <w:t xml:space="preserve">” </w:t>
      </w:r>
      <w:r>
        <w:rPr>
          <w:rFonts w:ascii="Times New Roman;sans-serif" w:hAnsi="Times New Roman;sans-serif"/>
          <w:b w:val="false"/>
          <w:color w:val="000000"/>
          <w:sz w:val="20"/>
        </w:rPr>
        <w:t>has the meaning assigned to such term in Section 2.11(a)(ii)(C)(1). “</w:t>
      </w:r>
      <w:r>
        <w:rPr>
          <w:rFonts w:ascii="Times New Roman;sans-serif" w:hAnsi="Times New Roman;sans-serif"/>
          <w:b w:val="false"/>
          <w:color w:val="000000"/>
          <w:sz w:val="20"/>
          <w:u w:val="single"/>
        </w:rPr>
        <w:t>Submitted Discount</w:t>
      </w:r>
      <w:r>
        <w:rPr>
          <w:color w:val="000000"/>
        </w:rPr>
        <w:t xml:space="preserve">” </w:t>
      </w:r>
      <w:r>
        <w:rPr>
          <w:rFonts w:ascii="Times New Roman;sans-serif" w:hAnsi="Times New Roman;sans-serif"/>
          <w:b w:val="false"/>
          <w:color w:val="000000"/>
          <w:sz w:val="20"/>
        </w:rPr>
        <w:t>has the meaning assigned to such term in Section 2.11(a)(ii)(C)(1). “</w:t>
      </w:r>
      <w:r>
        <w:rPr>
          <w:rFonts w:ascii="Times New Roman;sans-serif" w:hAnsi="Times New Roman;sans-serif"/>
          <w:b w:val="false"/>
          <w:color w:val="000000"/>
          <w:sz w:val="20"/>
          <w:u w:val="single"/>
        </w:rPr>
        <w:t>subsidiary</w:t>
      </w:r>
      <w:r>
        <w:rPr>
          <w:color w:val="000000"/>
        </w:rPr>
        <w:t xml:space="preserve">” </w:t>
      </w:r>
      <w:r>
        <w:rPr>
          <w:rFonts w:ascii="Times New Roman;sans-serif" w:hAnsi="Times New Roman;sans-serif"/>
          <w:b w:val="false"/>
          <w:color w:val="000000"/>
          <w:sz w:val="20"/>
        </w:rPr>
        <w:t>means, with respect to any Person (the “</w:t>
      </w:r>
      <w:r>
        <w:rPr>
          <w:rFonts w:ascii="Times New Roman;sans-serif" w:hAnsi="Times New Roman;sans-serif"/>
          <w:b w:val="false"/>
          <w:color w:val="000000"/>
          <w:sz w:val="20"/>
          <w:u w:val="single"/>
        </w:rPr>
        <w:t>parent</w:t>
      </w:r>
      <w:r>
        <w:rPr>
          <w:color w:val="000000"/>
        </w:rPr>
        <w:t>”</w:t>
      </w:r>
      <w:r>
        <w:rPr>
          <w:rFonts w:ascii="Times New Roman;sans-serif" w:hAnsi="Times New Roman;sans-serif"/>
          <w:b w:val="false"/>
          <w:color w:val="000000"/>
          <w:sz w:val="20"/>
        </w:rPr>
        <w:t>) at any date, any corporation, limited</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(unless parent does not Control such entity), or (b) that is, as of such date, otherwise Controlled, by the parent or one or more subsidiaries of the parent or by the parent and one or more subsidiaries of the parent.</w:t>
      </w:r>
    </w:p>
    <w:p>
      <w:pPr>
        <w:pStyle w:val="TextBody"/>
        <w:bidi w:val="0"/>
        <w:spacing w:before="13" w:after="283"/>
        <w:jc w:val="left"/>
        <w:rPr/>
      </w:pPr>
      <w:r>
        <w:rPr/>
      </w:r>
    </w:p>
    <w:p>
      <w:pPr>
        <w:pStyle w:val="TextBody"/>
        <w:bidi w:val="0"/>
        <w:spacing w:lineRule="auto" w:line="288" w:before="1" w:after="283"/>
        <w:jc w:val="left"/>
        <w:rPr/>
      </w:pPr>
      <w:r>
        <w:rPr>
          <w:color w:val="000000"/>
        </w:rPr>
        <w:t>“</w:t>
      </w:r>
      <w:r>
        <w:rPr>
          <w:rFonts w:ascii="Times New Roman;sans-serif" w:hAnsi="Times New Roman;sans-serif"/>
          <w:b w:val="false"/>
          <w:color w:val="000000"/>
          <w:sz w:val="20"/>
          <w:u w:val="single"/>
        </w:rPr>
        <w:t>Subsidiary</w:t>
      </w:r>
      <w:r>
        <w:rPr>
          <w:color w:val="000000"/>
        </w:rPr>
        <w:t xml:space="preserve">” </w:t>
      </w:r>
      <w:r>
        <w:rPr>
          <w:rFonts w:ascii="Times New Roman;sans-serif" w:hAnsi="Times New Roman;sans-serif"/>
          <w:b w:val="false"/>
          <w:color w:val="000000"/>
          <w:sz w:val="20"/>
        </w:rPr>
        <w:t>means any subsidiary of the Borrower (unless otherwise specified).</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Subsidiary Loan Party</w:t>
      </w:r>
      <w:r>
        <w:rPr>
          <w:color w:val="000000"/>
        </w:rPr>
        <w:t xml:space="preserve">” </w:t>
      </w:r>
      <w:r>
        <w:rPr>
          <w:rFonts w:ascii="Times New Roman;sans-serif" w:hAnsi="Times New Roman;sans-serif"/>
          <w:b w:val="false"/>
          <w:color w:val="000000"/>
          <w:sz w:val="20"/>
        </w:rPr>
        <w:t>means each Subsidiary of the Borrower that is a party to the First Lien Guarantee Agreement.</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Successor Borrower</w:t>
      </w:r>
      <w:r>
        <w:rPr>
          <w:color w:val="000000"/>
        </w:rPr>
        <w:t xml:space="preserve">” </w:t>
      </w:r>
      <w:r>
        <w:rPr>
          <w:rFonts w:ascii="Times New Roman;sans-serif" w:hAnsi="Times New Roman;sans-serif"/>
          <w:b w:val="false"/>
          <w:color w:val="000000"/>
          <w:sz w:val="20"/>
        </w:rPr>
        <w:t>has the meaning assigned to such term in Section 6.03(a)(iv).</w:t>
      </w:r>
    </w:p>
    <w:p>
      <w:pPr>
        <w:pStyle w:val="TextBody"/>
        <w:bidi w:val="0"/>
        <w:spacing w:before="10" w:after="283"/>
        <w:jc w:val="left"/>
        <w:rPr/>
      </w:pPr>
      <w:r>
        <w:rPr/>
      </w:r>
    </w:p>
    <w:p>
      <w:pPr>
        <w:pStyle w:val="TextBody"/>
        <w:bidi w:val="0"/>
        <w:spacing w:lineRule="auto" w:line="288"/>
        <w:ind w:left="0" w:right="0" w:firstLine="1440"/>
        <w:jc w:val="both"/>
        <w:rPr/>
      </w:pPr>
      <w:r>
        <w:rPr>
          <w:color w:val="000000"/>
        </w:rPr>
        <w:t>“</w:t>
      </w:r>
      <w:r>
        <w:rPr>
          <w:rFonts w:ascii="Times New Roman;sans-serif" w:hAnsi="Times New Roman;sans-serif"/>
          <w:b w:val="false"/>
          <w:color w:val="000000"/>
          <w:sz w:val="20"/>
          <w:u w:val="single"/>
        </w:rPr>
        <w:t>Swap Agreement</w:t>
      </w:r>
      <w:r>
        <w:rPr>
          <w:color w:val="000000"/>
        </w:rPr>
        <w:t xml:space="preserve">” </w:t>
      </w:r>
      <w:r>
        <w:rPr>
          <w:rFonts w:ascii="Times New Roman;sans-serif" w:hAnsi="Times New Roman;sans-serif"/>
          <w:b w:val="false"/>
          <w:color w:val="000000"/>
          <w:sz w:val="20"/>
        </w:rPr>
        <w:t xml:space="preserve">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1155"/>
                <wp:effectExtent l="0" t="0" r="0" b="0"/>
                <wp:wrapNone/>
                <wp:docPr id="147" name="Frame1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ans-serif" w:hAnsi="Times New Roman;sans-serif"/>
          <w:b w:val="false"/>
          <w:color w:val="000000"/>
          <w:sz w:val="20"/>
          <w:u w:val="single"/>
        </w:rPr>
        <w:t>Master Agreement</w:t>
      </w:r>
      <w:r>
        <w:rPr>
          <w:color w:val="000000"/>
        </w:rPr>
        <w:t>”</w:t>
      </w:r>
      <w:r>
        <w:rPr>
          <w:rFonts w:ascii="Times New Roman;sans-serif" w:hAnsi="Times New Roman;sans-serif"/>
          <w:b w:val="false"/>
          <w:color w:val="000000"/>
          <w:sz w:val="20"/>
        </w:rPr>
        <w:t>), including any such obligations or liabilities under any Master Agreement.</w:t>
      </w:r>
    </w:p>
    <w:p>
      <w:pPr>
        <w:pStyle w:val="TextBody"/>
        <w:bidi w:val="0"/>
        <w:spacing w:before="15"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Swingline Commitment</w:t>
      </w:r>
      <w:r>
        <w:rPr>
          <w:color w:val="000000"/>
        </w:rPr>
        <w:t xml:space="preserve">” </w:t>
      </w:r>
      <w:r>
        <w:rPr>
          <w:rFonts w:ascii="Times New Roman;sans-serif" w:hAnsi="Times New Roman;sans-serif"/>
          <w:b w:val="false"/>
          <w:color w:val="000000"/>
          <w:sz w:val="20"/>
        </w:rPr>
        <w:t>means the commitment of the Swingline Lender to make Swingline Loans up to an aggregate principal amount not to exceed $35,000,000.</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Swingline Exposure</w:t>
      </w:r>
      <w:r>
        <w:rPr>
          <w:color w:val="000000"/>
        </w:rPr>
        <w:t xml:space="preserve">” </w:t>
      </w:r>
      <w:r>
        <w:rPr>
          <w:rFonts w:ascii="Times New Roman;sans-serif" w:hAnsi="Times New Roman;sans-serif"/>
          <w:b w:val="false"/>
          <w:color w:val="000000"/>
          <w:sz w:val="20"/>
        </w:rPr>
        <w:t>means, at any time, the aggregate principal amount of all Swingline Loans outstanding at such time. The Swingline Exposure of any Revolving Lender at any time shall be its Applicable Percentage of the aggregate Swingline Exposure at such time.</w:t>
      </w:r>
    </w:p>
    <w:p>
      <w:pPr>
        <w:pStyle w:val="TextBody"/>
        <w:bidi w:val="0"/>
        <w:spacing w:before="11" w:after="283"/>
        <w:jc w:val="left"/>
        <w:rPr/>
      </w:pPr>
      <w:r>
        <w:rPr/>
      </w:r>
    </w:p>
    <w:p>
      <w:pPr>
        <w:pStyle w:val="TextBody"/>
        <w:bidi w:val="0"/>
        <w:spacing w:lineRule="auto" w:line="288" w:before="1" w:after="283"/>
        <w:jc w:val="right"/>
        <w:rPr/>
      </w:pPr>
      <w:r>
        <w:rPr>
          <w:color w:val="000000"/>
        </w:rPr>
        <w:t>“</w:t>
      </w:r>
      <w:r>
        <w:rPr>
          <w:rFonts w:ascii="Times New Roman;sans-serif" w:hAnsi="Times New Roman;sans-serif"/>
          <w:b w:val="false"/>
          <w:color w:val="000000"/>
          <w:sz w:val="20"/>
          <w:u w:val="single"/>
        </w:rPr>
        <w:t>Swingline Lender</w:t>
      </w:r>
      <w:r>
        <w:rPr>
          <w:color w:val="000000"/>
        </w:rPr>
        <w:t xml:space="preserve">” </w:t>
      </w:r>
      <w:r>
        <w:rPr>
          <w:rFonts w:ascii="Times New Roman;sans-serif" w:hAnsi="Times New Roman;sans-serif"/>
          <w:b w:val="false"/>
          <w:color w:val="000000"/>
          <w:sz w:val="20"/>
        </w:rPr>
        <w:t>means (a) the First Lien Administrative Agent, (b) JPMorgan Chase Bank,</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N.A. and (c) each Revolving Lender that shall have become a Swingline Lender hereunder as provided in Section</w:t>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2.04(d) (other than any Person that shall have ceased to be a Swingline Lender as provided in Section 2.04(e)), each in its capacity as a lender of Swingline Loans hereunder.</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Swingline Loan</w:t>
      </w:r>
      <w:r>
        <w:rPr>
          <w:color w:val="000000"/>
        </w:rPr>
        <w:t xml:space="preserve">” </w:t>
      </w:r>
      <w:r>
        <w:rPr>
          <w:rFonts w:ascii="Times New Roman;sans-serif" w:hAnsi="Times New Roman;sans-serif"/>
          <w:b w:val="false"/>
          <w:color w:val="000000"/>
          <w:sz w:val="20"/>
        </w:rPr>
        <w:t>means a Loan made pursuant to Section 2.04.</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TARGET Day</w:t>
      </w:r>
      <w:r>
        <w:rPr>
          <w:color w:val="000000"/>
        </w:rPr>
        <w:t xml:space="preserve">” </w:t>
      </w:r>
      <w:r>
        <w:rPr>
          <w:rFonts w:ascii="Times New Roman;sans-serif" w:hAnsi="Times New Roman;sans-serif"/>
          <w:b w:val="false"/>
          <w:color w:val="000000"/>
          <w:sz w:val="20"/>
        </w:rPr>
        <w:t>means any day on which the Trans-European Automated Real-time Gross Settlement Express Transfer (TARGET) payment system (or, if such payment system ceases to be operative, such other payment system (if any) determined by the First Lien Administrative Agent to be a suitable replacement) is open for the settlement of payments in Euros.</w:t>
      </w:r>
    </w:p>
    <w:p>
      <w:pPr>
        <w:pStyle w:val="TextBody"/>
        <w:bidi w:val="0"/>
        <w:spacing w:before="12" w:after="283"/>
        <w:jc w:val="left"/>
        <w:rPr/>
      </w:pPr>
      <w:r>
        <w:rPr/>
      </w:r>
    </w:p>
    <w:p>
      <w:pPr>
        <w:pStyle w:val="TextBody"/>
        <w:bidi w:val="0"/>
        <w:spacing w:lineRule="auto" w:line="568" w:before="0" w:after="0"/>
        <w:jc w:val="left"/>
        <w:rPr/>
      </w:pPr>
      <w:r>
        <w:rPr>
          <w:color w:val="000000"/>
        </w:rPr>
        <w:t>“</w:t>
      </w:r>
      <w:r>
        <w:rPr>
          <w:rFonts w:ascii="Times New Roman;sans-serif" w:hAnsi="Times New Roman;sans-serif"/>
          <w:b w:val="false"/>
          <w:color w:val="000000"/>
          <w:sz w:val="20"/>
          <w:u w:val="single"/>
        </w:rPr>
        <w:t>Tax Distributions</w:t>
      </w:r>
      <w:r>
        <w:rPr>
          <w:color w:val="000000"/>
        </w:rPr>
        <w:t xml:space="preserve">” </w:t>
      </w:r>
      <w:r>
        <w:rPr>
          <w:rFonts w:ascii="Times New Roman;sans-serif" w:hAnsi="Times New Roman;sans-serif"/>
          <w:b w:val="false"/>
          <w:color w:val="000000"/>
          <w:sz w:val="20"/>
        </w:rPr>
        <w:t>has the meaning assigned to such term in Section 6.07(a)(vii)(A). “</w:t>
      </w:r>
      <w:r>
        <w:rPr>
          <w:rFonts w:ascii="Times New Roman;sans-serif" w:hAnsi="Times New Roman;sans-serif"/>
          <w:b w:val="false"/>
          <w:color w:val="000000"/>
          <w:sz w:val="20"/>
          <w:u w:val="single"/>
        </w:rPr>
        <w:t>Tax Group</w:t>
      </w:r>
      <w:r>
        <w:rPr>
          <w:color w:val="000000"/>
        </w:rPr>
        <w:t xml:space="preserve">” </w:t>
      </w:r>
      <w:r>
        <w:rPr>
          <w:rFonts w:ascii="Times New Roman;sans-serif" w:hAnsi="Times New Roman;sans-serif"/>
          <w:b w:val="false"/>
          <w:color w:val="000000"/>
          <w:sz w:val="20"/>
        </w:rPr>
        <w:t>has the meaning assigned to such term in Section 6.07(a)(vii)(A).</w: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Taxes</w:t>
      </w:r>
      <w:r>
        <w:rPr>
          <w:color w:val="000000"/>
        </w:rPr>
        <w:t xml:space="preserve">” </w:t>
      </w:r>
      <w:r>
        <w:rPr>
          <w:rFonts w:ascii="Times New Roman;sans-serif" w:hAnsi="Times New Roman;sans-serif"/>
          <w:b w:val="false"/>
          <w:color w:val="000000"/>
          <w:sz w:val="20"/>
        </w:rPr>
        <w:t>means any and all present or future taxes, levies, imposts, duties, deductions, charges or withholdings imposed by any Governmental Authority, including any interest, additions to tax or penalties applicable thereto.</w:t>
      </w:r>
    </w:p>
    <w:p>
      <w:pPr>
        <w:pStyle w:val="TextBody"/>
        <w:bidi w:val="0"/>
        <w:spacing w:before="9"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Term Commitment</w:t>
      </w:r>
      <w:r>
        <w:rPr>
          <w:color w:val="000000"/>
        </w:rPr>
        <w:t xml:space="preserve">” </w:t>
      </w:r>
      <w:r>
        <w:rPr>
          <w:rFonts w:ascii="Times New Roman;sans-serif" w:hAnsi="Times New Roman;sans-serif"/>
          <w:b w:val="false"/>
          <w:color w:val="000000"/>
          <w:sz w:val="20"/>
        </w:rPr>
        <w:t>means, with respect to each Lender, the commitment, if any, of such Lender to make a Term Loan hereunder on the Effective Date, expressed as an amount representing the maximum principal amount of the Term Loan to be made by such Lender hereunder, as such commitment may be (a) reduced from time to time pursuant to Section 2.08 and (b) reduced or increased from time to time pursuant to (i) assignments by or to such Lender pursuant to an Assignment and Assumption, (ii) a Refinancing Amendment, (iii) an Incremental Facility Amendment in respect of any Term Loans or (iv) a Loan Modification Agreement. The amount of each Lender’s Term Commitment as of the Amendment No. 4 Effective Date is set forth on Schedule 2.01 or in the Assignment and Assumption pursuant to which such Lender shall have assumed its Term Commitment, Incremental Facility Amendment, Loan Modification Agreement or Refinancing Amendment, as the case may be. As of the Amendment No. 4 Effective Date, the total 2024 Refinancing Term Commitment is $1,509,350,000.</w:t>
      </w:r>
    </w:p>
    <w:p>
      <w:pPr>
        <w:pStyle w:val="TextBody"/>
        <w:bidi w:val="0"/>
        <w:spacing w:before="14"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Term Benchmark</w:t>
      </w:r>
      <w:r>
        <w:rPr>
          <w:color w:val="000000"/>
        </w:rPr>
        <w:t xml:space="preserve">” </w:t>
      </w:r>
      <w:r>
        <w:rPr>
          <w:rFonts w:ascii="Times New Roman;sans-serif" w:hAnsi="Times New Roman;sans-serif"/>
          <w:b w:val="false"/>
          <w:color w:val="000000"/>
          <w:sz w:val="20"/>
        </w:rPr>
        <w:t>when used in reference to any Loan or Borrowing, refers to whether such Loan, or the Loans comprising such Borrowing, are bearing interest at a rate determined by reference to the Adjusted Term SOFR Rate, the Adjusted EURIBOR Rate, or the Adjusted Term CORRA Rate and a “Term Benchmark Loan” or “Term Benchmark Borrowing” is a Loan or Borrowing that bears interest at a rate determined by reference to the Adjusted Term SOFR Rate, the Adjusted EURIBOR Rate, or the Adjusted Term CORRA Rate.</w:t>
      </w:r>
    </w:p>
    <w:p>
      <w:pPr>
        <w:pStyle w:val="TextBody"/>
        <w:bidi w:val="0"/>
        <w:spacing w:before="1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1155"/>
                <wp:effectExtent l="0" t="0" r="0" b="0"/>
                <wp:wrapNone/>
                <wp:docPr id="148" name="Frame1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Term CORRA</w:t>
      </w:r>
      <w:r>
        <w:rPr>
          <w:color w:val="000000"/>
        </w:rPr>
        <w:t xml:space="preserve">” </w:t>
      </w:r>
      <w:r>
        <w:rPr>
          <w:rFonts w:ascii="Times New Roman;sans-serif" w:hAnsi="Times New Roman;sans-serif"/>
          <w:b w:val="false"/>
          <w:color w:val="000000"/>
          <w:sz w:val="20"/>
        </w:rPr>
        <w:t>means, with respect to any Term Benchmark Borrowing denominated in Canadian dollars, the Term CORRA Reference Rate for a tenor comparable to the applicable Interest Period on the day (such day, the “</w:t>
      </w:r>
      <w:r>
        <w:rPr>
          <w:rFonts w:ascii="Times New Roman;sans-serif" w:hAnsi="Times New Roman;sans-serif"/>
          <w:b w:val="false"/>
          <w:color w:val="000000"/>
          <w:sz w:val="20"/>
          <w:u w:val="single"/>
        </w:rPr>
        <w:t>Periodic Term CORRA Determination Day</w:t>
      </w:r>
      <w:r>
        <w:rPr>
          <w:color w:val="000000"/>
        </w:rPr>
        <w:t>”</w:t>
      </w:r>
      <w:r>
        <w:rPr>
          <w:rFonts w:ascii="Times New Roman;sans-serif" w:hAnsi="Times New Roman;sans-serif"/>
          <w:b w:val="false"/>
          <w:color w:val="000000"/>
          <w:sz w:val="20"/>
        </w:rPr>
        <w:t>) that is two (2) Business Days prior to the first day of such Interest Period, as such rate is published by the Term CORRA Administrator and is displayed on a screen or other information service, as identified or selected by the Administrative Agent (the “</w:t>
      </w:r>
      <w:r>
        <w:rPr>
          <w:rFonts w:ascii="Times New Roman;sans-serif" w:hAnsi="Times New Roman;sans-serif"/>
          <w:b w:val="false"/>
          <w:color w:val="000000"/>
          <w:sz w:val="20"/>
          <w:u w:val="single"/>
        </w:rPr>
        <w:t>CAD Screen Rate</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w:t>
      </w:r>
    </w:p>
    <w:p>
      <w:pPr>
        <w:pStyle w:val="TextBody"/>
        <w:bidi w:val="0"/>
        <w:spacing w:before="15"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Term CORRA Administrator</w:t>
      </w:r>
      <w:r>
        <w:rPr>
          <w:color w:val="000000"/>
        </w:rPr>
        <w:t xml:space="preserve">” </w:t>
      </w:r>
      <w:r>
        <w:rPr>
          <w:rFonts w:ascii="Times New Roman;sans-serif" w:hAnsi="Times New Roman;sans-serif"/>
          <w:b w:val="false"/>
          <w:color w:val="000000"/>
          <w:sz w:val="20"/>
        </w:rPr>
        <w:t>means Candeal Benchmark Administration Services Inc., TSX Inc., or any successor administrator of the Term CORRA Reference Rate selected by the Administrative Agent in its reasonable discretion.</w:t>
      </w:r>
    </w:p>
    <w:p>
      <w:pPr>
        <w:pStyle w:val="TextBody"/>
        <w:bidi w:val="0"/>
        <w:spacing w:before="11"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Term CORRA Reference Rate</w:t>
      </w:r>
      <w:r>
        <w:rPr>
          <w:color w:val="000000"/>
        </w:rPr>
        <w:t xml:space="preserve">” </w:t>
      </w:r>
      <w:r>
        <w:rPr>
          <w:rFonts w:ascii="Times New Roman;sans-serif" w:hAnsi="Times New Roman;sans-serif"/>
          <w:b w:val="false"/>
          <w:color w:val="000000"/>
          <w:sz w:val="20"/>
        </w:rPr>
        <w:t>means the forward-looking term rate based on CORRA.</w:t>
      </w:r>
    </w:p>
    <w:p>
      <w:pPr>
        <w:pStyle w:val="TextBody"/>
        <w:bidi w:val="0"/>
        <w:spacing w:before="60" w:after="283"/>
        <w:jc w:val="left"/>
        <w:rPr/>
      </w:pPr>
      <w:r>
        <w:rPr/>
      </w:r>
    </w:p>
    <w:p>
      <w:pPr>
        <w:pStyle w:val="TextBody"/>
        <w:bidi w:val="0"/>
        <w:spacing w:lineRule="auto" w:line="288" w:before="60" w:after="283"/>
        <w:jc w:val="left"/>
        <w:rPr/>
      </w:pPr>
      <w:r>
        <w:rPr>
          <w:color w:val="000000"/>
        </w:rPr>
        <w:t>“</w:t>
      </w:r>
      <w:r>
        <w:rPr>
          <w:rFonts w:ascii="Times New Roman;sans-serif" w:hAnsi="Times New Roman;sans-serif"/>
          <w:b w:val="false"/>
          <w:color w:val="000000"/>
          <w:sz w:val="20"/>
          <w:u w:val="single"/>
        </w:rPr>
        <w:t>Term Lender</w:t>
      </w:r>
      <w:r>
        <w:rPr>
          <w:color w:val="000000"/>
        </w:rPr>
        <w:t xml:space="preserve">” </w:t>
      </w:r>
      <w:r>
        <w:rPr>
          <w:rFonts w:ascii="Times New Roman;sans-serif" w:hAnsi="Times New Roman;sans-serif"/>
          <w:b w:val="false"/>
          <w:color w:val="000000"/>
          <w:sz w:val="20"/>
        </w:rPr>
        <w:t>means a Lender with a Term Commitment or an outstanding Term Loan.</w: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Term Loans</w:t>
      </w:r>
      <w:r>
        <w:rPr>
          <w:color w:val="000000"/>
        </w:rPr>
        <w:t xml:space="preserve">” </w:t>
      </w:r>
      <w:r>
        <w:rPr>
          <w:rFonts w:ascii="Times New Roman;sans-serif" w:hAnsi="Times New Roman;sans-serif"/>
          <w:b w:val="false"/>
          <w:color w:val="000000"/>
          <w:sz w:val="20"/>
        </w:rPr>
        <w:t>means Initial Term Loans, Other First Lien Term Loans (including the 2024 Refinancing Term Loans) and First Lien Incremental Term Loans, as the context requires.</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Term Maturity Date</w:t>
      </w:r>
      <w:r>
        <w:rPr>
          <w:color w:val="000000"/>
        </w:rPr>
        <w:t xml:space="preserve">” </w:t>
      </w:r>
      <w:r>
        <w:rPr>
          <w:rFonts w:ascii="Times New Roman;sans-serif" w:hAnsi="Times New Roman;sans-serif"/>
          <w:b w:val="false"/>
          <w:color w:val="000000"/>
          <w:sz w:val="20"/>
        </w:rPr>
        <w:t>means (i) May 30, 2031 (or, if such day is not a Business Day, the immediately preceding Business Day) or (ii), with respect to any Term Lender that has the maturity date of its Term Loans pursuant to a Permitted Amendment, the extended maturity date set forth in any such Loan Modification Agreement.</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Term SOFR Determination Day</w:t>
      </w:r>
      <w:r>
        <w:rPr>
          <w:color w:val="000000"/>
        </w:rPr>
        <w:t xml:space="preserve">” </w:t>
      </w:r>
      <w:r>
        <w:rPr>
          <w:rFonts w:ascii="Times New Roman;sans-serif" w:hAnsi="Times New Roman;sans-serif"/>
          <w:b w:val="false"/>
          <w:color w:val="000000"/>
          <w:sz w:val="20"/>
        </w:rPr>
        <w:t>has the meaning assigned to it under the definition of “Term SOFR Reference Rate.”</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Term SOFR Rate</w:t>
      </w:r>
      <w:r>
        <w:rPr>
          <w:color w:val="000000"/>
        </w:rPr>
        <w:t xml:space="preserve">” </w:t>
      </w:r>
      <w:r>
        <w:rPr>
          <w:rFonts w:ascii="Times New Roman;sans-serif" w:hAnsi="Times New Roman;sans-serif"/>
          <w:b w:val="false"/>
          <w:color w:val="000000"/>
          <w:sz w:val="20"/>
        </w:rPr>
        <w:t xml:space="preserve">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the Term SOFR Rate as so determined would be less than the Floor, such rate shall be deemed to be equal to the Floor for purposes of this Agreement.</w:t>
      </w:r>
    </w:p>
    <w:p>
      <w:pPr>
        <w:pStyle w:val="TextBody"/>
        <w:bidi w:val="0"/>
        <w:spacing w:before="12" w:after="283"/>
        <w:jc w:val="left"/>
        <w:rPr/>
      </w:pPr>
      <w:r>
        <w:rPr/>
      </w:r>
    </w:p>
    <w:p>
      <w:pPr>
        <w:pStyle w:val="TextBody"/>
        <w:bidi w:val="0"/>
        <w:spacing w:lineRule="auto" w:line="288" w:before="1" w:after="283"/>
        <w:ind w:left="0" w:right="0" w:firstLine="1440"/>
        <w:jc w:val="left"/>
        <w:rPr/>
      </w:pPr>
      <w:r>
        <w:rPr>
          <w:color w:val="000000"/>
        </w:rPr>
        <w:t>“</w:t>
      </w:r>
      <w:r>
        <w:rPr>
          <w:rFonts w:ascii="Times New Roman;sans-serif" w:hAnsi="Times New Roman;sans-serif"/>
          <w:b w:val="false"/>
          <w:color w:val="000000"/>
          <w:sz w:val="20"/>
          <w:u w:val="single"/>
        </w:rPr>
        <w:t>Term SOFR Reference Rate</w:t>
      </w:r>
      <w:r>
        <w:rPr>
          <w:color w:val="000000"/>
        </w:rPr>
        <w:t xml:space="preserve">” </w:t>
      </w:r>
      <w:r>
        <w:rPr>
          <w:rFonts w:ascii="Times New Roman;sans-serif" w:hAnsi="Times New Roman;sans-serif"/>
          <w:b w:val="false"/>
          <w:color w:val="000000"/>
          <w:sz w:val="20"/>
        </w:rPr>
        <w:t>means, for any day and time (such day, the “</w:t>
      </w:r>
      <w:r>
        <w:rPr>
          <w:rFonts w:ascii="Times New Roman;sans-serif" w:hAnsi="Times New Roman;sans-serif"/>
          <w:b w:val="false"/>
          <w:color w:val="000000"/>
          <w:sz w:val="20"/>
          <w:u w:val="single"/>
        </w:rPr>
        <w:t>Term SOFR Determination Day</w:t>
      </w:r>
      <w:r>
        <w:rPr>
          <w:color w:val="000000"/>
        </w:rPr>
        <w:t>”</w:t>
      </w:r>
      <w:r>
        <w:rPr>
          <w:rFonts w:ascii="Times New Roman;sans-serif" w:hAnsi="Times New Roman;sans-serif"/>
          <w:b w:val="false"/>
          <w:color w:val="000000"/>
          <w:sz w:val="20"/>
        </w:rPr>
        <w:t>), with respect to any Term Benchmark Borrowing and for any tenor comparable to the applicable Interest Period, the rate per annum determined by the First Lien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pStyle w:val="TextBody"/>
        <w:bidi w:val="0"/>
        <w:spacing w:before="14"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Term SOFR</w:t>
      </w:r>
      <w:r>
        <w:rPr>
          <w:color w:val="000000"/>
        </w:rPr>
        <w:t xml:space="preserve">” </w:t>
      </w:r>
      <w:r>
        <w:rPr>
          <w:rFonts w:ascii="Times New Roman;sans-serif" w:hAnsi="Times New Roman;sans-serif"/>
          <w:b w:val="false"/>
          <w:color w:val="000000"/>
          <w:sz w:val="20"/>
        </w:rPr>
        <w:t>means, for the applicable Corresponding Tenor as of the applicable Reference Time, the forward-looking term rate based on SOFR that has been selected or recommended by the Relevant Governmental Body.</w:t>
      </w:r>
    </w:p>
    <w:p>
      <w:pPr>
        <w:pStyle w:val="TextBody"/>
        <w:bidi w:val="0"/>
        <w:spacing w:before="1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1155"/>
                <wp:effectExtent l="0" t="0" r="0" b="0"/>
                <wp:wrapNone/>
                <wp:docPr id="149" name="Frame1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Termination Date</w:t>
      </w:r>
      <w:r>
        <w:rPr>
          <w:color w:val="000000"/>
        </w:rPr>
        <w:t xml:space="preserve">” </w:t>
      </w:r>
      <w:r>
        <w:rPr>
          <w:rFonts w:ascii="Times New Roman;sans-serif" w:hAnsi="Times New Roman;sans-serif"/>
          <w:b w:val="false"/>
          <w:color w:val="000000"/>
          <w:sz w:val="20"/>
        </w:rPr>
        <w:t>means the date on which all Commitments have expired or been terminated, all Secured Obligations have been paid in full in cash (other than (x) Secured Swap Obligations not yet due and payable, (y) Secured Cash Management Obligations not yet due and payable and (z) contingent indemnification obligations not yet accrued and payable) and all Letters of Credit have expired or been terminated (other than Letters of Credit that have been cash collateralized or backstopped in an amount, by an institution and otherwise pursuant to arrangements reasonably satisfactory to the applicable Issuing Bank).</w:t>
      </w:r>
    </w:p>
    <w:p>
      <w:pPr>
        <w:pStyle w:val="TextBody"/>
        <w:bidi w:val="0"/>
        <w:spacing w:before="12"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Test Period</w:t>
      </w:r>
      <w:r>
        <w:rPr>
          <w:color w:val="000000"/>
        </w:rPr>
        <w:t xml:space="preserve">” </w:t>
      </w:r>
      <w:r>
        <w:rPr>
          <w:rFonts w:ascii="Times New Roman;sans-serif" w:hAnsi="Times New Roman;sans-serif"/>
          <w:b w:val="false"/>
          <w:color w:val="000000"/>
          <w:sz w:val="20"/>
        </w:rPr>
        <w:t>means, at any date of determination, (x) for the purposes of (i) the definition of “Applicable Rate”, (ii) the definition of “Commitment Fee Percentage”, (iii) Section 2.11(d) and (iv) Section 6.11, the period of four consecutive fiscal quarters of the Borrower then last ended as of such time for which financial statements have been delivered pursuant to Section 5.01(a) or (b) and (y) for all other purposes in this Agreement, the most recent period of twelve consecutive months of the Borrower ended on or prior to such time, in respect of which the financial information necessary to calculate the relevant ratio is internally available.</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Total Net Leverage Ratio</w:t>
      </w:r>
      <w:r>
        <w:rPr>
          <w:color w:val="000000"/>
        </w:rPr>
        <w:t xml:space="preserve">” </w:t>
      </w:r>
      <w:r>
        <w:rPr>
          <w:rFonts w:ascii="Times New Roman;sans-serif" w:hAnsi="Times New Roman;sans-serif"/>
          <w:b w:val="false"/>
          <w:color w:val="000000"/>
          <w:sz w:val="20"/>
        </w:rPr>
        <w:t>means, as of any date of determination, the ratio, on a Pro Forma Basis, of (a) Consolidated Total Net Indebtedness as of such date to (b) Consolidated EBITDA for the most recently ended Test Period.</w:t>
      </w:r>
    </w:p>
    <w:p>
      <w:pPr>
        <w:pStyle w:val="TextBody"/>
        <w:bidi w:val="0"/>
        <w:spacing w:before="60" w:after="283"/>
        <w:jc w:val="left"/>
        <w:rPr/>
      </w:pPr>
      <w:r>
        <w:rPr/>
      </w:r>
    </w:p>
    <w:p>
      <w:pPr>
        <w:pStyle w:val="TextBody"/>
        <w:bidi w:val="0"/>
        <w:spacing w:lineRule="auto" w:line="288" w:before="60" w:after="283"/>
        <w:jc w:val="left"/>
        <w:rPr/>
      </w:pPr>
      <w:r>
        <w:rPr>
          <w:color w:val="000000"/>
        </w:rPr>
        <w:t>“</w:t>
      </w:r>
      <w:r>
        <w:rPr>
          <w:rFonts w:ascii="Times New Roman;sans-serif" w:hAnsi="Times New Roman;sans-serif"/>
          <w:b w:val="false"/>
          <w:color w:val="000000"/>
          <w:sz w:val="20"/>
          <w:u w:val="single"/>
        </w:rPr>
        <w:t>Trademark</w:t>
      </w:r>
      <w:r>
        <w:rPr>
          <w:color w:val="000000"/>
        </w:rPr>
        <w:t xml:space="preserve">” </w:t>
      </w:r>
      <w:r>
        <w:rPr>
          <w:rFonts w:ascii="Times New Roman;sans-serif" w:hAnsi="Times New Roman;sans-serif"/>
          <w:b w:val="false"/>
          <w:color w:val="000000"/>
          <w:sz w:val="20"/>
        </w:rPr>
        <w:t>has the meaning assigned to such term in the First Lien Collateral Agreement.</w:t>
      </w:r>
    </w:p>
    <w:p>
      <w:pPr>
        <w:pStyle w:val="TextBody"/>
        <w:bidi w:val="0"/>
        <w:spacing w:before="10" w:after="283"/>
        <w:jc w:val="left"/>
        <w:rPr/>
      </w:pPr>
      <w:r>
        <w:rPr/>
      </w:r>
    </w:p>
    <w:p>
      <w:pPr>
        <w:pStyle w:val="TextBody"/>
        <w:bidi w:val="0"/>
        <w:spacing w:lineRule="auto" w:line="288" w:before="1" w:after="283"/>
        <w:ind w:left="0" w:right="0" w:firstLine="1521"/>
        <w:jc w:val="both"/>
        <w:rPr/>
      </w:pPr>
      <w:r>
        <w:rPr>
          <w:color w:val="000000"/>
        </w:rPr>
        <w:t>“</w:t>
      </w:r>
      <w:r>
        <w:rPr>
          <w:rFonts w:ascii="Times New Roman;sans-serif" w:hAnsi="Times New Roman;sans-serif"/>
          <w:b w:val="false"/>
          <w:color w:val="000000"/>
          <w:sz w:val="20"/>
          <w:u w:val="single"/>
        </w:rPr>
        <w:t>Transaction Costs</w:t>
      </w:r>
      <w:r>
        <w:rPr>
          <w:color w:val="000000"/>
        </w:rPr>
        <w:t xml:space="preserve">” </w:t>
      </w:r>
      <w:r>
        <w:rPr>
          <w:rFonts w:ascii="Times New Roman;sans-serif" w:hAnsi="Times New Roman;sans-serif"/>
          <w:b w:val="false"/>
          <w:color w:val="000000"/>
          <w:sz w:val="20"/>
        </w:rPr>
        <w:t>means all fees, costs and expenses incurred or payable by Holdings, the Borrower or any other Subsidiary in connection with the Transactions.</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Transactions</w:t>
      </w:r>
      <w:r>
        <w:rPr>
          <w:color w:val="000000"/>
        </w:rPr>
        <w:t xml:space="preserve">” </w:t>
      </w:r>
      <w:r>
        <w:rPr>
          <w:rFonts w:ascii="Times New Roman;sans-serif" w:hAnsi="Times New Roman;sans-serif"/>
          <w:b w:val="false"/>
          <w:color w:val="000000"/>
          <w:sz w:val="20"/>
        </w:rPr>
        <w:t>means (a) the First Lien Financing Transactions, (b) the Refinancing, (c) the Amendment No. 4 Transactions</w:t>
      </w:r>
      <w:r>
        <w:rPr>
          <w:strike/>
          <w:color w:val="FF0000"/>
        </w:rPr>
        <w:t xml:space="preserve"> </w:t>
      </w:r>
      <w:r>
        <w:rPr>
          <w:rFonts w:ascii="Times New Roman;sans-serif" w:hAnsi="Times New Roman;sans-serif"/>
          <w:b/>
          <w:strike/>
          <w:color w:val="FF0000"/>
          <w:sz w:val="20"/>
        </w:rPr>
        <w:t>and</w:t>
      </w:r>
      <w:r>
        <w:rPr>
          <w:rFonts w:ascii="Times New Roman;sans-serif" w:hAnsi="Times New Roman;sans-serif"/>
          <w:b/>
          <w:color w:val="0000FF"/>
          <w:sz w:val="20"/>
        </w:rPr>
        <w:t xml:space="preserve">, </w:t>
      </w:r>
      <w:r>
        <w:rPr>
          <w:rFonts w:ascii="Times New Roman;sans-serif" w:hAnsi="Times New Roman;sans-serif"/>
          <w:b w:val="false"/>
          <w:color w:val="000000"/>
          <w:sz w:val="20"/>
        </w:rPr>
        <w:t>(d</w:t>
      </w:r>
      <w:r>
        <w:rPr>
          <w:rFonts w:ascii="Times New Roman;sans-serif" w:hAnsi="Times New Roman;sans-serif"/>
          <w:b/>
          <w:color w:val="0000FF"/>
          <w:sz w:val="20"/>
          <w:u w:val="single"/>
        </w:rPr>
        <w:t>) the Amendment No. 5 Transactions and (e</w:t>
      </w:r>
      <w:r>
        <w:rPr>
          <w:rFonts w:ascii="Times New Roman;sans-serif" w:hAnsi="Times New Roman;sans-serif"/>
          <w:b w:val="false"/>
          <w:color w:val="000000"/>
          <w:sz w:val="20"/>
        </w:rPr>
        <w:t>) the payment of the Transaction Costs.</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Type</w:t>
      </w:r>
      <w:r>
        <w:rPr>
          <w:rFonts w:ascii="Times New Roman;sans-serif" w:hAnsi="Times New Roman;sans-serif"/>
          <w:b w:val="false"/>
          <w:color w:val="000000"/>
          <w:sz w:val="20"/>
        </w:rPr>
        <w:t>,” when used in reference to any Loan or Borrowing, refers to whether the rate of interest on such Loan, or on the Loans comprising such Borrowing, is determined by reference to the Adjusted Term SOFR Rate, Adjusted Term CORRA Rate, Adjusted EURIBOR, Alternate Base Rate, Canadian Base Rate, Adjusted Daily Simple SOFR, or Adjusted Daily Simple SONIA.</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UCC</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Uniform Commercial Code</w:t>
      </w:r>
      <w:r>
        <w:rPr>
          <w:color w:val="000000"/>
        </w:rPr>
        <w:t xml:space="preserve">” </w:t>
      </w:r>
      <w:r>
        <w:rPr>
          <w:rFonts w:ascii="Times New Roman;sans-serif" w:hAnsi="Times New Roman;sans-serif"/>
          <w:b w:val="false"/>
          <w:color w:val="000000"/>
          <w:sz w:val="20"/>
        </w:rPr>
        <w:t xml:space="preserve">means the Uniform Commercial Code as in effect from time to time in the State of New York;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however, that, at any time, if by reason of mandatory provisions of law, any or all of the perfection or priority of the First Lien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pStyle w:val="TextBody"/>
        <w:bidi w:val="0"/>
        <w:spacing w:before="13"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UCP</w:t>
      </w:r>
      <w:r>
        <w:rPr>
          <w:color w:val="000000"/>
        </w:rPr>
        <w:t xml:space="preserve">” </w:t>
      </w:r>
      <w:r>
        <w:rPr>
          <w:rFonts w:ascii="Times New Roman;sans-serif" w:hAnsi="Times New Roman;sans-serif"/>
          <w:b w:val="false"/>
          <w:color w:val="000000"/>
          <w:sz w:val="20"/>
        </w:rPr>
        <w:t>means, with respect to any commercial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 On an exception basis and if specifically requested by the Borrower, a standby Letter of Credit may be issued subject to UCP.</w:t>
      </w:r>
    </w:p>
    <w:p>
      <w:pPr>
        <w:pStyle w:val="TextBody"/>
        <w:bidi w:val="0"/>
        <w:spacing w:before="12"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UK Financial Institution</w:t>
      </w:r>
      <w:r>
        <w:rPr>
          <w:color w:val="000000"/>
        </w:rPr>
        <w:t xml:space="preserve">” </w:t>
      </w:r>
      <w:r>
        <w:rPr>
          <w:rFonts w:ascii="Times New Roman;sans-serif" w:hAnsi="Times New Roman;sans-serif"/>
          <w:b w:val="false"/>
          <w:color w:val="000000"/>
          <w:sz w:val="20"/>
        </w:rPr>
        <w:t>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11"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UK Resolution Authority</w:t>
      </w:r>
      <w:r>
        <w:rPr>
          <w:color w:val="000000"/>
        </w:rPr>
        <w:t xml:space="preserve">” </w:t>
      </w:r>
      <w:r>
        <w:rPr>
          <w:rFonts w:ascii="Times New Roman;sans-serif" w:hAnsi="Times New Roman;sans-serif"/>
          <w:b w:val="false"/>
          <w:color w:val="000000"/>
          <w:sz w:val="20"/>
        </w:rPr>
        <w:t>means the Bank of England or any other public administrative authority having responsibility for the resolution of any UK Financial Institution.</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1155"/>
                <wp:effectExtent l="0" t="0" r="0" b="0"/>
                <wp:wrapNone/>
                <wp:docPr id="150" name="Frame1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bidi w:val="0"/>
                        <w:spacing w:before="0" w:after="0"/>
                        <w:jc w:val="left"/>
                        <w:rPr/>
                      </w:pPr>
                      <w:r>
                        <w:rPr/>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1" w:after="283"/>
        <w:ind w:left="0" w:right="0" w:firstLine="1440"/>
        <w:jc w:val="both"/>
        <w:rPr/>
      </w:pPr>
      <w:r>
        <w:rPr>
          <w:color w:val="000000"/>
        </w:rPr>
        <w:t>“</w:t>
      </w:r>
      <w:r>
        <w:rPr>
          <w:rFonts w:ascii="Times New Roman;sans-serif" w:hAnsi="Times New Roman;sans-serif"/>
          <w:b w:val="false"/>
          <w:color w:val="000000"/>
          <w:sz w:val="20"/>
          <w:u w:val="single"/>
        </w:rPr>
        <w:t>Unadjusted Benchmark Replacement</w:t>
      </w:r>
      <w:r>
        <w:rPr>
          <w:color w:val="000000"/>
        </w:rPr>
        <w:t xml:space="preserve">” </w:t>
      </w:r>
      <w:r>
        <w:rPr>
          <w:rFonts w:ascii="Times New Roman;sans-serif" w:hAnsi="Times New Roman;sans-serif"/>
          <w:b w:val="false"/>
          <w:color w:val="000000"/>
          <w:sz w:val="20"/>
        </w:rPr>
        <w:t>means the applicable Benchmark Replacement excluding the related Benchmark Replacement Adjustment.</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Undisclosed Administration</w:t>
      </w:r>
      <w:r>
        <w:rPr>
          <w:color w:val="000000"/>
        </w:rPr>
        <w:t xml:space="preserve">” </w:t>
      </w:r>
      <w:r>
        <w:rPr>
          <w:rFonts w:ascii="Times New Roman;sans-serif" w:hAnsi="Times New Roman;sans-serif"/>
          <w:b w:val="false"/>
          <w:color w:val="000000"/>
          <w:sz w:val="20"/>
        </w:rPr>
        <w:t>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pStyle w:val="TextBody"/>
        <w:bidi w:val="0"/>
        <w:spacing w:before="12"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United States Tax Compliance Certificate</w:t>
      </w:r>
      <w:r>
        <w:rPr>
          <w:color w:val="000000"/>
        </w:rPr>
        <w:t xml:space="preserve">” </w:t>
      </w:r>
      <w:r>
        <w:rPr>
          <w:rFonts w:ascii="Times New Roman;sans-serif" w:hAnsi="Times New Roman;sans-serif"/>
          <w:b w:val="false"/>
          <w:color w:val="000000"/>
          <w:sz w:val="20"/>
        </w:rPr>
        <w:t>has the meaning assigned to such term in Section</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2.17(f)(ii)(C).</w:t>
      </w:r>
    </w:p>
    <w:p>
      <w:pPr>
        <w:pStyle w:val="TextBody"/>
        <w:bidi w:val="0"/>
        <w:spacing w:before="10" w:after="283"/>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0"/>
          <w:u w:val="single"/>
        </w:rPr>
        <w:t>Unrestricted Subsidiary</w:t>
      </w:r>
      <w:r>
        <w:rPr>
          <w:color w:val="000000"/>
        </w:rPr>
        <w:t xml:space="preserve">” </w:t>
      </w:r>
      <w:r>
        <w:rPr>
          <w:rFonts w:ascii="Times New Roman;sans-serif" w:hAnsi="Times New Roman;sans-serif"/>
          <w:b w:val="false"/>
          <w:color w:val="000000"/>
          <w:sz w:val="20"/>
        </w:rPr>
        <w:t>means any Subsidiary designated by the Borrower as an Unrestricted Subsidiary pursuant to Section 5.13 subsequent to the Effective Date.</w:t>
      </w:r>
    </w:p>
    <w:p>
      <w:pPr>
        <w:pStyle w:val="TextBody"/>
        <w:bidi w:val="0"/>
        <w:spacing w:before="11" w:after="283"/>
        <w:jc w:val="left"/>
        <w:rPr/>
      </w:pPr>
      <w:r>
        <w:rPr/>
      </w:r>
    </w:p>
    <w:p>
      <w:pPr>
        <w:pStyle w:val="TextBody"/>
        <w:bidi w:val="0"/>
        <w:spacing w:lineRule="auto" w:line="288" w:before="0" w:after="0"/>
        <w:ind w:left="0" w:right="0" w:firstLine="1440"/>
        <w:jc w:val="left"/>
        <w:rPr/>
      </w:pPr>
      <w:r>
        <w:rPr>
          <w:color w:val="000000"/>
        </w:rPr>
        <w:t>“</w:t>
      </w:r>
      <w:r>
        <w:rPr>
          <w:rFonts w:ascii="Times New Roman;sans-serif" w:hAnsi="Times New Roman;sans-serif"/>
          <w:b w:val="false"/>
          <w:color w:val="000000"/>
          <w:sz w:val="20"/>
          <w:u w:val="single"/>
        </w:rPr>
        <w:t>U.S. Government Securities Business Day</w:t>
      </w:r>
      <w:r>
        <w:rPr>
          <w:color w:val="000000"/>
        </w:rPr>
        <w:t xml:space="preserve">” </w:t>
      </w:r>
      <w:r>
        <w:rPr>
          <w:rFonts w:ascii="Times New Roman;sans-serif" w:hAnsi="Times New Roman;sans-serif"/>
          <w:b w:val="false"/>
          <w:color w:val="000000"/>
          <w:sz w:val="20"/>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11" w:after="283"/>
        <w:jc w:val="left"/>
        <w:rPr/>
      </w:pPr>
      <w:r>
        <w:rPr/>
      </w:r>
    </w:p>
    <w:p>
      <w:pPr>
        <w:pStyle w:val="TextBody"/>
        <w:bidi w:val="0"/>
        <w:spacing w:lineRule="auto" w:line="288" w:before="0" w:after="0"/>
        <w:ind w:left="0" w:right="0" w:firstLine="1505"/>
        <w:jc w:val="both"/>
        <w:rPr/>
      </w:pPr>
      <w:r>
        <w:rPr>
          <w:color w:val="000000"/>
        </w:rPr>
        <w:t>“</w:t>
      </w:r>
      <w:r>
        <w:rPr>
          <w:rFonts w:ascii="Times New Roman;sans-serif" w:hAnsi="Times New Roman;sans-serif"/>
          <w:b w:val="false"/>
          <w:color w:val="000000"/>
          <w:sz w:val="20"/>
          <w:u w:val="single"/>
        </w:rPr>
        <w:t>USA PATRIOT Act</w:t>
      </w:r>
      <w:r>
        <w:rPr>
          <w:color w:val="000000"/>
        </w:rPr>
        <w:t xml:space="preserve">” </w:t>
      </w:r>
      <w:r>
        <w:rPr>
          <w:rFonts w:ascii="Times New Roman;sans-serif" w:hAnsi="Times New Roman;sans-serif"/>
          <w:b w:val="false"/>
          <w:color w:val="000000"/>
          <w:sz w:val="20"/>
        </w:rPr>
        <w:t>means the Uniting and Strengthening America by Providing Appropriate Tools Required to Intercept and Obstruct Terrorism Act of 2001, as amended from time to time.</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Weighted Average Life to Maturity</w:t>
      </w:r>
      <w:r>
        <w:rPr>
          <w:color w:val="000000"/>
        </w:rPr>
        <w:t xml:space="preserve">” </w:t>
      </w:r>
      <w:r>
        <w:rPr>
          <w:rFonts w:ascii="Times New Roman;sans-serif" w:hAnsi="Times New Roman;sans-serif"/>
          <w:b w:val="false"/>
          <w:color w:val="000000"/>
          <w:sz w:val="20"/>
        </w:rPr>
        <w:t>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pStyle w:val="TextBody"/>
        <w:bidi w:val="0"/>
        <w:spacing w:before="12"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u w:val="single"/>
        </w:rPr>
        <w:t>Wholly Owned Restricted Subsidiary</w:t>
      </w:r>
      <w:r>
        <w:rPr>
          <w:color w:val="000000"/>
        </w:rPr>
        <w:t xml:space="preserve">” </w:t>
      </w:r>
      <w:r>
        <w:rPr>
          <w:rFonts w:ascii="Times New Roman;sans-serif" w:hAnsi="Times New Roman;sans-serif"/>
          <w:b w:val="false"/>
          <w:color w:val="000000"/>
          <w:sz w:val="20"/>
        </w:rPr>
        <w:t>means any Restricted Subsidiary that is a Wholly Owned</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w:t>
      </w:r>
    </w:p>
    <w:p>
      <w:pPr>
        <w:pStyle w:val="TextBody"/>
        <w:bidi w:val="0"/>
        <w:spacing w:before="10"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Wholly Owned Subsidiary</w:t>
      </w:r>
      <w:r>
        <w:rPr>
          <w:color w:val="000000"/>
        </w:rPr>
        <w:t xml:space="preserve">” </w:t>
      </w:r>
      <w:r>
        <w:rPr>
          <w:rFonts w:ascii="Times New Roman;sans-serif" w:hAnsi="Times New Roman;sans-serif"/>
          <w:b w:val="false"/>
          <w:color w:val="000000"/>
          <w:sz w:val="20"/>
        </w:rPr>
        <w:t>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pStyle w:val="TextBody"/>
        <w:bidi w:val="0"/>
        <w:spacing w:before="12"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Withdrawal Liability</w:t>
      </w:r>
      <w:r>
        <w:rPr>
          <w:color w:val="000000"/>
        </w:rPr>
        <w:t xml:space="preserve">” </w:t>
      </w:r>
      <w:r>
        <w:rPr>
          <w:rFonts w:ascii="Times New Roman;sans-serif" w:hAnsi="Times New Roman;sans-serif"/>
          <w:b w:val="false"/>
          <w:color w:val="000000"/>
          <w:sz w:val="20"/>
        </w:rPr>
        <w:t>means liability to a Multiemployer Plan as a result of a complete or partial withdrawal from such Multiemployer Plan, as such terms are defined in Part I of Subtitle E of Title IV of ERISA.</w:t>
      </w:r>
    </w:p>
    <w:p>
      <w:pPr>
        <w:pStyle w:val="TextBody"/>
        <w:bidi w:val="0"/>
        <w:spacing w:before="11" w:after="283"/>
        <w:jc w:val="left"/>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0"/>
          <w:u w:val="single"/>
        </w:rPr>
        <w:t>Write-Down and Conversion Powers</w:t>
      </w:r>
      <w:r>
        <w:rPr>
          <w:color w:val="000000"/>
        </w:rPr>
        <w:t xml:space="preserve">” </w:t>
      </w:r>
      <w:r>
        <w:rPr>
          <w:rFonts w:ascii="Times New Roman;sans-serif" w:hAnsi="Times New Roman;sans-serif"/>
          <w:b w:val="false"/>
          <w:color w:val="000000"/>
          <w:sz w:val="20"/>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14" w:after="283"/>
        <w:jc w:val="left"/>
        <w:rPr/>
      </w:pPr>
      <w:r>
        <w:rPr/>
      </w:r>
    </w:p>
    <w:p>
      <w:pPr>
        <w:pStyle w:val="TextBody"/>
        <w:bidi w:val="0"/>
        <w:spacing w:lineRule="auto" w:line="288"/>
        <w:jc w:val="left"/>
        <w:rPr/>
      </w:pPr>
      <w:r>
        <w:rPr>
          <w:rFonts w:ascii="Times New Roman;sans-serif" w:hAnsi="Times New Roman;sans-serif"/>
          <w:b w:val="false"/>
          <w:color w:val="000000"/>
          <w:sz w:val="20"/>
        </w:rPr>
        <w:t>SECTION 1.02    </w:t>
      </w:r>
      <w:r>
        <w:rPr>
          <w:rFonts w:ascii="Times New Roman;sans-serif" w:hAnsi="Times New Roman;sans-serif"/>
          <w:b w:val="false"/>
          <w:color w:val="000000"/>
          <w:sz w:val="20"/>
          <w:u w:val="single"/>
        </w:rPr>
        <w:t>Classification of Loans and Borrowings</w:t>
      </w:r>
      <w:r>
        <w:rPr>
          <w:rFonts w:ascii="Times New Roman;sans-serif" w:hAnsi="Times New Roman;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1155"/>
                <wp:effectExtent l="0" t="0" r="0" b="0"/>
                <wp:wrapNone/>
                <wp:docPr id="151" name="Frame1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bidi w:val="0"/>
                        <w:spacing w:before="0" w:after="0"/>
                        <w:jc w:val="left"/>
                        <w:rPr/>
                      </w:pPr>
                      <w:r>
                        <w:rPr/>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0"/>
        </w:rPr>
        <w:t>For purposes of this Agreement, Loans and Borrowings may be classified and referred to by Class (</w:t>
      </w:r>
      <w:r>
        <w:rPr>
          <w:rFonts w:ascii="Times New Roman;sans-serif" w:hAnsi="Times New Roman;sans-serif"/>
          <w:b w:val="false"/>
          <w:color w:val="000000"/>
          <w:sz w:val="20"/>
          <w:u w:val="single"/>
        </w:rPr>
        <w:t>e.g</w:t>
      </w:r>
      <w:r>
        <w:rPr>
          <w:rFonts w:ascii="Times New Roman;sans-serif" w:hAnsi="Times New Roman;sans-serif"/>
          <w:b w:val="false"/>
          <w:color w:val="000000"/>
          <w:sz w:val="20"/>
        </w:rPr>
        <w:t>., a “</w:t>
      </w:r>
      <w:r>
        <w:rPr>
          <w:rFonts w:ascii="Times New Roman;sans-serif" w:hAnsi="Times New Roman;sans-serif"/>
          <w:b w:val="false"/>
          <w:color w:val="000000"/>
          <w:sz w:val="20"/>
          <w:u w:val="single"/>
        </w:rPr>
        <w:t>Revolving Loan</w:t>
      </w:r>
      <w:r>
        <w:rPr>
          <w:color w:val="000000"/>
        </w:rPr>
        <w:t>”</w:t>
      </w:r>
      <w:r>
        <w:rPr>
          <w:rFonts w:ascii="Times New Roman;sans-serif" w:hAnsi="Times New Roman;sans-serif"/>
          <w:b w:val="false"/>
          <w:color w:val="000000"/>
          <w:sz w:val="20"/>
        </w:rPr>
        <w:t>) or by Type (</w:t>
      </w:r>
      <w:r>
        <w:rPr>
          <w:rFonts w:ascii="Times New Roman;sans-serif" w:hAnsi="Times New Roman;sans-serif"/>
          <w:b w:val="false"/>
          <w:color w:val="000000"/>
          <w:sz w:val="20"/>
          <w:u w:val="single"/>
        </w:rPr>
        <w:t>e.g</w:t>
      </w:r>
      <w:r>
        <w:rPr>
          <w:rFonts w:ascii="Times New Roman;sans-serif" w:hAnsi="Times New Roman;sans-serif"/>
          <w:b w:val="false"/>
          <w:color w:val="000000"/>
          <w:sz w:val="20"/>
        </w:rPr>
        <w:t>., a “</w:t>
      </w:r>
      <w:r>
        <w:rPr>
          <w:rFonts w:ascii="Times New Roman;sans-serif" w:hAnsi="Times New Roman;sans-serif"/>
          <w:b w:val="false"/>
          <w:color w:val="000000"/>
          <w:sz w:val="20"/>
          <w:u w:val="single"/>
        </w:rPr>
        <w:t>Term Benchmark Loan</w:t>
      </w:r>
      <w:r>
        <w:rPr>
          <w:color w:val="000000"/>
        </w:rPr>
        <w:t>”</w:t>
      </w:r>
      <w:r>
        <w:rPr>
          <w:rFonts w:ascii="Times New Roman;sans-serif" w:hAnsi="Times New Roman;sans-serif"/>
          <w:b w:val="false"/>
          <w:color w:val="000000"/>
          <w:sz w:val="20"/>
        </w:rPr>
        <w:t>, “</w:t>
      </w:r>
      <w:r>
        <w:rPr>
          <w:rFonts w:ascii="Times New Roman;sans-serif" w:hAnsi="Times New Roman;sans-serif"/>
          <w:b w:val="false"/>
          <w:color w:val="000000"/>
          <w:sz w:val="20"/>
          <w:u w:val="single"/>
        </w:rPr>
        <w:t>RFR Loan</w:t>
      </w:r>
      <w:r>
        <w:rPr>
          <w:color w:val="000000"/>
        </w:rPr>
        <w:t>”</w:t>
      </w:r>
      <w:r>
        <w:rPr>
          <w:rFonts w:ascii="Times New Roman;sans-serif" w:hAnsi="Times New Roman;sans-serif"/>
          <w:b w:val="false"/>
          <w:color w:val="000000"/>
          <w:sz w:val="20"/>
        </w:rPr>
        <w:t>, or “</w:t>
      </w:r>
      <w:r>
        <w:rPr>
          <w:rFonts w:ascii="Times New Roman;sans-serif" w:hAnsi="Times New Roman;sans-serif"/>
          <w:b w:val="false"/>
          <w:color w:val="000000"/>
          <w:sz w:val="20"/>
          <w:u w:val="single"/>
        </w:rPr>
        <w:t>ABR Loan</w:t>
      </w:r>
      <w:r>
        <w:rPr>
          <w:color w:val="000000"/>
        </w:rPr>
        <w:t>”</w:t>
      </w:r>
      <w:r>
        <w:rPr>
          <w:rFonts w:ascii="Times New Roman;sans-serif" w:hAnsi="Times New Roman;sans-serif"/>
          <w:b w:val="false"/>
          <w:color w:val="000000"/>
          <w:sz w:val="20"/>
        </w:rPr>
        <w:t>) or by Class and Type (</w:t>
      </w:r>
      <w:r>
        <w:rPr>
          <w:rFonts w:ascii="Times New Roman;sans-serif" w:hAnsi="Times New Roman;sans-serif"/>
          <w:b w:val="false"/>
          <w:color w:val="000000"/>
          <w:sz w:val="20"/>
          <w:u w:val="single"/>
        </w:rPr>
        <w:t>e.g</w:t>
      </w:r>
      <w:r>
        <w:rPr>
          <w:rFonts w:ascii="Times New Roman;sans-serif" w:hAnsi="Times New Roman;sans-serif"/>
          <w:b w:val="false"/>
          <w:color w:val="000000"/>
          <w:sz w:val="20"/>
        </w:rPr>
        <w:t>., a “</w:t>
      </w:r>
      <w:r>
        <w:rPr>
          <w:rFonts w:ascii="Times New Roman;sans-serif" w:hAnsi="Times New Roman;sans-serif"/>
          <w:b w:val="false"/>
          <w:color w:val="000000"/>
          <w:sz w:val="20"/>
          <w:u w:val="single"/>
        </w:rPr>
        <w:t>Term Benchmark Revolving Loan</w:t>
      </w:r>
      <w:r>
        <w:rPr>
          <w:color w:val="000000"/>
        </w:rPr>
        <w:t>”</w:t>
      </w:r>
      <w:r>
        <w:rPr>
          <w:rFonts w:ascii="Times New Roman;sans-serif" w:hAnsi="Times New Roman;sans-serif"/>
          <w:b w:val="false"/>
          <w:color w:val="000000"/>
          <w:sz w:val="20"/>
        </w:rPr>
        <w:t>, or “</w:t>
      </w:r>
      <w:r>
        <w:rPr>
          <w:rFonts w:ascii="Times New Roman;sans-serif" w:hAnsi="Times New Roman;sans-serif"/>
          <w:b w:val="false"/>
          <w:color w:val="000000"/>
          <w:sz w:val="20"/>
          <w:u w:val="single"/>
        </w:rPr>
        <w:t>RFR Revolving Loan</w:t>
      </w:r>
      <w:r>
        <w:rPr>
          <w:color w:val="000000"/>
        </w:rPr>
        <w:t>”</w:t>
      </w:r>
      <w:r>
        <w:rPr>
          <w:rFonts w:ascii="Times New Roman;sans-serif" w:hAnsi="Times New Roman;sans-serif"/>
          <w:b w:val="false"/>
          <w:color w:val="000000"/>
          <w:sz w:val="20"/>
        </w:rPr>
        <w:t>). Borrowings also may be classified and referred to by Class (</w:t>
      </w:r>
      <w:r>
        <w:rPr>
          <w:rFonts w:ascii="Times New Roman;sans-serif" w:hAnsi="Times New Roman;sans-serif"/>
          <w:b w:val="false"/>
          <w:color w:val="000000"/>
          <w:sz w:val="20"/>
          <w:u w:val="single"/>
        </w:rPr>
        <w:t>e.g</w:t>
      </w:r>
      <w:r>
        <w:rPr>
          <w:rFonts w:ascii="Times New Roman;sans-serif" w:hAnsi="Times New Roman;sans-serif"/>
          <w:b w:val="false"/>
          <w:color w:val="000000"/>
          <w:sz w:val="20"/>
        </w:rPr>
        <w:t>., a “</w:t>
      </w:r>
      <w:r>
        <w:rPr>
          <w:rFonts w:ascii="Times New Roman;sans-serif" w:hAnsi="Times New Roman;sans-serif"/>
          <w:b w:val="false"/>
          <w:color w:val="000000"/>
          <w:sz w:val="20"/>
          <w:u w:val="single"/>
        </w:rPr>
        <w:t>Revolving Borrowing</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Term Borrowing</w:t>
      </w:r>
      <w:r>
        <w:rPr>
          <w:color w:val="000000"/>
        </w:rPr>
        <w:t>”</w:t>
      </w:r>
      <w:r>
        <w:rPr>
          <w:rFonts w:ascii="Times New Roman;sans-serif" w:hAnsi="Times New Roman;sans-serif"/>
          <w:b w:val="false"/>
          <w:color w:val="000000"/>
          <w:sz w:val="20"/>
        </w:rPr>
        <w:t>) or by Type (</w:t>
      </w:r>
      <w:r>
        <w:rPr>
          <w:rFonts w:ascii="Times New Roman;sans-serif" w:hAnsi="Times New Roman;sans-serif"/>
          <w:b w:val="false"/>
          <w:color w:val="000000"/>
          <w:sz w:val="20"/>
          <w:u w:val="single"/>
        </w:rPr>
        <w:t>e.g</w:t>
      </w:r>
      <w:r>
        <w:rPr>
          <w:rFonts w:ascii="Times New Roman;sans-serif" w:hAnsi="Times New Roman;sans-serif"/>
          <w:b w:val="false"/>
          <w:color w:val="000000"/>
          <w:sz w:val="20"/>
        </w:rPr>
        <w:t>., a “</w:t>
      </w:r>
      <w:r>
        <w:rPr>
          <w:rFonts w:ascii="Times New Roman;sans-serif" w:hAnsi="Times New Roman;sans-serif"/>
          <w:b w:val="false"/>
          <w:color w:val="000000"/>
          <w:sz w:val="20"/>
          <w:u w:val="single"/>
        </w:rPr>
        <w:t>Term</w:t>
      </w:r>
      <w:r>
        <w:rPr>
          <w:color w:val="000000"/>
        </w:rPr>
        <w:t xml:space="preserve"> </w:t>
      </w:r>
      <w:r>
        <w:rPr>
          <w:rFonts w:ascii="Times New Roman;sans-serif" w:hAnsi="Times New Roman;sans-serif"/>
          <w:b w:val="false"/>
          <w:color w:val="000000"/>
          <w:sz w:val="20"/>
          <w:u w:val="single"/>
        </w:rPr>
        <w:t>Benchmark Borrowing</w:t>
      </w:r>
      <w:r>
        <w:rPr>
          <w:color w:val="000000"/>
        </w:rPr>
        <w:t>”</w:t>
      </w:r>
      <w:r>
        <w:rPr>
          <w:rFonts w:ascii="Times New Roman;sans-serif" w:hAnsi="Times New Roman;sans-serif"/>
          <w:b w:val="false"/>
          <w:color w:val="000000"/>
          <w:sz w:val="20"/>
        </w:rPr>
        <w:t>, or “</w:t>
      </w:r>
      <w:r>
        <w:rPr>
          <w:rFonts w:ascii="Times New Roman;sans-serif" w:hAnsi="Times New Roman;sans-serif"/>
          <w:b w:val="false"/>
          <w:color w:val="000000"/>
          <w:sz w:val="20"/>
          <w:u w:val="single"/>
        </w:rPr>
        <w:t>RFR Borrowing</w:t>
      </w:r>
      <w:r>
        <w:rPr>
          <w:color w:val="000000"/>
        </w:rPr>
        <w:t>”</w:t>
      </w:r>
      <w:r>
        <w:rPr>
          <w:rFonts w:ascii="Times New Roman;sans-serif" w:hAnsi="Times New Roman;sans-serif"/>
          <w:b w:val="false"/>
          <w:color w:val="000000"/>
          <w:sz w:val="20"/>
        </w:rPr>
        <w:t>) or by Class and Type (</w:t>
      </w:r>
      <w:r>
        <w:rPr>
          <w:rFonts w:ascii="Times New Roman;sans-serif" w:hAnsi="Times New Roman;sans-serif"/>
          <w:b w:val="false"/>
          <w:color w:val="000000"/>
          <w:sz w:val="20"/>
          <w:u w:val="single"/>
        </w:rPr>
        <w:t>e.g</w:t>
      </w:r>
      <w:r>
        <w:rPr>
          <w:rFonts w:ascii="Times New Roman;sans-serif" w:hAnsi="Times New Roman;sans-serif"/>
          <w:b w:val="false"/>
          <w:color w:val="000000"/>
          <w:sz w:val="20"/>
        </w:rPr>
        <w:t>., a “</w:t>
      </w:r>
      <w:r>
        <w:rPr>
          <w:rFonts w:ascii="Times New Roman;sans-serif" w:hAnsi="Times New Roman;sans-serif"/>
          <w:b w:val="false"/>
          <w:color w:val="000000"/>
          <w:sz w:val="20"/>
          <w:u w:val="single"/>
        </w:rPr>
        <w:t>Term Benchmark Term Loan Borrowing</w:t>
      </w:r>
      <w:r>
        <w:rPr>
          <w:color w:val="000000"/>
        </w:rPr>
        <w:t xml:space="preserve">” </w:t>
      </w:r>
      <w:r>
        <w:rPr>
          <w:rFonts w:ascii="Times New Roman;sans-serif" w:hAnsi="Times New Roman;sans-serif"/>
          <w:b w:val="false"/>
          <w:color w:val="000000"/>
          <w:sz w:val="20"/>
        </w:rPr>
        <w:t>or a “</w:t>
      </w:r>
      <w:r>
        <w:rPr>
          <w:rFonts w:ascii="Times New Roman;sans-serif" w:hAnsi="Times New Roman;sans-serif"/>
          <w:b w:val="false"/>
          <w:color w:val="000000"/>
          <w:sz w:val="20"/>
          <w:u w:val="single"/>
        </w:rPr>
        <w:t>Term Benchmark Revolving Borrowing</w:t>
      </w:r>
      <w:r>
        <w:rPr>
          <w:color w:val="000000"/>
        </w:rPr>
        <w:t>”</w:t>
      </w:r>
      <w:r>
        <w:rPr>
          <w:rFonts w:ascii="Times New Roman;sans-serif" w:hAnsi="Times New Roman;sans-serif"/>
          <w:b w:val="false"/>
          <w:color w:val="000000"/>
          <w:sz w:val="20"/>
        </w:rPr>
        <w:t>). Borrowings of Revolving Loans are sometimes referred to herein as “</w:t>
      </w:r>
      <w:r>
        <w:rPr>
          <w:rFonts w:ascii="Times New Roman;sans-serif" w:hAnsi="Times New Roman;sans-serif"/>
          <w:b w:val="false"/>
          <w:color w:val="000000"/>
          <w:sz w:val="20"/>
          <w:u w:val="single"/>
        </w:rPr>
        <w:t>Revolving Borrowings</w:t>
      </w:r>
      <w:r>
        <w:rPr>
          <w:color w:val="000000"/>
        </w:rPr>
        <w:t>”</w:t>
      </w:r>
      <w:r>
        <w:rPr>
          <w:rFonts w:ascii="Times New Roman;sans-serif" w:hAnsi="Times New Roman;sans-serif"/>
          <w:b w:val="false"/>
          <w:color w:val="000000"/>
          <w:sz w:val="20"/>
        </w:rPr>
        <w:t>.</w:t>
      </w:r>
    </w:p>
    <w:p>
      <w:pPr>
        <w:pStyle w:val="TextBody"/>
        <w:bidi w:val="0"/>
        <w:spacing w:before="12"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1.03    </w:t>
      </w:r>
      <w:r>
        <w:rPr>
          <w:rFonts w:ascii="Times New Roman;sans-serif" w:hAnsi="Times New Roman;sans-serif"/>
          <w:b w:val="false"/>
          <w:color w:val="000000"/>
          <w:sz w:val="20"/>
          <w:u w:val="single"/>
        </w:rPr>
        <w:t>Terms Generally</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First Lien Loan Documents),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w:t>
      </w:r>
    </w:p>
    <w:p>
      <w:pPr>
        <w:pStyle w:val="TextBody"/>
        <w:bidi w:val="0"/>
        <w:spacing w:lineRule="auto" w:line="288"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pStyle w:val="TextBody"/>
        <w:bidi w:val="0"/>
        <w:spacing w:before="12"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1.04    </w:t>
      </w:r>
      <w:r>
        <w:rPr>
          <w:rFonts w:ascii="Times New Roman;sans-serif" w:hAnsi="Times New Roman;sans-serif"/>
          <w:b w:val="false"/>
          <w:color w:val="000000"/>
          <w:sz w:val="20"/>
          <w:u w:val="single"/>
        </w:rPr>
        <w:t>Accounting Terms; GAAP</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 Notwithstanding the foregoing, all obligations of Holdings, the Borrower and the Restricted Subsidiaries that are or would have been treated as operating leases for purposes of GAAP prior to the issuance on February 25, 2016 of the ASU shall continue to be accounted for as operating leases for purposes of all financial definitions and calculations for purposes of the First Lien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First Lien Loan Documents.</w:t>
      </w:r>
    </w:p>
    <w:p>
      <w:pPr>
        <w:pStyle w:val="TextBody"/>
        <w:bidi w:val="0"/>
        <w:spacing w:before="14"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(b)Notwithstanding anything to the contrary herein, for purposes of determining compliance with any test contained in this Agreement, the Total Net Leverage Ratio, the Senior Secured First Lien Net Leverage Ratio, the Senior Secured Net Leverage Ratio, the Interest Coverage Ratio and any other financial ratio or test shall be calculated on a Pro Forma Basis, including to give effect to all Specified Transactions that have been made during the applicable period of measurement or subsequent to such period and prior to or simultaneously with the event for which the calculation is made, and in making any determination on a Pro Forma Basis, such calculations shall be made in good faith by a Financial Officer and shall be conclusive absent manifest error.</w:t>
      </w:r>
    </w:p>
    <w:p>
      <w:pPr>
        <w:pStyle w:val="TextBody"/>
        <w:bidi w:val="0"/>
        <w:spacing w:before="13"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1.05    </w:t>
      </w:r>
      <w:r>
        <w:rPr>
          <w:rFonts w:ascii="Times New Roman;sans-serif" w:hAnsi="Times New Roman;sans-serif"/>
          <w:b w:val="false"/>
          <w:color w:val="000000"/>
          <w:sz w:val="20"/>
          <w:u w:val="single"/>
        </w:rPr>
        <w:t>Effectuation of Transactions</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51155"/>
                <wp:effectExtent l="0" t="0" r="0" b="0"/>
                <wp:wrapNone/>
                <wp:docPr id="152" name="Frame1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All references herein to Holdings, the Borrower and their respective Subsidiaries shall be deemed to be references to such Persons, and all the representations and warranties of Holdings, any Intermediate Parent, the Borrower and the other Loan Parties contained in this Agreement and the other First Lien Loan Documents shall be deemed made, in each case, after giving effect to the Transactions to occur on the Effective Date, unless the context otherwise requires.</w:t>
      </w:r>
    </w:p>
    <w:p>
      <w:pPr>
        <w:pStyle w:val="TextBody"/>
        <w:bidi w:val="0"/>
        <w:spacing w:before="12"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1.06    </w:t>
      </w:r>
      <w:r>
        <w:rPr>
          <w:rFonts w:ascii="Times New Roman;sans-serif" w:hAnsi="Times New Roman;sans-serif"/>
          <w:b w:val="false"/>
          <w:color w:val="000000"/>
          <w:sz w:val="20"/>
          <w:u w:val="single"/>
        </w:rPr>
        <w:t>Limited Condition Transactions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Notwithstanding anything in this Agreement or any First Lien Loan Document to the contrary, when calculating any applicable ratio, the amount or availability of the Incremental Cap, the amount or availability of the Available Amount or any other basket based on Consolidated EBITDA or total assets, or determining other compliance with this Agreement (including the determination of compliance with any provision of this Agreement which requires that no Default or Event of Default has occurred, is continuing or would result therefrom) in connection with the consummation of a Limited Condition Transaction, the date of determination of such ratio, the amount or availability of the Incremental Cap, the amount or availability of the Available Amount or any other basket based on Consolidated EBITDA or total assets, and determination of whether any Default or Event of Default has occurred, is continuing or would result therefrom or other applicable covenant shall, at the option of the Borrower (the Borrower’s election to exercise such option in connection with any Limited Condition Transaction, an “</w:t>
      </w:r>
      <w:r>
        <w:rPr>
          <w:rFonts w:ascii="Times New Roman;sans-serif" w:hAnsi="Times New Roman;sans-serif"/>
          <w:b w:val="false"/>
          <w:color w:val="000000"/>
          <w:sz w:val="20"/>
          <w:u w:val="single"/>
        </w:rPr>
        <w:t>LCT Election</w:t>
      </w:r>
      <w:r>
        <w:rPr>
          <w:color w:val="000000"/>
        </w:rPr>
        <w:t>”</w:t>
      </w:r>
      <w:r>
        <w:rPr>
          <w:rFonts w:ascii="Times New Roman;sans-serif" w:hAnsi="Times New Roman;sans-serif"/>
          <w:b w:val="false"/>
          <w:color w:val="000000"/>
          <w:sz w:val="20"/>
        </w:rPr>
        <w:t>), be deemed to be the date the definitive agreements for such Limited Condition Transaction are entered into (or, in respect of any transaction described in clause (b) of the definition of Limited Condition Transaction, delivery of irrevocable notice or similar event) (the “</w:t>
      </w:r>
      <w:r>
        <w:rPr>
          <w:rFonts w:ascii="Times New Roman;sans-serif" w:hAnsi="Times New Roman;sans-serif"/>
          <w:b w:val="false"/>
          <w:color w:val="000000"/>
          <w:sz w:val="20"/>
          <w:u w:val="single"/>
        </w:rPr>
        <w:t>LCT Test Date</w:t>
      </w:r>
      <w:r>
        <w:rPr>
          <w:color w:val="000000"/>
        </w:rPr>
        <w:t>”</w:t>
      </w:r>
      <w:r>
        <w:rPr>
          <w:rFonts w:ascii="Times New Roman;sans-serif" w:hAnsi="Times New Roman;sans-serif"/>
          <w:b w:val="false"/>
          <w:color w:val="000000"/>
          <w:sz w:val="20"/>
        </w:rPr>
        <w:t xml:space="preserve">)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applicable Test Period ending prior to the LCT Test Date, the Borrower could have taken such action on the relevant LCT Test Date in compliance with such ratios and provisions, such provisions shall be deemed to have been complied with;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at the option of the Borrower, the relevant ratios and baskets may be recalculated at the time of consummation of such Limited Condition Transaction. For the avoidance of doubt, (x) if any of such ratios or baskets are exceeded (or, with respect to the Interest Coverage Ratio, not reached) as a result of fluctuations in such ratio or basket (including due to fluctuations in Consolidated EBITDA of the Borrower and its Subsidiaries or fluctuations of the target of any Limited Condition Transaction) at or prior to the consummation of the relevant Limited Condition Transaction, such ratios and other provisions will not be deemed to have been exceeded (or, with respect to the Interest Coverage Ratio, not reached)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the Borrower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(or, if applicable, the irrevocable notice or similar event is terminated or expires), any such ratio or basket shall be calculated on a Pro Forma Basis assuming such Limited Condition Transaction and other transactions in connection therewith (including any incurrence of Indebtedness and the use of proceeds thereof) have been consummated until such time as the applicable Limited Condition Transaction has actually closed or the definitive agreement with respect thereto has been terminated or expires.</w:t>
      </w:r>
    </w:p>
    <w:p>
      <w:pPr>
        <w:pStyle w:val="TextBody"/>
        <w:bidi w:val="0"/>
        <w:spacing w:before="20" w:after="283"/>
        <w:jc w:val="left"/>
        <w:rPr/>
      </w:pPr>
      <w:r>
        <w:rPr/>
      </w:r>
    </w:p>
    <w:p>
      <w:pPr>
        <w:pStyle w:val="TextBody"/>
        <w:bidi w:val="0"/>
        <w:spacing w:lineRule="auto" w:line="288" w:before="1" w:after="283"/>
        <w:jc w:val="left"/>
        <w:rPr/>
      </w:pPr>
      <w:r>
        <w:rPr>
          <w:rFonts w:ascii="Times New Roman;sans-serif" w:hAnsi="Times New Roman;sans-serif"/>
          <w:b w:val="false"/>
          <w:color w:val="000000"/>
          <w:sz w:val="20"/>
        </w:rPr>
        <w:t>SECTION 1.07    </w:t>
      </w:r>
      <w:r>
        <w:rPr>
          <w:rFonts w:ascii="Times New Roman;sans-serif" w:hAnsi="Times New Roman;sans-serif"/>
          <w:b w:val="false"/>
          <w:color w:val="000000"/>
          <w:sz w:val="20"/>
          <w:u w:val="single"/>
        </w:rPr>
        <w:t xml:space="preserve">Certain Determinations. </w:t>
      </w:r>
    </w:p>
    <w:p>
      <w:pPr>
        <w:pStyle w:val="TextBody"/>
        <w:bidi w:val="0"/>
        <w:spacing w:before="10"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(a)For purposes of determining compliance with any of the covenants set forth in Article V or Article VI (including in connection with any First Lien Incremental Facility) at any time (whether at the time of incurrence or thereafter), any Lien, Investment, Indebtedness, Restricted Payment, Disposition or Affiliate transaction meets the criteria of one, or more than one, of the categories permitted pursuant to Article V or Article VI (including in connection with any First Lien Incremental Facility), the Borrower (i) shall in its sole discretion determine under which category such Lien (other than Liens securing the Secured Obligations incurred on the Effective Date), Investment, Indebtedness (other than Indebtedness incurred under the First Lien Loan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51155"/>
                <wp:effectExtent l="0" t="0" r="0" b="0"/>
                <wp:wrapNone/>
                <wp:docPr id="153" name="Frame1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the Effective Date), Disposition, Restricted Payment or Affiliate transaction (or, in each case, any portion there) is permitted and (ii) shall be permitted, in its sole discretion, to make any redetermination and/or to divide, classify or reclassify under which category or categories such Lien, Investment, Indebtedness, Disposition, Restricted Payment or Affiliate transaction is permitted from time to time as it may determine and without notice to the First Lien Administrative Agent or any Lender, so long as at the time of such redesignation the Borrower would be permitted to incur such Lien, Investment, Indebtedness or Restricted Payment under such category or categories, as applicable. For the avoidance of doubt, if the applicable date for meeting any requirement hereunder or under any other First Lien Loan Document falls on a day that is not a Business Day, compliance with such requirement shall not be required until noon on the first Business Day following such applicable date.</w:t>
      </w:r>
    </w:p>
    <w:p>
      <w:pPr>
        <w:pStyle w:val="TextBody"/>
        <w:bidi w:val="0"/>
        <w:spacing w:before="17" w:after="283"/>
        <w:jc w:val="left"/>
        <w:rPr/>
      </w:pPr>
      <w:r>
        <w:rPr/>
      </w:r>
    </w:p>
    <w:p>
      <w:pPr>
        <w:pStyle w:val="TextBody"/>
        <w:bidi w:val="0"/>
        <w:spacing w:lineRule="auto" w:line="288" w:before="6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(b)Notwithstanding anything to the contrary herein, with respect to any amounts incurred or transactions entered into (or consummated) in reliance on a provision of this Agreement that does not require compliance with a financial ratio or test (including, without limitation, any Total Net Leverage Ratio, Senior Secured Net Leverage Ratio, Senior Secured First Lien Net Leverage Ratio and/or Interest Coverage Ratio) (any such amounts, the “Fixed Amounts”) substantially concurrently with any amounts incurred or transactions entered into (or consummated) in reliance on a provision of this Agreement that requires compliance with any such financial ratio or test (any such amounts, the “Incurrence Based Amounts”),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Section 6.01 or Section 6.02.</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(c)Notwithstanding anything to the contrary herein, the Form Intercreditor Agreements shall be deemed to be reasonable and acceptable to the First Lien Administrative Agent and the Lenders, and the First Lien Administrative Agent and the Lenders shall be deemed to have consented to the use of each such Form Intercreditor Agreement (and to the First Lien Administrative Agent’s execution thereof) in connection with any Indebtedness secured by the Collateral that is permitted to be incurred, issued and/or assumed by the Borrower or any of its Subsidiaries pursuant to Section 6.01 and Section 6.02.</w:t>
      </w:r>
    </w:p>
    <w:p>
      <w:pPr>
        <w:pStyle w:val="TextBody"/>
        <w:bidi w:val="0"/>
        <w:spacing w:before="12" w:after="283"/>
        <w:jc w:val="left"/>
        <w:rPr/>
      </w:pPr>
      <w:r>
        <w:rPr/>
      </w:r>
    </w:p>
    <w:p>
      <w:pPr>
        <w:pStyle w:val="TextBody"/>
        <w:bidi w:val="0"/>
        <w:spacing w:lineRule="auto" w:line="288" w:before="1" w:after="283"/>
        <w:jc w:val="left"/>
        <w:rPr/>
      </w:pPr>
      <w:r>
        <w:rPr>
          <w:rFonts w:ascii="Times New Roman;sans-serif" w:hAnsi="Times New Roman;sans-serif"/>
          <w:b w:val="false"/>
          <w:color w:val="000000"/>
          <w:sz w:val="20"/>
        </w:rPr>
        <w:t>SECTION 1.08    </w:t>
      </w:r>
      <w:r>
        <w:rPr>
          <w:rFonts w:ascii="Times New Roman;sans-serif" w:hAnsi="Times New Roman;sans-serif"/>
          <w:b w:val="false"/>
          <w:color w:val="000000"/>
          <w:sz w:val="20"/>
          <w:u w:val="single"/>
        </w:rPr>
        <w:t>Additional Alternative Currencies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(a)The Borrower may from time to time request that Revolving Loans be made and/or Letters of Credit be issued in a currency other than Dollars or those specifically listed in the definition of “Alternative Currency.” In the case of any such request with respect to the making of Revolving Loans, such request shall be subject to the approval of the First Lien Administrative Agent and all of the Revolving Lenders. In the case of any such request with respect to the issuance of Letters of Credit, such request shall be subject to the approval of the First Lien Administrative Agent, the applicable Issuing Bank and all of the Revolving Lenders.</w:t>
      </w:r>
    </w:p>
    <w:p>
      <w:pPr>
        <w:pStyle w:val="TextBody"/>
        <w:bidi w:val="0"/>
        <w:spacing w:before="12"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(b)Any such request shall be made to the First Lien Administrative Agent not later than 11:00 a.m. (New York City time), ten (10) Business Days prior to the date of the desired Revolving Borrowing or issuance of Letters of Credit (or such other time or date as may be agreed to by the First Lien Administrative Agent and, in the case of any such request pertaining to Letters of Credit, each Issuing Bank, in its or their sole discretion). In the case of any such request pertaining to Revolving Loans, the First Lien Administrative Agent shall promptly notify each Revolving Lender thereof. In the case of any such request pertaining to Letters of Credit, the First Lien Administrative Agent shall promptly notify the applicable Issuing Bank thereof. Each Revolving Lender (in the case of any such request pertaining to Revolving Loans) or each Issuing Bank (in the case of a request pertaining to Letters of Credit) shall notify the First Lien Administrative Agent, not later than 11:00 a.m. (New York City time), two (2) Business Days after its receipt of such request as to whether it consents, in its sole discretion, to the making of Revolving Loans or the issuance of Letters of Credit, as the case may be, in such requested currency.</w:t>
      </w:r>
    </w:p>
    <w:p>
      <w:pPr>
        <w:pStyle w:val="TextBody"/>
        <w:bidi w:val="0"/>
        <w:spacing w:before="14"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(c)Any failure by a Revolving Lender or an Issuing Bank, as the case may be, to respond to such request within the time period specified in the last sentence of clause (b) above shall be deemed to be a refusal by such Revolving Lender or such Issuing Bank, as the case may be, to permit Revolving Loans to be made or Letters of Credit to be issued in such requested currency. If the First Lien Administrative Agent and all the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51155"/>
                <wp:effectExtent l="0" t="0" r="0" b="0"/>
                <wp:wrapNone/>
                <wp:docPr id="154" name="Frame1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Revolving Lenders consent to making Revolving Loans in such requested currency, the First Lien Administrative Agent shall so notify the Borrower and (i) the First Lien Administrative Agent and the Revolving Lenders may amend this Agreement to the extent necessary to add the applicable interest rate for such currency and (ii) to the extent such amendments have been made to add the applicable interest rate for such currency, such currency shall thereupon be deemed for all purposes to be an Alternative Currency hereunder for purposes of any Borrowings of Revolving Loans. If the First Lien Administrative Agent and each Issuing Bank consent to the issuance of Letters of Credit in such requested currency, the First Lien Administrative Agent shall so notify the Borrower and (i) the First Lien Administrative Agent and the Issuing Banks may amend this Agreement to the extent necessary to add the applicable interest rate for such currency and (ii) to the extent such amendments have been made to add the applicable interest rate for such currency, such currency shall thereupon be deemed for all purposes to be an Alternative Currency hereunder for purposes of any Letter of Credit issuances. If the First Lien Administrative Agent shall fail to obtain consent to any request for an additional currency under this Section 1.08, the First Lien Administrative Agent shall promptly so notify the Borrower.</w:t>
      </w:r>
    </w:p>
    <w:p>
      <w:pPr>
        <w:pStyle w:val="TextBody"/>
        <w:bidi w:val="0"/>
        <w:spacing w:before="17"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1.09    </w:t>
      </w:r>
      <w:r>
        <w:rPr>
          <w:rFonts w:ascii="Times New Roman;sans-serif" w:hAnsi="Times New Roman;sans-serif"/>
          <w:b w:val="false"/>
          <w:color w:val="000000"/>
          <w:sz w:val="20"/>
          <w:u w:val="single"/>
        </w:rPr>
        <w:t>Currency Equivalents Generally</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6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(a)The First Lien Administrative Agent shall determine the Spot Rates as of each LC Revaluation Date to be used for calculating Dollar Amounts of a Borrowing or an issuance of any Letter of Credit or extension, renewal or increase of the amount thereof and any amounts outstanding hereunder denominated in Alternative Currencies. Such Spot Rates shall become effective as of such LC Revaluation Date and shall be the Spot Rates employed in converting any amounts between the applicable currencies until the next LC Revaluation Date to occur. Except as set forth in this Agreement (including Article IX), the applicable amount of any currency (other than Dollars) for purposes of the First Lien Loan Documents shall be such Dollar Amount as so determined by the First Lien Administrative Agent or the Issuing Bank, as applicable.</w:t>
      </w:r>
    </w:p>
    <w:p>
      <w:pPr>
        <w:pStyle w:val="TextBody"/>
        <w:bidi w:val="0"/>
        <w:spacing w:before="12"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(b)Wherever in this Agreement in connection with a Borrowing, conversion, continuation or prepayment of a Loan or the issuance, amendment or extension of a Letter of Credit, an amount, such as a required minimum or multiple amount, is expressed in Dollars, but such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First Lien Administrative Agent or the applicable Issuing Bank, as the case may be.</w:t>
      </w:r>
    </w:p>
    <w:p>
      <w:pPr>
        <w:pStyle w:val="TextBody"/>
        <w:bidi w:val="0"/>
        <w:spacing w:before="13"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1.10    </w:t>
      </w:r>
      <w:r>
        <w:rPr>
          <w:rFonts w:ascii="Times New Roman;sans-serif" w:hAnsi="Times New Roman;sans-serif"/>
          <w:b w:val="false"/>
          <w:color w:val="000000"/>
          <w:sz w:val="20"/>
          <w:u w:val="single"/>
        </w:rPr>
        <w:t>Change in Currency</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(a)Each obligation of the Borrower to make a payment denominated in the national currency unit of any member state of the European Union that adopts the Euro as its lawful currency after the date hereof shall be redenominated into Euros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any Revolving Borrowing in the currency of such member state is outstanding immediately prior to such date, such replacement shall take effect, with respect to such Borrowing, at the end of the then current Interest Period.</w:t>
      </w:r>
    </w:p>
    <w:p>
      <w:pPr>
        <w:pStyle w:val="TextBody"/>
        <w:bidi w:val="0"/>
        <w:spacing w:before="14"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(b)Each provision of this Agreement shall be subject to such reasonable changes of construction as the First Lien Administrative Agent may from time to time specify to be necessary to reflect the adoption of the Euro by any member state of the European Union and any relevant market conventions or practices relating to the Euro.</w:t>
      </w:r>
    </w:p>
    <w:p>
      <w:pPr>
        <w:pStyle w:val="TextBody"/>
        <w:bidi w:val="0"/>
        <w:spacing w:before="12"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(c)Each provision of this Agreement also shall be subject to such reasonable changes of construction as the First Lien Administrative Agent may from time to time specify to be necessary to reflect a change in currency of any other country and any relevant market conventions or practices relating to the change in currency.</w:t>
      </w:r>
    </w:p>
    <w:p>
      <w:pPr>
        <w:pStyle w:val="TextBody"/>
        <w:bidi w:val="0"/>
        <w:spacing w:before="1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51155"/>
                <wp:effectExtent l="0" t="0" r="0" b="0"/>
                <wp:wrapNone/>
                <wp:docPr id="155" name="Frame1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20"/>
        </w:rPr>
        <w:t>SECTION 1.11    </w:t>
      </w:r>
      <w:r>
        <w:rPr>
          <w:rFonts w:ascii="Times New Roman;sans-serif" w:hAnsi="Times New Roman;sans-serif"/>
          <w:b w:val="false"/>
          <w:color w:val="000000"/>
          <w:sz w:val="20"/>
          <w:u w:val="single"/>
        </w:rPr>
        <w:t>Divisions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Any reference herein to a merger, transfer, consolidation, amalgamation, assignment, sale, disposition or transfer, or similar term, shall be deemed to apply to a division of or by a limited liability company or other Person, or an allocation of assets to a series of a limited liability company or other Person (or the unwinding of such a division or allocation) (any such transaction, a “</w:t>
      </w:r>
      <w:r>
        <w:rPr>
          <w:rFonts w:ascii="Times New Roman;sans-serif" w:hAnsi="Times New Roman;sans-serif"/>
          <w:b w:val="false"/>
          <w:color w:val="000000"/>
          <w:sz w:val="20"/>
          <w:u w:val="single"/>
        </w:rPr>
        <w:t>Division</w:t>
      </w:r>
      <w:r>
        <w:rPr>
          <w:color w:val="000000"/>
        </w:rPr>
        <w:t>”</w:t>
      </w:r>
      <w:r>
        <w:rPr>
          <w:rFonts w:ascii="Times New Roman;sans-serif" w:hAnsi="Times New Roman;sans-serif"/>
          <w:b w:val="false"/>
          <w:color w:val="000000"/>
          <w:sz w:val="20"/>
        </w:rPr>
        <w:t>), as if it were a merger, transfer, consolidation, amalgamation, assignment, sale, disposition or transfer, or similar term, as applicable, to, of or with a separate Person. Any Division of a limited liability company or other Person shall constitute a separate Person hereunder (and each Division of any limited liability company or other Person that is a Subsidiary, Restricted Subsidiary, Unrestricted Subsidiary, joint venture or any other like term shall also constitute such a Person or entity).</w:t>
      </w:r>
    </w:p>
    <w:p>
      <w:pPr>
        <w:pStyle w:val="TextBody"/>
        <w:bidi w:val="0"/>
        <w:spacing w:before="14"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1.12    </w:t>
      </w:r>
      <w:r>
        <w:rPr>
          <w:rFonts w:ascii="Times New Roman;sans-serif" w:hAnsi="Times New Roman;sans-serif"/>
          <w:b w:val="false"/>
          <w:color w:val="000000"/>
          <w:sz w:val="20"/>
          <w:u w:val="single"/>
        </w:rPr>
        <w:t>[Reserved]</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SECTION 1.13 </w:t>
      </w:r>
      <w:r>
        <w:rPr>
          <w:rFonts w:ascii="Times New Roman;sans-serif" w:hAnsi="Times New Roman;sans-serif"/>
          <w:b w:val="false"/>
          <w:color w:val="000000"/>
          <w:sz w:val="20"/>
          <w:u w:val="single"/>
        </w:rPr>
        <w:t>Interest Rate; Benchmark Replacement.</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on a Loan denominated in Dollars or a Loan denominated in an Alternative Currency may be derived from an interest rate benchmark that may be discontinued or is, or may in the future become, the subject of regulatory reform. Upon the occurrence of a Benchmark Transition Event, Section 2.14 provides a mechanism for determining an alternative rate of interest. The First Lien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First Lien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Affiliate of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to the extent provided by and attributable to any such information source or service.</w:t>
      </w:r>
    </w:p>
    <w:p>
      <w:pPr>
        <w:pStyle w:val="TextBody"/>
        <w:bidi w:val="0"/>
        <w:spacing w:before="0" w:after="0"/>
        <w:jc w:val="left"/>
        <w:rPr/>
      </w:pPr>
      <w:r>
        <w:rPr/>
      </w:r>
    </w:p>
    <w:p>
      <w:pPr>
        <w:pStyle w:val="TextBody"/>
        <w:bidi w:val="0"/>
        <w:spacing w:before="0" w:after="0"/>
        <w:jc w:val="left"/>
        <w:rPr/>
      </w:pPr>
      <w:r>
        <w:rPr/>
      </w:r>
    </w:p>
    <w:p>
      <w:pPr>
        <w:pStyle w:val="TextBody"/>
        <w:bidi w:val="0"/>
        <w:spacing w:before="25" w:after="283"/>
        <w:jc w:val="left"/>
        <w:rPr/>
      </w:pPr>
      <w:r>
        <w:rPr/>
      </w:r>
    </w:p>
    <w:p>
      <w:pPr>
        <w:pStyle w:val="TextBody"/>
        <w:bidi w:val="0"/>
        <w:spacing w:lineRule="auto" w:line="556" w:before="1" w:after="283"/>
        <w:ind w:left="0" w:right="0" w:hanging="8"/>
        <w:jc w:val="center"/>
        <w:rPr/>
      </w:pPr>
      <w:r>
        <w:rPr>
          <w:rFonts w:ascii="Times New Roman;sans-serif" w:hAnsi="Times New Roman;sans-serif"/>
          <w:b w:val="false"/>
          <w:color w:val="000000"/>
          <w:sz w:val="20"/>
        </w:rPr>
        <w:t xml:space="preserve">ARTICLE II </w:t>
      </w:r>
      <w:r>
        <w:rPr>
          <w:rFonts w:ascii="Times New Roman;sans-serif" w:hAnsi="Times New Roman;sans-serif"/>
          <w:b w:val="false"/>
          <w:color w:val="000000"/>
          <w:sz w:val="20"/>
          <w:u w:val="single"/>
        </w:rPr>
        <w:t>THE CREDITS</w:t>
      </w:r>
    </w:p>
    <w:p>
      <w:pPr>
        <w:pStyle w:val="TextBody"/>
        <w:bidi w:val="0"/>
        <w:spacing w:lineRule="auto" w:line="288" w:before="11" w:after="283"/>
        <w:jc w:val="left"/>
        <w:rPr/>
      </w:pPr>
      <w:r>
        <w:rPr>
          <w:rFonts w:ascii="Times New Roman;sans-serif" w:hAnsi="Times New Roman;sans-serif"/>
          <w:b w:val="false"/>
          <w:color w:val="000000"/>
          <w:sz w:val="20"/>
        </w:rPr>
        <w:t>SECTION 2.01    </w:t>
      </w:r>
      <w:r>
        <w:rPr>
          <w:rFonts w:ascii="Times New Roman;sans-serif" w:hAnsi="Times New Roman;sans-serif"/>
          <w:b w:val="false"/>
          <w:color w:val="000000"/>
          <w:sz w:val="20"/>
          <w:u w:val="single"/>
        </w:rPr>
        <w:t>Commitments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terms and conditions set forth herein, (a) each 2024 Refinancing Term Lender agrees to make 2024 Refinancing Term Loans to the Borrower on the Amendment No. 4 Effective Date denominated in Dollars in a principal amount not exceeding such 2024 Refinancing Term Commitment and (b) each Revolving Lender agrees to make Revolving Loans of the applicable Class to the Borrower denominated in Dollars or an Alternative Currency, from time to time during the Revolving Availability Period in an aggregate principal amount which will not result in such Revolving Lender’s Revolving Exposure of such Class exceeding such Revolving Lender’s Revolving Commitment of such Class. Within the foregoing limits and subject to the terms and conditions set forth herein, the Borrower may borrow, prepay and reborrow Revolving Loans. Amounts repaid or prepaid in respect of 2024 Refinancing Term Loans may not be reborrowed.</w:t>
      </w:r>
    </w:p>
    <w:p>
      <w:pPr>
        <w:pStyle w:val="TextBody"/>
        <w:bidi w:val="0"/>
        <w:spacing w:before="14"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2.02    </w:t>
      </w:r>
      <w:r>
        <w:rPr>
          <w:rFonts w:ascii="Times New Roman;sans-serif" w:hAnsi="Times New Roman;sans-serif"/>
          <w:b w:val="false"/>
          <w:color w:val="000000"/>
          <w:sz w:val="20"/>
          <w:u w:val="single"/>
        </w:rPr>
        <w:t>Loans and Borrowings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51155"/>
                <wp:effectExtent l="0" t="0" r="0" b="0"/>
                <wp:wrapNone/>
                <wp:docPr id="156" name="Frame1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ind w:left="0" w:right="0" w:firstLine="1440"/>
        <w:jc w:val="both"/>
        <w:rPr/>
      </w:pPr>
      <w:r>
        <w:rPr>
          <w:rFonts w:ascii="Times New Roman;sans-serif" w:hAnsi="Times New Roman;sans-serif"/>
          <w:b w:val="false"/>
          <w:color w:val="000000"/>
          <w:sz w:val="20"/>
        </w:rPr>
        <w:t xml:space="preserve">(a)Each (i) Loan (other than a Swingline Loan) shall be made as part of a Borrowing consisting of Loans of the same Class and Type made by the Lenders ratably in accordance with their respective Commitments of the applicable Class and (ii) Revolving Loan shall be made by the Revolving Lenders ratably in accordance with their respective Revolving Commitments. The failure of any Lender to make any Loan required to be made by it shall not relieve any other Lender of its obligations hereunder,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Commitments of the Lenders are several and other than as expressly provided herein with respect to a Defaulting Lender, no Lender shall be responsible for any other Lender’s failure to make Loans as required hereby.</w:t>
      </w:r>
    </w:p>
    <w:p>
      <w:pPr>
        <w:pStyle w:val="TextBody"/>
        <w:bidi w:val="0"/>
        <w:spacing w:before="12"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0"/>
        </w:rPr>
        <w:t xml:space="preserve">(b)Subject to Section 2.14, (i) each Term Borrowing shall be comprised entirely of ABR Loans or Term Benchmark Loans as the Borrower may request in accordance herewith and (ii) each Revolving Borrowing shall be comprised entirely of ABR Loans, Term Benchmark Loans or RFR Loans as the Borrower may request in accordance herewith. Revolving Loans denominated in (i) Dollars may be Term Benchmark Loans, ABR Loans or RFR Loans; (ii) Canadian Dollars may be Term Benchmark Loans or ABR Loans, (iii) any Alternative Currency (other than Canadian Dollars or Sterling) shall be Term Benchmark Loans and (iv) Sterling shall be SONIA Loans. Each Lender at its option may make any Loan by causing any domestic or foreign branch or Affiliate of such Lender to make such Loan;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any exercise of such option shall not affect the obligation of the Borrower to repay such Loan in accordance with the terms of this Agreement.</w:t>
      </w:r>
    </w:p>
    <w:p>
      <w:pPr>
        <w:pStyle w:val="TextBody"/>
        <w:bidi w:val="0"/>
        <w:spacing w:before="13"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 xml:space="preserve">(c)At the commencement of each Interest Period for any Term Benchmark Borrowing such Borrowing shall be in an aggregate amount that is an integral multiple of the Borrowing Multiple and not less than the Borrowing Minimum;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 Term Benchmark Borrowing that results from a continuation of an outstanding Term Benchmark Borrowing may be in an aggregate amount that is equal to such outstanding Borrowing. At the time that each ABR Borrowing or RFR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there shall not be more than a total of (i) twelve Term Benchmark Borrowings or RFR Borrowings (other than Borrowings denominated in Sterling) outstanding, and (ii) four SONIA Borrowings outstanding. Notwithstanding anything to the contrary herein, an ABR Revolving Borrowing of the applicable Class or a Swingline Loan may be in an aggregate amount equal to the entire unused balance of the aggregate Revolving Commitments of such Class or that is required to finance the reimbursement of an LC Disbursement as contemplated by Section 2.05(f).</w:t>
      </w:r>
    </w:p>
    <w:p>
      <w:pPr>
        <w:pStyle w:val="TextBody"/>
        <w:bidi w:val="0"/>
        <w:spacing w:before="15"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2.03    </w:t>
      </w:r>
      <w:r>
        <w:rPr>
          <w:rFonts w:ascii="Times New Roman;sans-serif" w:hAnsi="Times New Roman;sans-serif"/>
          <w:b w:val="false"/>
          <w:color w:val="000000"/>
          <w:sz w:val="20"/>
          <w:u w:val="single"/>
        </w:rPr>
        <w:t>Requests for Borrowings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To request a Borrowing, the Borrower shall notify the First Lien Administrative Agent of such request by telephone (a) in the case of a Term Benchmark Borrowing in Dollars or Canadian Dollars, not later than 2:00 p.m., New York City time, three (3) Business Days before the date of the proposed Borrowing, (b) in the case of an ABR Borrowing, not later than 10:00 a.m., New York City time, on the date of the proposed Borrowing, (c) in the case of a SONIA Borrowing, not later than 2:00 p.m. London, England time, five (5) Business Days before the date of the proposed Borrowing, (d) in the case of an RFR Borrowing (other than a SONIA Borrowing), not later than 11:00 a.m. New York City time, five (5) Business Days before the date of the proposed Borrowing (or such later time as the First Lien Administrative Agent may agree in its sole discretion) or (e) in the case of Term Benchmark Borrowing denominated in Euro, not later than 12:00 p.m., New York City time, three (3) Business Days before the date of the proposed Borrowing. Each such telephonic Borrowing Request shall be irrevocable and shall be confirmed promptly by hand delivery or facsimile to the First Lien Administrative Agent of a written Borrowing Request signed by the Borrower substantially in the form of Exhibit Q. Each such telephonic and written Borrowing Request shall specify the following information:</w:t>
      </w:r>
    </w:p>
    <w:p>
      <w:pPr>
        <w:pStyle w:val="TextBody"/>
        <w:bidi w:val="0"/>
        <w:spacing w:before="16" w:after="283"/>
        <w:jc w:val="left"/>
        <w:rPr/>
      </w:pPr>
      <w:r>
        <w:rPr/>
      </w:r>
    </w:p>
    <w:p>
      <w:pPr>
        <w:pStyle w:val="TextBody"/>
        <w:bidi w:val="0"/>
        <w:spacing w:lineRule="auto" w:line="288" w:before="0" w:after="0"/>
        <w:ind w:left="0" w:right="0" w:firstLine="818"/>
        <w:jc w:val="both"/>
        <w:rPr>
          <w:rFonts w:ascii="Times New Roman;sans-serif" w:hAnsi="Times New Roman;sans-serif"/>
          <w:b w:val="false"/>
          <w:color w:val="000000"/>
          <w:sz w:val="20"/>
        </w:rPr>
      </w:pPr>
      <w:r>
        <w:rPr>
          <w:rFonts w:ascii="Times New Roman;sans-serif" w:hAnsi="Times New Roman;sans-serif"/>
          <w:b w:val="false"/>
          <w:color w:val="000000"/>
          <w:sz w:val="20"/>
        </w:rPr>
        <w:t>(i)whether the requested Borrowing is to be a Revolving Borrowing, a Term Borrowing or a Borrowing of any other Class (specifying the Class thereof);</w:t>
      </w:r>
    </w:p>
    <w:p>
      <w:pPr>
        <w:pStyle w:val="TextBody"/>
        <w:bidi w:val="0"/>
        <w:spacing w:before="10" w:after="283"/>
        <w:jc w:val="left"/>
        <w:rPr/>
      </w:pPr>
      <w:r>
        <w:rPr/>
      </w:r>
    </w:p>
    <w:p>
      <w:pPr>
        <w:pStyle w:val="TextBody"/>
        <w:bidi w:val="0"/>
        <w:spacing w:lineRule="auto" w:line="288" w:before="1" w:after="283"/>
        <w:ind w:left="0" w:right="0" w:hanging="1108"/>
        <w:jc w:val="left"/>
        <w:rPr>
          <w:rFonts w:ascii="Times New Roman;sans-serif" w:hAnsi="Times New Roman;sans-serif"/>
          <w:b w:val="false"/>
          <w:color w:val="000000"/>
          <w:sz w:val="20"/>
        </w:rPr>
      </w:pPr>
      <w:r>
        <w:rPr>
          <w:rFonts w:ascii="Times New Roman;sans-serif" w:hAnsi="Times New Roman;sans-serif"/>
          <w:b w:val="false"/>
          <w:color w:val="000000"/>
          <w:sz w:val="20"/>
        </w:rPr>
        <w:t>(ii)the aggregate amount of such Borrowing;</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51155"/>
                <wp:effectExtent l="0" t="0" r="0" b="0"/>
                <wp:wrapNone/>
                <wp:docPr id="157" name="Frame1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164"/>
        <w:jc w:val="left"/>
        <w:rPr>
          <w:rFonts w:ascii="Times New Roman;sans-serif" w:hAnsi="Times New Roman;sans-serif"/>
          <w:b w:val="false"/>
          <w:color w:val="000000"/>
          <w:sz w:val="20"/>
        </w:rPr>
      </w:pPr>
      <w:r>
        <w:rPr>
          <w:rFonts w:ascii="Times New Roman;sans-serif" w:hAnsi="Times New Roman;sans-serif"/>
          <w:b w:val="false"/>
          <w:color w:val="000000"/>
          <w:sz w:val="20"/>
        </w:rPr>
        <w:t>(iii)the date of such Borrowing, which shall be a Business Day;</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(iv)whether such Borrowing is to be an ABR Borrowing, a Term Benchmark Borrowing or an RFR Borrowing;</w:t>
      </w:r>
    </w:p>
    <w:p>
      <w:pPr>
        <w:pStyle w:val="TextBody"/>
        <w:bidi w:val="0"/>
        <w:spacing w:before="11" w:after="283"/>
        <w:jc w:val="left"/>
        <w:rPr/>
      </w:pPr>
      <w:r>
        <w:rPr/>
      </w:r>
    </w:p>
    <w:p>
      <w:pPr>
        <w:pStyle w:val="TextBody"/>
        <w:bidi w:val="0"/>
        <w:spacing w:lineRule="auto" w:line="288" w:before="0" w:after="0"/>
        <w:ind w:left="0" w:right="0" w:firstLine="775"/>
        <w:jc w:val="both"/>
        <w:rPr>
          <w:rFonts w:ascii="Times New Roman;sans-serif" w:hAnsi="Times New Roman;sans-serif"/>
          <w:b w:val="false"/>
          <w:color w:val="000000"/>
          <w:sz w:val="20"/>
        </w:rPr>
      </w:pPr>
      <w:r>
        <w:rPr>
          <w:rFonts w:ascii="Times New Roman;sans-serif" w:hAnsi="Times New Roman;sans-serif"/>
          <w:b w:val="false"/>
          <w:color w:val="000000"/>
          <w:sz w:val="20"/>
        </w:rPr>
        <w:t>(v)in the case of a Term Benchmark Borrowing, the initial Interest Period to be applicable thereto, which shall be a period contemplated by the definition of the term “Interest Period”;</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(vi)the location and number of the Borrower’s account or accounts to which funds are to be disbursed, which shall comply with the requirements of Section 2.06, or, in the case of any ABR Revolving Borrowing or Swingline Loan requested to finance the reimbursement of an LC Disbursement as provided in Section 2.05(f), the identity of the Issuing Bank that made such LC Disbursement;</w:t>
      </w:r>
    </w:p>
    <w:p>
      <w:pPr>
        <w:pStyle w:val="TextBody"/>
        <w:bidi w:val="0"/>
        <w:spacing w:before="12" w:after="283"/>
        <w:jc w:val="left"/>
        <w:rPr/>
      </w:pPr>
      <w:r>
        <w:rPr/>
      </w:r>
    </w:p>
    <w:p>
      <w:pPr>
        <w:pStyle w:val="TextBody"/>
        <w:bidi w:val="0"/>
        <w:spacing w:lineRule="auto" w:line="288" w:before="0" w:after="0"/>
        <w:ind w:left="0" w:right="0" w:firstLine="664"/>
        <w:jc w:val="left"/>
        <w:rPr>
          <w:rFonts w:ascii="Times New Roman;sans-serif" w:hAnsi="Times New Roman;sans-serif"/>
          <w:b w:val="false"/>
          <w:color w:val="000000"/>
          <w:sz w:val="20"/>
        </w:rPr>
      </w:pPr>
      <w:r>
        <w:rPr>
          <w:rFonts w:ascii="Times New Roman;sans-serif" w:hAnsi="Times New Roman;sans-serif"/>
          <w:b w:val="false"/>
          <w:color w:val="000000"/>
          <w:sz w:val="20"/>
        </w:rPr>
        <w:t>(vii)that as of the date of such Borrowing, the conditions set forth in Sections 4.02(a) and 4.02(b) are satisfied; and</w:t>
      </w:r>
    </w:p>
    <w:p>
      <w:pPr>
        <w:pStyle w:val="TextBody"/>
        <w:bidi w:val="0"/>
        <w:spacing w:before="11" w:after="283"/>
        <w:jc w:val="left"/>
        <w:rPr/>
      </w:pPr>
      <w:r>
        <w:rPr/>
      </w:r>
    </w:p>
    <w:p>
      <w:pPr>
        <w:pStyle w:val="TextBody"/>
        <w:bidi w:val="0"/>
        <w:spacing w:lineRule="auto" w:line="288" w:before="0" w:after="0"/>
        <w:ind w:left="0" w:right="0" w:firstLine="609"/>
        <w:jc w:val="left"/>
        <w:rPr>
          <w:rFonts w:ascii="Times New Roman;sans-serif" w:hAnsi="Times New Roman;sans-serif"/>
          <w:b w:val="false"/>
          <w:color w:val="000000"/>
          <w:sz w:val="20"/>
        </w:rPr>
      </w:pPr>
      <w:r>
        <w:rPr>
          <w:rFonts w:ascii="Times New Roman;sans-serif" w:hAnsi="Times New Roman;sans-serif"/>
          <w:b w:val="false"/>
          <w:color w:val="000000"/>
          <w:sz w:val="20"/>
        </w:rPr>
        <w:t>(viii)in the case of a Revolving Borrowing, the currency in which such Borrowing is to be denominated.</w:t>
      </w:r>
    </w:p>
    <w:p>
      <w:pPr>
        <w:pStyle w:val="TextBody"/>
        <w:bidi w:val="0"/>
        <w:spacing w:before="10" w:after="283"/>
        <w:jc w:val="left"/>
        <w:rPr/>
      </w:pPr>
      <w:r>
        <w:rPr/>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no election as to the Type of Borrowing is specified as to any requested Borrowing in Dollars or Canadian Dollars, then the requested Borrowing shall be an ABR Borrowing. If no Interest Period is specified with respect to any requested Term Benchmark Borrowing, then the Borrower shall be deemed to have selected an Interest Period of one month’s duration. If no currency is specified with respect to any requested Term Benchmark Borrowing, then the Borrower shall be deemed to have requested that the Borrowing be denominated in Dollars. Promptly following receipt of a Borrowing Request in accordance with this Section 2.03, the First Lien Administrative Agent shall advise each Lender of the applicable Class of the details thereof and of the amount of such Lender’s Loan to be made as part of the requested Borrowing.</w:t>
      </w:r>
    </w:p>
    <w:p>
      <w:pPr>
        <w:pStyle w:val="TextBody"/>
        <w:bidi w:val="0"/>
        <w:spacing w:before="13"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2.04    </w:t>
      </w:r>
      <w:r>
        <w:rPr>
          <w:rFonts w:ascii="Times New Roman;sans-serif" w:hAnsi="Times New Roman;sans-serif"/>
          <w:b w:val="false"/>
          <w:color w:val="000000"/>
          <w:sz w:val="20"/>
          <w:u w:val="single"/>
        </w:rPr>
        <w:t>Swingline Loans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(a)Subject to the terms and conditions set forth herein (including Section 2.22), in reliance upon the agreements of the other Lenders set forth in this Section 2.04, the Swingline Lender agrees to make Swingline Loans to the Borrower from time to time during the Revolving Availability Period denominated in Dollars, in an aggregate principal amount at any time outstanding that will not result in (i) the outstanding Swingline Loans of the Swingline Lender exceeding its Swingline Commitment or (ii) the aggregate Revolving Exposures exceeding the aggregate Revolving Commitments,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Swingline Lender shall not be required to make a Swingline Loan to refinance an outstanding Swingline Loan. Within the foregoing limits and subject to the terms and conditions set forth herein, the Borrower may borrow, prepay and re-borrow Swingline Loans.</w:t>
      </w:r>
    </w:p>
    <w:p>
      <w:pPr>
        <w:pStyle w:val="TextBody"/>
        <w:bidi w:val="0"/>
        <w:spacing w:before="13"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(b)To request a Swingline Loan, the Borrower shall notify the First Lien Administrative Agent and the Swingline Lender of such request by telephone (confirmed in writing) or facsimile (confirmed by telephone), not later than 2:00 p.m., New York City time on the day of such proposed Swingline Loan. Each such notice shall be irrevocable and shall specify the requested date (which shall be a Business Day), the amount of the requested Swingline Loan and (x) if the funds are not to be credited to a general deposit account of the Borrower maintained with the Swingline Lender because the Borrower is unable to maintain a general deposit account with the Swingline Lender under applicable Requirements of Law, the location and number of the Borrower’s account to which funds are to be disbursed, which shall comply with Section 2.06, or (y) in the case of any ABR Revolving Borrowing or Swingline Loan requested to finance the reimbursement of an LC Disbursement as provided in Section 2.05(f), the identity of the Issuing Bank that made such LC Disbursement. The Swingline Lender shall make each Swingline Loan available to the Borrower by means of a credit to the general deposit accounts of the Borrower maintained with the Swingline Lender for the applicable Swingline Loan (or, in the case of a Swingline Loan made to finance the reimbursement of an LC Disbursement as provided in Section 2.05(f), by remittance to the applicable Issuing Bank) by 3:00 p.m., New York City time, on the requested date of such Swingline Loan. No Swingline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51155"/>
                <wp:effectExtent l="0" t="0" r="0" b="0"/>
                <wp:wrapNone/>
                <wp:docPr id="158" name="Frame1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Lender shall be under any obligation to make a Swingline Loan if any Lender is at that time a Defaulting Lender, if after giving effect to Section 2.22(a)(iv), any Defaulting Lender Fronting Exposure remains outstanding.</w:t>
      </w:r>
    </w:p>
    <w:p>
      <w:pPr>
        <w:pStyle w:val="TextBody"/>
        <w:bidi w:val="0"/>
        <w:spacing w:before="16"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 xml:space="preserve">(c)The Swingline Lender may by written notice given to the First Lien Administrative Agent not later than 1:00 p.m.,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First Lien Administrative Agent will give notice thereof to each Revolving Lender, specifying in such notice such Lender’s Applicable Percentage of such Swingline Loan or Swingline Loans. Each Revolving Lender hereby absolutely and unconditionally agrees, upon receipt of notice as provided above, to pay to the First Lien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2.06 with respect to Loans made by such Lender (with references to 12:00 noon, New York City time, in such Section being deemed to be references to 3:00 p.m., New York City time) (and Section 2.06 shall apply, </w:t>
      </w:r>
      <w:r>
        <w:rPr>
          <w:rFonts w:ascii="Times New Roman;sans-serif" w:hAnsi="Times New Roman;sans-serif"/>
          <w:b w:val="false"/>
          <w:i/>
          <w:color w:val="000000"/>
          <w:sz w:val="20"/>
        </w:rPr>
        <w:t>mutatis mutandis</w:t>
      </w:r>
      <w:r>
        <w:rPr>
          <w:rFonts w:ascii="Times New Roman;sans-serif" w:hAnsi="Times New Roman;sans-serif"/>
          <w:b w:val="false"/>
          <w:color w:val="000000"/>
          <w:sz w:val="20"/>
        </w:rPr>
        <w:t xml:space="preserve">, to the payment obligations of the Revolving Lenders pursuant to this paragraph), and the First Lien Administrative Agent shall promptly remit to the Swingline Lender the amounts so received by it from the Revolving Lenders. The First Lien Administrative Agent shall notify the Borrower of any participations in any Swingline Loan acquired pursuant to this paragraph, and thereafter payments in respect of such Swingline Loan shall be made to the First Lien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by the Swingline Lender to the First Lien Administrative Agent; any such amounts received by the First Lien Administrative Agent shall be promptly remitted by the First Lien Administrative Agent to the Revolving Lenders that shall have made their payments pursuant to this paragraph and to the Swingline Lender, as their interests may appear,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any such payment so remitted shall be repaid to the Swingline Lender or the First Lien Administrative Agent, as the case may be, and thereafter to the Borrower, if and to the extent such payment is required to be refunded to the Borrower for any reason. The purchase of participations in a Swingline Loan pursuant to this paragraph shall not relieve the Borrower of any default in the payment thereof.</w:t>
      </w:r>
    </w:p>
    <w:p>
      <w:pPr>
        <w:pStyle w:val="TextBody"/>
        <w:bidi w:val="0"/>
        <w:spacing w:before="15"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(d)The Borrower may, at any time and from time to time, designate as additional Swingline Lenders one or more Revolving Lenders that agree to serve in such capacity as provided below. The acceptance by a Revolving Lender of an appointment as a Swingline Lender hereunder shall be evidenced by an agreement, which shall be in form and substance reasonably satisfactory to the First Lien Administrative Agent and the Borrower, executed by the Borrower, the First Lien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w:t>
      </w:r>
    </w:p>
    <w:p>
      <w:pPr>
        <w:pStyle w:val="TextBody"/>
        <w:bidi w:val="0"/>
        <w:spacing w:before="13"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(e)The Borrower may terminate the appointment of any Swingline Lender as a “Swingline Lender” hereunder by providing a written notice thereof to such Swingline Lender, with a copy to the First Lien Administrative Agent. Any such termination shall become effective upon the earlier of (i) such Swingline Lender’s acknowledging receipt of such notice and (ii) the fifth Business Day following the date of the delivery thereof,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w:t>
      </w:r>
    </w:p>
    <w:p>
      <w:pPr>
        <w:pStyle w:val="TextBody"/>
        <w:bidi w:val="0"/>
        <w:spacing w:before="14" w:after="283"/>
        <w:jc w:val="left"/>
        <w:rPr/>
      </w:pPr>
      <w:r>
        <w:rPr/>
      </w:r>
    </w:p>
    <w:p>
      <w:pPr>
        <w:pStyle w:val="TextBody"/>
        <w:bidi w:val="0"/>
        <w:spacing w:lineRule="auto" w:line="288"/>
        <w:jc w:val="left"/>
        <w:rPr/>
      </w:pPr>
      <w:r>
        <w:rPr>
          <w:rFonts w:ascii="Times New Roman;sans-serif" w:hAnsi="Times New Roman;sans-serif"/>
          <w:b w:val="false"/>
          <w:color w:val="000000"/>
          <w:sz w:val="20"/>
        </w:rPr>
        <w:t>SECTION 2.05    </w:t>
      </w:r>
      <w:r>
        <w:rPr>
          <w:rFonts w:ascii="Times New Roman;sans-serif" w:hAnsi="Times New Roman;sans-serif"/>
          <w:b w:val="false"/>
          <w:color w:val="000000"/>
          <w:sz w:val="20"/>
          <w:u w:val="single"/>
        </w:rPr>
        <w:t>Letters of Credit</w:t>
      </w:r>
      <w:r>
        <w:rPr>
          <w:rFonts w:ascii="Times New Roman;sans-serif" w:hAnsi="Times New Roman;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51155"/>
                <wp:effectExtent l="0" t="0" r="0" b="0"/>
                <wp:wrapNone/>
                <wp:docPr id="159" name="Frame1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bidi w:val="0"/>
                        <w:spacing w:before="0" w:after="0"/>
                        <w:jc w:val="left"/>
                        <w:rPr/>
                      </w:pPr>
                      <w:r>
                        <w:rPr/>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General</w:t>
      </w:r>
      <w:r>
        <w:rPr>
          <w:rFonts w:ascii="Times New Roman;sans-serif" w:hAnsi="Times New Roman;sans-serif"/>
          <w:b w:val="false"/>
          <w:color w:val="000000"/>
          <w:sz w:val="20"/>
        </w:rPr>
        <w:t>. Subject to the terms and conditions set forth herein (including Section 2.22), each Issuing Bank agrees, in reliance upon the agreements of the Revolving Lenders (with respect to Letters of Credit) and the Borrower set forth in this Section 2.05 and elsewhere in the First Lien Loan Documents, to issue Letters of Credit denominated in Dollars or an Alternative Currency for the Borrower’s own account (or for the account of any Subsidiary of the Borrower so long as the Borrower is an obligor in respect of all First Lien Loan Document Obligations arising under or in respect of such Letter of Credit), in a form reasonably acceptable to the First Lien Administrative Agent and the applicable Issuing Bank, which shall reflect the standard operating procedures of such Issuing Bank, at any time and from time to time during the period from the Effective Date until the date that is the fifth (5th) Business Day prior to the Revolving Maturity Date. In the event of any inconsistency between the terms and conditions of this Agreement and the terms and conditions of any form of letter of credit or bank guarantee application or other agreement submitted by a Borrower to, or entered into by the Borrower with, the applicable Issuing Bank relating to any Letter of Credit, the terms and conditions of this Agreement shall control.</w:t>
      </w:r>
    </w:p>
    <w:p>
      <w:pPr>
        <w:pStyle w:val="TextBody"/>
        <w:bidi w:val="0"/>
        <w:spacing w:before="15"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Issuance, Amendment, Renewal or Extension; Certain Conditions</w:t>
      </w:r>
      <w:r>
        <w:rPr>
          <w:rFonts w:ascii="Times New Roman;sans-serif" w:hAnsi="Times New Roman;sans-serif"/>
          <w:b w:val="false"/>
          <w:color w:val="000000"/>
          <w:sz w:val="20"/>
        </w:rPr>
        <w:t>.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First Lien Administrative Agent (at least five (5) Business Days before the requested date of issuance, amendment, renewal or extension (or, in the case of any such request to be made on the Effective Date, one (1) Business Day) or such shorter period as the applicable Issuing Bank and the First Lien Administrative Agent may agree) a notice requesting the issuance of a Letter of Credit, or identifying the Letter of Credit to be amended, renewed or extended, and specifying the date of issuance, amendment, renewal or extension, as the case may be (which shall be a Business Day), the date on which such Letter of Credit is to expire (which shall comply with paragraph (d) of this Section 2.05), the amount and currency of such Letter of Credit, the name and address of the beneficiary thereof and such other information as shall be necessary to prepare, amend, renew or extend, as the case may be, such Letter of Credit. Each such notice shall be in the form of Exhibit R, appropriately completed (each, a “</w:t>
      </w:r>
      <w:r>
        <w:rPr>
          <w:rFonts w:ascii="Times New Roman;sans-serif" w:hAnsi="Times New Roman;sans-serif"/>
          <w:b w:val="false"/>
          <w:color w:val="000000"/>
          <w:sz w:val="20"/>
          <w:u w:val="single"/>
        </w:rPr>
        <w:t>Letter of Credit Request</w:t>
      </w:r>
      <w:r>
        <w:rPr>
          <w:color w:val="000000"/>
        </w:rPr>
        <w:t>”</w:t>
      </w:r>
      <w:r>
        <w:rPr>
          <w:rFonts w:ascii="Times New Roman;sans-serif" w:hAnsi="Times New Roman;sans-serif"/>
          <w:b w:val="false"/>
          <w:color w:val="000000"/>
          <w:sz w:val="20"/>
        </w:rPr>
        <w:t xml:space="preserve">).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Borrower shall be deemed to represent and warrant that), after giving effect to such issuance, amendment, renewal or extension, (i) subject to Section 9.04(b)(ii), the Applicable Fronting Exposure of each Issuing Bank shall not exceed its Revolving Commitment, (ii) the aggregate Revolving Exposures shall not exceed the aggregate Revolving Commitments and (iii) (p) the aggregate LC Exposure of Barclays Bank PLC shall not exceed the Barclays Letter of Credit Sublimit, (q) the aggregate LC Exposure of Citibank, N.A. shall not exceed the Citibank Letter of Credit Sublimit, (r) the aggregate LC Exposure of Citizens Bank, N.A. shall not exceed the Citizens Letter of Credit Sublimit, (s) the aggregate LC Exposure of Banco Santander, S.A., New York Branch shall not exceed the Santander Letter of Credit Sublimit, (t) the aggregate LC Exposure of Goldman Sachs Bank USA shall not exceed the </w:t>
      </w:r>
      <w:r>
        <w:rPr>
          <w:rFonts w:ascii="Times New Roman;sans-serif" w:hAnsi="Times New Roman;sans-serif"/>
          <w:b/>
          <w:strike/>
          <w:color w:val="FF0000"/>
          <w:sz w:val="20"/>
        </w:rPr>
        <w:t>Goldman Sachs</w:t>
      </w:r>
      <w:r>
        <w:rPr>
          <w:rFonts w:ascii="Times New Roman;sans-serif" w:hAnsi="Times New Roman;sans-serif"/>
          <w:b/>
          <w:color w:val="0000FF"/>
          <w:sz w:val="20"/>
          <w:u w:val="single"/>
        </w:rPr>
        <w:t>GS Bank</w:t>
      </w:r>
      <w:r>
        <w:rPr>
          <w:color w:val="0000FF"/>
        </w:rPr>
        <w:t xml:space="preserve"> </w:t>
      </w:r>
      <w:r>
        <w:rPr>
          <w:rFonts w:ascii="Times New Roman;sans-serif" w:hAnsi="Times New Roman;sans-serif"/>
          <w:b w:val="false"/>
          <w:color w:val="000000"/>
          <w:sz w:val="20"/>
        </w:rPr>
        <w:t>Letter of Credit Sublimit, (u) the aggregate LC Exposure of Jefferies Finance LLC shall not exceed the Jefferies Letter of Credit Sublimit, (v) the aggregate LC Exposure of JPMorgan Chase Bank, N.A. shall not exceed the JPM Letter of Credit Sublimit, (w) the aggregate LC Exposure of KeyBank National Association shall not exceed the Keybank Letter of Credit Sublimit, (x) the aggregate LC Exposure of Royal Bank of Canada shall not exceed the RBC Letter of Credit Sublimit, (y) the aggregate LC Exposure of BNP Paribas shall not exceed the BNP Paribas Letter of Credit Sublimit</w:t>
      </w:r>
      <w:r>
        <w:rPr>
          <w:strike/>
          <w:color w:val="FF0000"/>
        </w:rPr>
        <w:t xml:space="preserve"> </w:t>
      </w:r>
      <w:r>
        <w:rPr>
          <w:rFonts w:ascii="Times New Roman;sans-serif" w:hAnsi="Times New Roman;sans-serif"/>
          <w:b/>
          <w:strike/>
          <w:color w:val="FF0000"/>
          <w:sz w:val="20"/>
        </w:rPr>
        <w:t>and</w:t>
      </w:r>
      <w:r>
        <w:rPr>
          <w:rFonts w:ascii="Times New Roman;sans-serif" w:hAnsi="Times New Roman;sans-serif"/>
          <w:b/>
          <w:color w:val="0000FF"/>
          <w:sz w:val="20"/>
        </w:rPr>
        <w:t xml:space="preserve">, </w:t>
      </w:r>
      <w:r>
        <w:rPr>
          <w:rFonts w:ascii="Times New Roman;sans-serif" w:hAnsi="Times New Roman;sans-serif"/>
          <w:b w:val="false"/>
          <w:color w:val="000000"/>
          <w:sz w:val="20"/>
        </w:rPr>
        <w:t xml:space="preserve">(z) the aggregate LC </w:t>
      </w:r>
      <w:r>
        <w:rPr>
          <w:rFonts w:ascii="Times New Roman;sans-serif" w:hAnsi="Times New Roman;sans-serif"/>
          <w:b/>
          <w:color w:val="0000FF"/>
          <w:sz w:val="20"/>
          <w:u w:val="single"/>
        </w:rPr>
        <w:t xml:space="preserve">Exposure of Goldman Sachs Lending Partners LLC shall not exceed the GSLP Letter of Credit Sublimit and (aa) the aggregate LC </w:t>
      </w:r>
      <w:r>
        <w:rPr>
          <w:rFonts w:ascii="Times New Roman;sans-serif" w:hAnsi="Times New Roman;sans-serif"/>
          <w:b w:val="false"/>
          <w:color w:val="000000"/>
          <w:sz w:val="20"/>
        </w:rPr>
        <w:t xml:space="preserve">Exposure shall not exceed the Letter of Credit Sublimit. Letters of Credit will be available to be issued up to an aggregate face amount not to exceed the Letter of Credit Sublimit. To the extent there is more than one Issuing Bank, the Borrower will use reasonable efforts to request Letters of Credit from each Issuing Bank in such a way that the aggregate LC Exposure of any Issuing Bank as a percentage of all the aggregate LC Exposures of all of the Issuing Banks in respect of all Letters of Credit issued under this Agreement shall be generally in line with such Issuing Bank’s proportionate share of the Letter of Credit Sublimit; it being understood, for the avoidance of doubt, that the Borrower shall have no obligation to request Letters of Credit pursuant to the foregoing to the extent the Borrower determines, in its sole discretion, that any such request would not be feasible or commercially beneficial. No Issuing Bank shall be under any obligation to issue any Letter of Credit if (i) any order, judgment or decree of any Governmental Authority or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51155"/>
                <wp:effectExtent l="0" t="0" r="0" b="0"/>
                <wp:wrapNone/>
                <wp:docPr id="160" name="Frame1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arbitrator shall enjoin or restrain such Issuing Bank from issuing the Letter of Credit, or any Requirements of Law applicable to such Issuing Bank or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which such Issuing Bank in good faith deems material to it, (ii) the issuance of such Letter of Credit would violate one or more policies of such Issuing Bank now or hereafter in effect and applicable to letters of credit generally, (iii) except as otherwise agreed in writing by the First Lien Administrative Agent and the applicable Issuing Bank, such Letter of Credit is to be denominated in a currency other than Dollars or an Alternative Currency, (iv) except as otherwise agreed by the First Lien Administrative Agent and such Issuing Bank, the Letter of Credit is in an initial stated amount less than</w:t>
      </w:r>
    </w:p>
    <w:p>
      <w:pPr>
        <w:pStyle w:val="TextBody"/>
        <w:bidi w:val="0"/>
        <w:spacing w:lineRule="auto" w:line="288" w:before="19"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$100,000, in the case of a commercial Letter of Credit, or $500,000, in the case of a standby Letter of Credit, or (v) any Lender is at that time a Defaulting Lender, if after giving effect to Section 2.22(a)(iv),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(i) to amend or extend any Letter of Credit if (x) such Issuing Bank would have no obligation at such time to issue such Letter of Credit in its amended form under the terms hereof or (y) the beneficiary of such Letter of Credit does not accept the proposed amendment to such Letter of Credit or (ii) to issue any Letter of Credit if such Letter of Credit contains any provisions for automatic reinstatement of all or any portion of the stated amount thereof after any drawing thereunder or after the expiry date of such Letter of Credit. Each Existing Letter of Credit shall constitute a Letter of Credit hereunder.</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Notice</w:t>
      </w:r>
      <w:r>
        <w:rPr>
          <w:rFonts w:ascii="Times New Roman;sans-serif" w:hAnsi="Times New Roman;sans-serif"/>
          <w:b w:val="false"/>
          <w:color w:val="000000"/>
          <w:sz w:val="20"/>
        </w:rPr>
        <w:t>. Each Issuing Bank agrees that it shall not permit any issuance, amendment, renewal or extension of a Letter of Credit to occur unless it shall have given to the First Lien Administrative Agent written notice thereof required under paragraph (m)(iii) of this Section 2.05.</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Expiration Date</w:t>
      </w:r>
      <w:r>
        <w:rPr>
          <w:rFonts w:ascii="Times New Roman;sans-serif" w:hAnsi="Times New Roman;sans-serif"/>
          <w:b w:val="false"/>
          <w:color w:val="000000"/>
          <w:sz w:val="20"/>
        </w:rPr>
        <w:t xml:space="preserve">. Each Letter of Credit shall expire at or prior to the close of business on the earlier of (i) the date that is one year after the date of the issuance of such Letter of Credit (or, in the case of any extension thereof, the date to which it has been extended (not in excess of one year from the last applicable expiry date)) and (ii) the date that is five (5) Business Days prior to the Revolving Maturity Date;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if such expiry date is not a Business Day, such Letter of Credit shall expire at or prior to the close of business on the next succeeding Business Day;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 xml:space="preserve">that any Letter of Credit may, upon the request of the Borrower, include a provision whereby such Letter of Credit shall be renewed or extended automatically for additional consecutive periods of one year or less (but not beyond the date that is five (5) Business Days prior to the Revolving Maturity Date) unless the applicable Issuing Bank notifies the beneficiary thereof within the time period specified in such Letter of Credit or, if no such time period is specified, at least thirty (30) days prior to the then-applicable expiration date, that such Letter of Credit will not be renewed or extended;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that such Letter of Credit shall not be required to expire on such fifth (5</w:t>
      </w:r>
      <w:r>
        <w:rPr>
          <w:rFonts w:ascii="Times New Roman;sans-serif" w:hAnsi="Times New Roman;sans-serif"/>
          <w:b w:val="false"/>
          <w:color w:val="000000"/>
          <w:sz w:val="12"/>
        </w:rPr>
        <w:t>th</w:t>
      </w:r>
      <w:r>
        <w:rPr>
          <w:rFonts w:ascii="Times New Roman;sans-serif" w:hAnsi="Times New Roman;sans-serif"/>
          <w:b w:val="false"/>
          <w:color w:val="000000"/>
          <w:sz w:val="20"/>
        </w:rPr>
        <w:t>) Business Day prior to the Revolving Maturity Date if such Letter of Credit is cash collateralized or backstopped in an amount, by an institution and otherwise pursuant to arrangements, in each case reasonably acceptable to the applicable Issuing Bank. For the avoidance of doubt, if the Revolving Maturity Date occurs prior to the expiration of any Letter of Credit as a result of the last proviso in the foregoing sentence, then upon the taking of actions described in such proviso with respect to such Letter of Credit, all participations in such Letter of Credit under the terminated Revolving Commitments shall terminate.</w:t>
      </w:r>
    </w:p>
    <w:p>
      <w:pPr>
        <w:pStyle w:val="TextBody"/>
        <w:bidi w:val="0"/>
        <w:spacing w:before="17" w:after="283"/>
        <w:jc w:val="left"/>
        <w:rPr/>
      </w:pPr>
      <w:r>
        <w:rPr/>
      </w:r>
    </w:p>
    <w:p>
      <w:pPr>
        <w:pStyle w:val="TextBody"/>
        <w:bidi w:val="0"/>
        <w:spacing w:lineRule="auto" w:line="288"/>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Participations in Letters of Credit</w:t>
      </w:r>
      <w:r>
        <w:rPr>
          <w:rFonts w:ascii="Times New Roman;sans-serif" w:hAnsi="Times New Roman;sans-serif"/>
          <w:b w:val="false"/>
          <w:color w:val="000000"/>
          <w:sz w:val="20"/>
        </w:rPr>
        <w:t xml:space="preserve">. Immediately upon the issuance of each Letter of Credit (or an amendment to a Letter of Credit increasing the amount thereof) and without any further action on the part of the Issuing Bank that is the issuer thereof or the Lenders, each Revolving Lender shall be deemed to have purchased and the applicable Issuing Bank shall be deemed to have sold a participation in such Letter of Credit equal to such Revolving Lender’s Applicable Percentage of the aggregate amount available to be drawn under such Letter of Credit. In consideration and in furtherance of the foregoing, each Revolving Lender hereby absolutely and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51155"/>
                <wp:effectExtent l="0" t="0" r="0" b="0"/>
                <wp:wrapNone/>
                <wp:docPr id="161" name="Frame16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unconditionally agrees to pay to the First Lien Administrative Agent, for the account of such Issuing Bank, such Revolving Lender’s Applicable Percentage of each LC Disbursement made by such Issuing Bank and not reimbursed by the Borrower on the date due as provided in paragraph (f) of this Section 2.05, or of any reimbursement payment required to be refunded to the Borrower for any reason. All fundings of such participations shall be denominated in Dollars. Each Revolving Lender acknowledges and agrees that its acquisition of participations pursuant to this paragraph in respect of Letters of Credit is absolute and unconditional and shall not be affected by any circumstance whatsoever, including any amendment or extension of any Letter of Credit or the occurrence and continuance of a Default or any reduction or termination of the Revolving Commitments, and that each payment required to be made by it under the preceding sentence shall be made without any offset, abatement, withholding or reduction whatsoever.</w:t>
      </w:r>
    </w:p>
    <w:p>
      <w:pPr>
        <w:pStyle w:val="TextBody"/>
        <w:bidi w:val="0"/>
        <w:spacing w:before="17"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Reimbursement of LC Disbursements</w:t>
      </w:r>
      <w:r>
        <w:rPr>
          <w:rFonts w:ascii="Times New Roman;sans-serif" w:hAnsi="Times New Roman;sans-serif"/>
          <w:b w:val="false"/>
          <w:color w:val="000000"/>
          <w:sz w:val="20"/>
        </w:rPr>
        <w:t>. If an Issuing Bank shall make any LC Disbursement in respect of a Letter of Credit, the Borrower shall reimburse such LC Disbursement by paying to the First Lien Administrative Agent an amount (in same day funds) equal to such LC Disbursement not later than 4:00 p.m., New York City time, on the Business Day immediately following the day that the Borrower receives notice of such LC Disbursement (the “</w:t>
      </w:r>
      <w:r>
        <w:rPr>
          <w:rFonts w:ascii="Times New Roman;sans-serif" w:hAnsi="Times New Roman;sans-serif"/>
          <w:b w:val="false"/>
          <w:color w:val="000000"/>
          <w:sz w:val="20"/>
          <w:u w:val="single"/>
        </w:rPr>
        <w:t>LC Reimbursement Date</w:t>
      </w:r>
      <w:r>
        <w:rPr>
          <w:color w:val="000000"/>
        </w:rPr>
        <w:t>”</w:t>
      </w:r>
      <w:r>
        <w:rPr>
          <w:rFonts w:ascii="Times New Roman;sans-serif" w:hAnsi="Times New Roman;sans-serif"/>
          <w:b w:val="false"/>
          <w:color w:val="000000"/>
          <w:sz w:val="20"/>
        </w:rPr>
        <w:t xml:space="preserve">), together with accrued interest or fees thereon in accordance with clause (i) of this Section 2.05. Anything contained herein to the contrary notwithstanding, (i) unless the Borrower shall have notified the First Lien Administrative Agent and the applicable Issuing Bank prior to 4:00 p.m., New York City time, on the date such LC Disbursement is made that the Borrower intends to reimburse the applicable Issuing Bank for the amount of the LC Disbursement (including any accrued interest or fees thereon) with funds other than the proceeds of Revolving Loans, the Borrower shall be deemed to have given a timely Borrowing Request to the First Lien Administrative Agent requesting Revolving Lenders to make Revolving Loans that are ABR Revolving Loans on the LC Reimbursement Date in an amount equal to such LC Disbursement (together with any accrued interest or fees thereon), and (ii) subject to satisfaction or waiver of the conditions specified in Section 4.02, Revolving Lenders shall, on the LC Reimbursement Date, make Revolving Loans that are ABR Revolving Loans in an amount equal to their Applicable Percentage of such LC Disbursement (together with any accrued interest or fees thereon), the proceeds of which shall be applied directly by the First Lien Administrative Agent to reimburse the applicable Issuing Bank for the amount of such LC Disbursement (together with any accrued interest or fees thereon);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for any reason proceeds of Revolving Loans are not received by the applicable Issuing Bank on the LC Reimbursement Date in an amount equal to such LC Disbursement (together with any accrued interest or fees thereon), the Borrower shall reimburse the applicable Issuing Bank, on demand, in an amount in same day funds equal to the excess of such LC Disbursement (together with any accrued interest or fees thereon) over the aggregate amount of such Revolving Loans, if any, which are so received. The Revolving Loans made pursuant to this paragraph (f) shall be made without regard to the Borrowing Minimum.</w:t>
      </w:r>
    </w:p>
    <w:p>
      <w:pPr>
        <w:pStyle w:val="TextBody"/>
        <w:bidi w:val="0"/>
        <w:spacing w:before="15"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u w:val="single"/>
        </w:rPr>
        <w:t>Obligations Absolute</w:t>
      </w:r>
      <w:r>
        <w:rPr>
          <w:rFonts w:ascii="Times New Roman;sans-serif" w:hAnsi="Times New Roman;sans-serif"/>
          <w:b w:val="false"/>
          <w:color w:val="000000"/>
          <w:sz w:val="20"/>
        </w:rPr>
        <w:t>. The Borrower’s obligation to reimburse LC Disbursements as provided in paragraph (f) of this Section 2.05 is absolute, unconditional and irrevocable, and shall be performed strictly in accordance with the terms of this Agreement under any and all circumstances whatsoever and irrespective of (i) any lack of validity or enforceability of any Letter of Credit, this Agreement or any other First Lien Loan Document, or any term or provision herein or therein, (ii) any exchange, change, waiver or release of any Collateral for, or any other Person's guarantee of or other liability for, any of the Secured Obligations, (iii) the existence of any claim, set-off, defense or other right which the Borrower or any Lender may have at any time against a beneficiary or any transferee of any Letter of Credit (or any Persons for whom any such transferee may be acting), the Issuing Bank, any Lender or any other Person or, in the case of a Lender, against the Borrower, whether in connection herewith, the transactions contemplated herein or any unrelated transaction (including any underlying transaction between the Borrower or one or more of its Subsidiaries and the beneficiary for which any Letter of Credit was procured), (iv) any draft or other document presented under a Letter of Credit proving to be forged, fraudulent or invalid in any respect or any statement therein being untrue or inaccurate in any respect, (v) payment by an Issuing Bank under a Letter of Credit against presentation of a draft or other document that does not comply with the terms of such Letter of Credit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Borrower shall not be obligated to reimburse such LC Disbursements unless payment is made against presentation of a draft or other document that at least substantially complies with the terms of such Letter of Credit), (vi) any adverse change in the business, operations, properties, assets, condition (financial or otherwise) or prospects of Holdings or any of its Subsidiaries; (vii) any breach hereof or any other First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51155"/>
                <wp:effectExtent l="0" t="0" r="0" b="0"/>
                <wp:wrapNone/>
                <wp:docPr id="162" name="Frame1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Lien Loan Document by any party hereto or thereto, (viii) the fact that an Event of Default or a Default shall have occurred and be continuing, (ix) any other event or circumstance whatsoever, whether or not similar to any of the foregoing, that might, but for the provisions of this Section 2.05, constitute a legal or equitable discharge of, or provide a right of setoff against, the Borrower’s obligations hereunder or (x) any adverse change in the relevant exchange rates or in the availability of any Alternative Currency to the Borrower or in the relevant currency markets generally. As between the Borrower and the Issuing Bank, the Borrower assumes all risks of the acts and omissions of, or misuse of the Letters of Credit issued by the Issuing Bank and the proceeds thereof, by the respective beneficiaries of such Letters of Credit or any assignees or transferees thereof. In furtherance and not in limitation of the foregoing, none of the First Lien Administrative Agent, the Lenders, the Issuing Banks or any of their Related Parties shall have any liability or responsibility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other than to confirm such documents comply with the terms of such Letter of Credit;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its honor of any presentation under a Letter of Credit that appears on its face to substantially comply with the terms and conditions of such Letter of Credit; (v) any error, omission, interruption, loss or delay in transmission or delivery of any draft, notice or other communication under or relating to any Letter of Credit (including any document required to make a drawing thereunder); (vi) errors in interpretation of technical terms; (vii) any loss or delay in the transmission of any document required in order to make a drawing under any such Letter of Credit; (viii) the misapplication by the beneficiary of any such Letter of Credit of the proceeds of any drawing under such Letter of Credit; or (ix) any consequences arising from causes beyond the control of the Issuing Bank, including any act by a Governmental Authority and fluctuation in currency exchange rates. None of the above shall affect or impair, or prevent the vesting of, any of the Issuing Bank’s rights or powers hereunder or place the Issuing Bank under any liability to the Borrower or any other Person. Notwithstanding the foregoing, none of the above shall be construed to excuse any Issuing Bank from liability to the Borrower to the extent of any direct damages (as opposed to special, indirect, consequential, incidental, exemplary or punitive damages, claims in respect of which are hereby waived by the Borrower to the extent permitted by Requirements of Law) suffered by the Borrower that are caused by such Issuing Bank’s gross negligence or willful misconduct (as determined by a court of competent jurisdiction in a final, nonappealable judgment) when determining whether drafts and other documents presented under a Letter of Credit comply with the terms thereof.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(notwithstanding the appearance of substantial compliance) such documents are not in strict compliance with the terms of such Letter of Credit, and any such acceptance or refusal shall be deemed not to constitute gross negligence or willful misconduct.</w:t>
      </w:r>
    </w:p>
    <w:p>
      <w:pPr>
        <w:pStyle w:val="TextBody"/>
        <w:bidi w:val="0"/>
        <w:spacing w:before="16"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u w:val="single"/>
        </w:rPr>
        <w:t>Disbursement Procedures</w:t>
      </w:r>
      <w:r>
        <w:rPr>
          <w:rFonts w:ascii="Times New Roman;sans-serif" w:hAnsi="Times New Roman;sans-serif"/>
          <w:b w:val="false"/>
          <w:color w:val="000000"/>
          <w:sz w:val="20"/>
        </w:rPr>
        <w:t xml:space="preserve">. Each Issuing Bank shall, promptly following its receipt thereof, examine all documents purporting to represent a demand for payment under such a Letter of Credit. Each Issuing Bank shall promptly notify the First Lien Administrative Agent and the Borrower by telephone (confirmed in writing by hand delivery or facsimile) of such demand for payment and whether such Issuing Bank has made or will make an LC Disbursement thereunder;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any failure to give or delay in giving such notice shall not relieve the Borrower of its obligations to reimburse such Issuing Bank and the Revolving Lenders with respect to any such LC Disbursement in accordance with paragraph (f) of this Section 2.05.</w:t>
      </w:r>
    </w:p>
    <w:p>
      <w:pPr>
        <w:pStyle w:val="TextBody"/>
        <w:bidi w:val="0"/>
        <w:spacing w:before="13" w:after="283"/>
        <w:jc w:val="left"/>
        <w:rPr/>
      </w:pPr>
      <w:r>
        <w:rPr/>
      </w:r>
    </w:p>
    <w:p>
      <w:pPr>
        <w:pStyle w:val="TextBody"/>
        <w:bidi w:val="0"/>
        <w:spacing w:lineRule="auto" w:line="288"/>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Interim Interest</w:t>
      </w:r>
      <w:r>
        <w:rPr>
          <w:rFonts w:ascii="Times New Roman;sans-serif" w:hAnsi="Times New Roman;sans-serif"/>
          <w:b w:val="false"/>
          <w:color w:val="000000"/>
          <w:sz w:val="20"/>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or, if such LC Disbursement is not denominated in dollars, at a rate per annum then applicable to Revolving Loans denominated in such currency;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if the Borrower fails to reimburse such LC Disbursement when due pursuant to paragraph (f) of this Section 2.05, then Section 2.13(c) shall apply.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51155"/>
                <wp:effectExtent l="0" t="0" r="0" b="0"/>
                <wp:wrapNone/>
                <wp:docPr id="163" name="Frame1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accrued pursuant to this paragraph shall be paid to the First Lien Administrative Agent, for the account of the applicable Issuing Bank, except that interest accrued on and after the date of payment by any Revolving Lender pursuant to paragraph (f) of this Section 2.05 to reimburse such Issuing Bank shall be for the account of such Lender to the extent of such payment and shall be payable on demand or, if no demand has been made, on the date on which the Borrower reimburses the applicable LC Disbursement in full.</w:t>
      </w:r>
    </w:p>
    <w:p>
      <w:pPr>
        <w:pStyle w:val="TextBody"/>
        <w:bidi w:val="0"/>
        <w:spacing w:before="15"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u w:val="single"/>
        </w:rPr>
        <w:t>Cash Collateralization of Letters of Credit</w:t>
      </w:r>
      <w:r>
        <w:rPr>
          <w:rFonts w:ascii="Times New Roman;sans-serif" w:hAnsi="Times New Roman;sans-serif"/>
          <w:b w:val="false"/>
          <w:color w:val="000000"/>
          <w:sz w:val="20"/>
        </w:rPr>
        <w:t>. If (i) effective immediately, without demand or other notice of any kind, as of any expiration date of a Letter of Credit, such Letter of Credit may for any reason remain outstanding and partially or wholly undrawn, (ii) effective immediately, without demand or other notice of any kind, as of the occurrence of any Event of Default under paragraph (h) or (i) of Section 7.01, or (iii) any Event of Default under paragraph (a) or (b) of Section 7.01 shall occur and be continuing, on the Business Day on which the Borrower receives notice from the First Lien Administrative Agent, the applicable Issuing Bank or the Required Lenders (or, if the maturity of the Loans has been accelerated, Revolving Lenders with LC Exposure representing more than 50% of the aggregate LC Exposure of all Revolving Lenders) demanding the deposit of cash collateral pursuant to this paragraph, the Borrower shall deposit in an account with a depositary bank that is a Lender reasonably satisfactory to the First Lien Collateral Agent, in the name of the First Lien Administrative Agent and for the benefit of the Secured Parties (or in the case of any Letters of Credit that expire later than the fifth (5th) Business Day prior to the Revolving Maturity Date and are cash collateralized on or after the fifth (5th) Business Day prior to the Revolving Maturity Date, for the benefit of the applicable Issuing Bank), an amount of cash in Dollars or an Alternative Currency, as the case may be, equal to the portions of the LC Exposure attributable to Letters of Credit, as of such date plus any accrued and unpaid interest thereon. The Borrower also shall deposit cash collateral pursuant to this paragraph as and to the extent required by Section 2.11(c). Each such deposit shall be held by the First Lien Administrative Agent as collateral for the payment and performance of the obligations of the Borrower under this Agreement and the other First Lien Loan Documents. At any time that there shall exist a Defaulting Lender, if any Defaulting Lender Fronting Exposure remains outstanding (after giving effect to Section 2.22(a)(iv)), then promptly upon the request of the First Lien Administrative Agent, the Issuing Bank or the Swingline Lender, the Borrower shall deliver to the First Lien Administrative Agent cash collateral in an amount sufficient to cover such Defaulting Lender Fronting Exposure (after giving effect to any cash collateral provided by the Defaulting Lender). The First Lien Administrative Agent (for the benefit of the Secured Parties) shall have exclusive dominion and control, including the exclusive right of withdrawal, over such account. Other than any interest earned on the investment of such deposits, which investments shall be made at the option and sole discretion of the First Lien Administrative Agent in Permitted Investments and at the Borrower’s risk and expense, such deposits shall not bear interest. Interest or profits, if any, on such investments shall accumulate in such account. Notwithstanding anything to the contrary set forth in this Agreement, moneys in such account shall be applied by the First Lien Administrative Agent first to reimburse the Issuing Banks for LC Disbursements for which they have not been reimbursed and, to the extent not so applied, the balance shall be held for the satisfaction of the reimbursement obligations of the Borrower for the LC Exposure at such time or, if the maturity of the Loans has been accelerated (but subject to the consent of Revolving Lenders with LC Exposure representing more than 50% of the aggregate LC Exposure of all the Revolving Lenders), such balance shall be applied to satisfy other obligations of the Borrower under this Agreement. If the Borrower is required to provide an amount of cash collateral hereunder as a result of the occurrence of an Event of Default or the existence of a Defaulting Lender, such amount (to the extent not applied as aforesaid) shall be returned to the Borrower within three Business Days after all Events of Default have been cured or waived or after the termination of Defaulting Lender status, as applicable. If the Borrower is required to provide an amount of cash collateral hereunder pursuant to Section 2.11(c), such amount (to the extent not applied as aforesaid) shall be returned to the Borrower as and to the extent that, after giving effect to such return, the Borrower would remain in compliance with Section 2.11(c) and no Event of Default shall have occurred and be continuing.</w:t>
      </w:r>
    </w:p>
    <w:p>
      <w:pPr>
        <w:pStyle w:val="TextBody"/>
        <w:bidi w:val="0"/>
        <w:spacing w:before="19" w:after="283"/>
        <w:jc w:val="left"/>
        <w:rPr/>
      </w:pPr>
      <w:r>
        <w:rPr/>
      </w:r>
    </w:p>
    <w:p>
      <w:pPr>
        <w:pStyle w:val="TextBody"/>
        <w:bidi w:val="0"/>
        <w:spacing w:lineRule="auto" w:line="288"/>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u w:val="single"/>
        </w:rPr>
        <w:t>Designation of Additional Issuing Banks</w:t>
      </w:r>
      <w:r>
        <w:rPr>
          <w:rFonts w:ascii="Times New Roman;sans-serif" w:hAnsi="Times New Roman;sans-serif"/>
          <w:b w:val="false"/>
          <w:color w:val="000000"/>
          <w:sz w:val="20"/>
        </w:rPr>
        <w:t xml:space="preserve">. The Borrower may, at any time and from time to time, designate as additional Issuing Banks one or more Revolving Lenders that agree in writing to serve in such capacity as provided below. The acceptance by a Revolving Lender of an appointment as an Issuing Bank hereunder shall be evidenced by an agreement, which shall be in form and substance reasonably satisfactory to the First Lien Administrative Agent and the Borrower, executed by the Borrower, the First Lien Administrative Agent and such designated Revolving Lender and, from and after the effective date of such agreement, (i) such Revolving Lender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51155"/>
                <wp:effectExtent l="0" t="0" r="0" b="0"/>
                <wp:wrapNone/>
                <wp:docPr id="164" name="Frame1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shall have all the rights and obligations of an Issuing Bank under this Agreement and (ii) references herein to the term “Issuing Bank” shall be deemed to include such Revolving Lender in its capacity as an issuer of Letters of Credit hereunder.</w:t>
      </w:r>
    </w:p>
    <w:p>
      <w:pPr>
        <w:pStyle w:val="TextBody"/>
        <w:bidi w:val="0"/>
        <w:spacing w:before="14"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u w:val="single"/>
        </w:rPr>
        <w:t>Resignation or Termination of an Issuing Bank</w:t>
      </w:r>
      <w:r>
        <w:rPr>
          <w:rFonts w:ascii="Times New Roman;sans-serif" w:hAnsi="Times New Roman;sans-serif"/>
          <w:b w:val="false"/>
          <w:color w:val="000000"/>
          <w:sz w:val="20"/>
        </w:rPr>
        <w:t>. Subject to the appointment and acceptance of a successor Issuing Bank reasonably acceptable to the Borrower, any Issuing Bank may resign at any time by giving thirty (30) days’ written notice to the First Lien Administrative Agent, the Lenders and the Borrower. The Borrower may terminate the appointment of any Issuing Bank as an “Issuing Bank” hereunder by providing a written notice thereof to such Issuing Bank, with a copy to the First Lien Administrative Agent. Any such termination shall become effective upon the earlier of (i) such Issuing Bank’s acknowledging receipt of such notice and (ii) the fifth Business Day following the date of the delivery thereof; provided that no such termination shall become effective until and unless the LC Exposure attributable to all Letters of Credit issued by such Issuing Bank (or its Affiliates) shall have been reduced to zero. At the time any such resignation or termination shall become effective, the Borrower shall pay all unpaid fees accrued for the account of the resigning or terminated Issuing Bank pursuant to Section 2.12(b). Notwithstanding the effectiveness of any such resignation or termination, the resigning or terminated Issuing Bank shall remain a party hereto and shall continue to have all the rights of an Issuing Bank under this Agreement and the other First Lien Loan Documents with respect to Letters of Credit issued by it prior to such resignation or termination, but shall not (a) be required (and shall be discharged from its obligations) to issue any additional Letters of Credit or extend or increase the amount of Letters of Credit then outstanding, without affecting its rights and obligations with respect to Letters of Credit previously issued by it, or (b) be deemed an Issuing Bank for any other purpose.</w:t>
      </w:r>
    </w:p>
    <w:p>
      <w:pPr>
        <w:pStyle w:val="TextBody"/>
        <w:bidi w:val="0"/>
        <w:spacing w:before="17"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u w:val="single"/>
        </w:rPr>
        <w:t>Issuing Bank Reports to the First Lien Administrative Agent</w:t>
      </w:r>
      <w:r>
        <w:rPr>
          <w:rFonts w:ascii="Times New Roman;sans-serif" w:hAnsi="Times New Roman;sans-serif"/>
          <w:b w:val="false"/>
          <w:color w:val="000000"/>
          <w:sz w:val="20"/>
        </w:rPr>
        <w:t xml:space="preserve">. Unless otherwise agreed by the First Lien Administrative Agent, each Issuing Bank shall, in addition to its notification obligations set forth elsewhere in this Section 2.05, report in writing to the First Lien Administrative Agent (i) periodic activity (for such period or recurrent periods as shall be requested by the First Lien Administrative Agent) in respect of Letters of Credit issued by such Issuing Bank, including all issuances, extensions, amendments and renewals, all expirations and cancellations and all disbursements and reimbursements, (ii) within five (5) Business Days following the time that such Issuing Bank issues, amends, renews or extends any Letter of Credit, the date of such issuance, amendment, renewal or extension,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amount of such LC Disbursement and (v) on any other Business Day, such other information as the First Lien Administrative Agent shall reasonably request as to the Letters of Credit issued by such Issuing Bank;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no Issuing Bank shall have any liability hereunder to any Person for any failure to deliver the reports contemplated by this paragraph (m) of Section 2.05.</w:t>
      </w:r>
    </w:p>
    <w:p>
      <w:pPr>
        <w:pStyle w:val="TextBody"/>
        <w:bidi w:val="0"/>
        <w:spacing w:before="15"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0"/>
        </w:rPr>
        <w:t>(n)</w:t>
      </w:r>
      <w:r>
        <w:rPr>
          <w:rFonts w:ascii="Times New Roman;sans-serif" w:hAnsi="Times New Roman;sans-serif"/>
          <w:b w:val="false"/>
          <w:color w:val="000000"/>
          <w:sz w:val="20"/>
          <w:u w:val="single"/>
        </w:rPr>
        <w:t>Applicability of ISP and UCP</w:t>
      </w:r>
      <w:r>
        <w:rPr>
          <w:rFonts w:ascii="Times New Roman;sans-serif" w:hAnsi="Times New Roman;sans-serif"/>
          <w:b w:val="false"/>
          <w:color w:val="000000"/>
          <w:sz w:val="20"/>
        </w:rPr>
        <w:t>. Unless otherwise expressly agreed by the applicable Issuing Bank and the Borrower when a Letter of Credit is issued or when it is amended with the consent of the beneficiary thereof, (i) the rules of the ISP shall apply to each standby Letter of Credit, and (ii) the rules of the UCP shall apply to each commercial Letter of Credit. Notwithstanding the foregoing, the applicable Issuing Bank shall not be responsible to the Borrower for, and the applicable Issuing Bank’s rights and remedies against the Borrower shall not be impaired by, any action or inaction of the applicable Issuing Bank required or permitted under any law, order or practice that is required or permitted to be applied to any Letter of Credit or this Agreement, including the applicable law or any order of any Governmental Authority in a jurisdiction where the applicable Issuing Bank or the beneficiary is located, the practice stated in the ISP or UCP, as applicable, or in the decisions, opinions, practice statements or official commentary of the ICC Banking Commission, the Bankers Association for Finance and Trade (BAFT), or the Institute of International Banking Law &amp; Practice, whether or not any Letter of Credit chooses such law or practice.</w:t>
      </w:r>
    </w:p>
    <w:p>
      <w:pPr>
        <w:pStyle w:val="TextBody"/>
        <w:bidi w:val="0"/>
        <w:spacing w:before="15" w:after="283"/>
        <w:jc w:val="left"/>
        <w:rPr/>
      </w:pPr>
      <w:r>
        <w:rPr/>
      </w:r>
    </w:p>
    <w:p>
      <w:pPr>
        <w:pStyle w:val="TextBody"/>
        <w:bidi w:val="0"/>
        <w:spacing w:lineRule="auto" w:line="288"/>
        <w:ind w:left="0" w:right="0" w:firstLine="144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u w:val="single"/>
        </w:rPr>
        <w:t>Rollover of Existing Letters of Credit and Other Letters of Credit</w:t>
      </w:r>
      <w:r>
        <w:rPr>
          <w:rFonts w:ascii="Times New Roman;sans-serif" w:hAnsi="Times New Roman;sans-serif"/>
          <w:b w:val="false"/>
          <w:color w:val="000000"/>
          <w:sz w:val="20"/>
        </w:rPr>
        <w:t xml:space="preserve">. Each of the Existing Letters of Credit outstanding on the Amendment No. 4 Effective Date shall remain outstanding as a Letter of Credit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51155"/>
                <wp:effectExtent l="0" t="0" r="0" b="0"/>
                <wp:wrapNone/>
                <wp:docPr id="165" name="Frame1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this Agreement until otherwise returned or expired. Any letter of credit that was issued by an Issuing Bank and is not a Letter of Credit will be deemed to be a Letter of Credit issued under this Agreement on the date that the Borrower, the Issuing Bank with respect to such letter of credit and the First Lien Administrative Agent sign an instrument identifying such letter of credit as a Letter of Credit under this Agreement; provided that such instrument may only be executed if such letter of credit would be permitted to be issued under this Agreement as a Letter of Credit on such date.</w:t>
      </w:r>
    </w:p>
    <w:p>
      <w:pPr>
        <w:pStyle w:val="TextBody"/>
        <w:bidi w:val="0"/>
        <w:spacing w:before="13"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2.06    </w:t>
      </w:r>
      <w:r>
        <w:rPr>
          <w:rFonts w:ascii="Times New Roman;sans-serif" w:hAnsi="Times New Roman;sans-serif"/>
          <w:b w:val="false"/>
          <w:color w:val="000000"/>
          <w:sz w:val="20"/>
          <w:u w:val="single"/>
        </w:rPr>
        <w:t>Funding of Borrowings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0"/>
        </w:rPr>
        <w:t xml:space="preserve">(a)Each Lender shall make each Loan to be made by it hereunder on the proposed date thereof by wire transfer of immediately available funds by 12:00 noon, New York City time to the Applicable Account of the First Lien Administrative Agent most recently designated by it for such purpose by notice to the Lenders;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Swingline Loans shall be made as provided in Section 2.04. The First Lien Administrative Agent will make such Loans available to the Borrower by promptly crediting the amounts so received, in like funds, to an account of the Borrower designated by the Borrower in the applicable Borrowing Request;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ABR Revolving Loans made to finance the reimbursement of an LC Disbursement as provided in Section 2.05(f) shall be remitted by the First Lien Administrative Agent to the applicable Issuing Bank;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u w:val="single"/>
        </w:rPr>
        <w:t>further</w:t>
      </w:r>
      <w:r>
        <w:rPr>
          <w:color w:val="000000"/>
        </w:rPr>
        <w:t xml:space="preserve"> </w:t>
      </w:r>
      <w:r>
        <w:rPr>
          <w:rFonts w:ascii="Times New Roman;sans-serif" w:hAnsi="Times New Roman;sans-serif"/>
          <w:b w:val="false"/>
          <w:color w:val="000000"/>
          <w:sz w:val="20"/>
        </w:rPr>
        <w:t>that, solely with respect to PSP in its capacity as a Lender, (i) so long as PSP receives written notice of a Borrowing of any ABR Loan in Dollars (including Swingline Loans notwithstanding anything in Section 2.04(c) to the contrary) by 10:00 a.m., New York City time, on the proposed date thereof, PSP shall make such ABR Loan on such proposed date by wire transfer of immediately available funds by 4:00 p.m., New York City time and (ii) PSP shall not be required to make any Revolving Loans in Canadian Dollars without prior written notice delivered at least one (1) Business Day prior to the proposed date of such Borrowing.</w:t>
      </w:r>
    </w:p>
    <w:p>
      <w:pPr>
        <w:pStyle w:val="TextBody"/>
        <w:bidi w:val="0"/>
        <w:spacing w:before="1" w:after="283"/>
        <w:jc w:val="both"/>
        <w:rPr/>
      </w:pPr>
      <w:r>
        <w:rPr/>
      </w:r>
    </w:p>
    <w:p>
      <w:pPr>
        <w:pStyle w:val="TextBody"/>
        <w:bidi w:val="0"/>
        <w:spacing w:lineRule="auto" w:line="288" w:before="6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(b)Unless the First Lien Administrative Agent shall have received notice from a Lender prior to the proposed date of any Borrowing that such Lender will not make available to the First Lien Administrative Agent such Lender’s share of such Borrowing, the First Lien Administrative Agent may assume that such Lender has made such share available on such date in accordance with paragraph (a) of this Section 2.06 and may, in reliance on such assumption and in its sole discretion, make available to the Borrower a corresponding amount. In such event, if a Lender has not in fact made its share of the applicable Borrowing available to the First Lien Administrative Agent, then the applicable Lender agrees to pay to the First Lien Administrative Agent an amount equal to such share on demand of the First Lien Administrative Agent. If such Lender does not pay such corresponding amount forthwith upon demand of the First Lien Administrative Agent therefor, the First Lien Administrative Agent shall promptly notify the Borrower, and the Borrower agrees to pay such corresponding amount to the First Lien Administrative Agent forthwith on demand. The First Lien Administrative Agent shall also be entitled to recover from such Lender or the Borrower interest on such corresponding amount, for each day from and including the date such amount is made available to the Borrower to but excluding the date of payment to the First Lien Administrative Agent, at (i) in the case of such Lender, the greater of the Federal Funds Effective Rate and a rate determined by the First Lien Administrative Agent in accordance with banking industry rules on interbank compensation, or (ii) in the case of the Borrower, the interest rate applicable to such Borrowing in accordance with Section 2.13. If such Lender pays such amount to the First Lien Administrative Agent, then such amount shall constitute such Lender’s Loan included in such Borrowing.</w:t>
      </w:r>
    </w:p>
    <w:p>
      <w:pPr>
        <w:pStyle w:val="TextBody"/>
        <w:bidi w:val="0"/>
        <w:spacing w:before="18"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(c)The obligations of the Lenders hereunder to make Term Loans and Revolving Loans, to fund participations in Letters of Credit and Swingline Loans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9.03(c).</w:t>
      </w:r>
    </w:p>
    <w:p>
      <w:pPr>
        <w:pStyle w:val="TextBody"/>
        <w:bidi w:val="0"/>
        <w:spacing w:before="12"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2.07    </w:t>
      </w:r>
      <w:r>
        <w:rPr>
          <w:rFonts w:ascii="Times New Roman;sans-serif" w:hAnsi="Times New Roman;sans-serif"/>
          <w:b w:val="false"/>
          <w:color w:val="000000"/>
          <w:sz w:val="20"/>
          <w:u w:val="single"/>
        </w:rPr>
        <w:t>Interest Elections</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(a)Each Revolving Borrowing of the applicable Class and each Term Borrowing initially shall be of the Type specified in the applicable Borrowing Request or designated by Section 2.03 and, in the case of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51155"/>
                <wp:effectExtent l="0" t="0" r="0" b="0"/>
                <wp:wrapNone/>
                <wp:docPr id="166" name="Frame16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 xml:space="preserve">a Term Benchmark Borrowing, shall have an initial Interest Period as specified in such Borrowing Request or designated by Section 2.03. Thereafter, the Borrower may elect to convert such Borrowing to a different Type or to continue such Borrowing and, in the case of a Term Benchmark Borrowing, may elect Interest Periods therefor, all as provided in this Section 2.07;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notwithstanding anything to the contrary herein, no Loan may be converted into or continued as a Loan denominated in a different currency but instead must be prepaid in the original currency of such Loan and reborrowed in the other currency.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pStyle w:val="TextBody"/>
        <w:bidi w:val="0"/>
        <w:spacing w:before="14"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(b)To make an election pursuant to this Section 2.07, the Borrower shall notify the First Lien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facsimile or other electronic transmission to the First Lien Administrative Agent of a written Interest Election Request signed by a Responsible Officer of the Borrower.</w:t>
      </w:r>
    </w:p>
    <w:p>
      <w:pPr>
        <w:pStyle w:val="TextBody"/>
        <w:bidi w:val="0"/>
        <w:spacing w:before="13"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(c)Each telephonic and written Interest Election Request shall specify the following information in compliance with Section 2.03:</w:t>
      </w:r>
    </w:p>
    <w:p>
      <w:pPr>
        <w:pStyle w:val="TextBody"/>
        <w:bidi w:val="0"/>
        <w:spacing w:before="11" w:after="283"/>
        <w:jc w:val="left"/>
        <w:rPr/>
      </w:pPr>
      <w:r>
        <w:rPr/>
      </w:r>
    </w:p>
    <w:p>
      <w:pPr>
        <w:pStyle w:val="TextBody"/>
        <w:bidi w:val="0"/>
        <w:spacing w:lineRule="auto" w:line="288" w:before="60" w:after="283"/>
        <w:ind w:left="0" w:right="0" w:firstLine="818"/>
        <w:jc w:val="left"/>
        <w:rPr>
          <w:rFonts w:ascii="Times New Roman;sans-serif" w:hAnsi="Times New Roman;sans-serif"/>
          <w:b w:val="false"/>
          <w:color w:val="000000"/>
          <w:sz w:val="20"/>
        </w:rPr>
      </w:pPr>
      <w:r>
        <w:rPr>
          <w:rFonts w:ascii="Times New Roman;sans-serif" w:hAnsi="Times New Roman;sans-serif"/>
          <w:b w:val="false"/>
          <w:color w:val="000000"/>
          <w:sz w:val="20"/>
        </w:rPr>
        <w:t>(i)the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before="11" w:after="283"/>
        <w:jc w:val="left"/>
        <w:rPr/>
      </w:pPr>
      <w:r>
        <w:rPr/>
      </w:r>
    </w:p>
    <w:p>
      <w:pPr>
        <w:pStyle w:val="TextBody"/>
        <w:bidi w:val="0"/>
        <w:spacing w:lineRule="auto" w:line="288" w:before="0" w:after="0"/>
        <w:ind w:left="0" w:right="0" w:firstLine="763"/>
        <w:jc w:val="both"/>
        <w:rPr>
          <w:rFonts w:ascii="Times New Roman;sans-serif" w:hAnsi="Times New Roman;sans-serif"/>
          <w:b w:val="false"/>
          <w:color w:val="000000"/>
          <w:sz w:val="20"/>
        </w:rPr>
      </w:pPr>
      <w:r>
        <w:rPr>
          <w:rFonts w:ascii="Times New Roman;sans-serif" w:hAnsi="Times New Roman;sans-serif"/>
          <w:b w:val="false"/>
          <w:color w:val="000000"/>
          <w:sz w:val="20"/>
        </w:rPr>
        <w:t>(ii)the effective date of the election made pursuant to such Interest Election Request, which shall be a Business Day;</w:t>
      </w:r>
    </w:p>
    <w:p>
      <w:pPr>
        <w:pStyle w:val="TextBody"/>
        <w:bidi w:val="0"/>
        <w:spacing w:before="11" w:after="283"/>
        <w:jc w:val="left"/>
        <w:rPr/>
      </w:pPr>
      <w:r>
        <w:rPr/>
      </w:r>
    </w:p>
    <w:p>
      <w:pPr>
        <w:pStyle w:val="TextBody"/>
        <w:bidi w:val="0"/>
        <w:spacing w:lineRule="auto" w:line="288" w:before="0" w:after="0"/>
        <w:ind w:left="0" w:right="0" w:firstLine="708"/>
        <w:jc w:val="both"/>
        <w:rPr>
          <w:rFonts w:ascii="Times New Roman;sans-serif" w:hAnsi="Times New Roman;sans-serif"/>
          <w:b w:val="false"/>
          <w:color w:val="000000"/>
          <w:sz w:val="20"/>
        </w:rPr>
      </w:pPr>
      <w:r>
        <w:rPr>
          <w:rFonts w:ascii="Times New Roman;sans-serif" w:hAnsi="Times New Roman;sans-serif"/>
          <w:b w:val="false"/>
          <w:color w:val="000000"/>
          <w:sz w:val="20"/>
        </w:rPr>
        <w:t>(iii)whether the resulting Borrowing is to be an ABR Borrowing, a Term Benchmark Borrowing or RFR Borrowing; provided that no Term Borrowing shall be converted to a RFR Borrowing unless Adjusted Daily Simple SOFR is being used as an alternate rate of interest pursuant to Section 2.14; and</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(iv)if the resulting Borrowing is to be a Term Benchmark Borrowing, the Interest Period to be applicable thereto after giving effect to such election, which shall be a period contemplated by the definition of the term “Interest Period.”</w:t>
      </w:r>
    </w:p>
    <w:p>
      <w:pPr>
        <w:pStyle w:val="TextBody"/>
        <w:bidi w:val="0"/>
        <w:spacing w:before="11"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any such Interest Election Request requests a Term Benchmark Borrowing, but does not specify an Interest Period, then the Borrower shall be deemed to have selected an Interest Period of one month’s duration.</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(d)Promptly following receipt of an Interest Election Request in accordance with this Section 2.07, the First Lien Administrative Agent shall advise each Lender of the applicable Class of the details thereof and of such Lender’s portion of each resulting Borrowing.</w:t>
      </w:r>
    </w:p>
    <w:p>
      <w:pPr>
        <w:pStyle w:val="TextBody"/>
        <w:bidi w:val="0"/>
        <w:spacing w:before="11"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(e)If the Borrower fails to deliver a timely Interest Election Request with respect to a Term Benchmark Borrowing prior to the end of the Interest Period applicable thereto, then, unless such Borrowing is repaid as provided herein, then the Borrower shall be deemed to have selected an Interest Period of one month’s duration. Notwithstanding any contrary provision hereof, if an Event of Default has occurred and is continuing and the First Lien Administrative Agent, at the request of the Required Lenders, so notifies the Borrower, then, so long as an Event of Default is continuing (i) no outstanding Borrowing may be converted to or continued as a Term Benchmark Borrowing and (ii) unless repaid, (A) each Term Benchmark Borrowing and (B) each RFR Borrowing, if denominated in Dollars, shall be converted to an ABR Borrowing (in the case of a Term Benchmark Borrowing) at the end of the Interest Period applicable thereto or (in the case of an RFR Borrowing) on the next Interest Payment Date in respect thereof.</w:t>
      </w:r>
    </w:p>
    <w:p>
      <w:pPr>
        <w:pStyle w:val="TextBody"/>
        <w:bidi w:val="0"/>
        <w:spacing w:before="14"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51155"/>
                <wp:effectExtent l="0" t="0" r="0" b="0"/>
                <wp:wrapNone/>
                <wp:docPr id="167" name="Frame1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20"/>
        </w:rPr>
        <w:t>SECTION 2.08    </w:t>
      </w:r>
      <w:r>
        <w:rPr>
          <w:rFonts w:ascii="Times New Roman;sans-serif" w:hAnsi="Times New Roman;sans-serif"/>
          <w:b w:val="false"/>
          <w:color w:val="000000"/>
          <w:sz w:val="20"/>
          <w:u w:val="single"/>
        </w:rPr>
        <w:t>Termination and Reduction of Commitments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(a)Unless previously terminated, (i) the Term Commitments provided on the Effective Date shall terminate at 11:59 p.m., New York City time, on the Effective Date and (ii) the Revolving Commitments shall terminate on the Revolving Maturity Date.</w:t>
      </w:r>
    </w:p>
    <w:p>
      <w:pPr>
        <w:pStyle w:val="TextBody"/>
        <w:bidi w:val="0"/>
        <w:spacing w:before="11"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0"/>
        </w:rPr>
        <w:t xml:space="preserve">(b)The Borrower may at any time terminate, or from time to time reduce, the Commitments of any Class,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 each reduction of the Commitments of any Class shall be in an amount that is an integral multiple of $500,000 and not less than $1,000,000 unless such amount represents all of the remaining Commitments of such Class and (ii) the Borrower shall not terminate or reduce the Revolving Commitments of any Class if, after giving effect to any concurrent prepayment of the Revolving Loans or Swingline Loans of any Class in accordance with Section 2.11, the aggregate Revolving Exposures of such Class would exceed the aggregate Revolving Commitments of such Class.</w:t>
      </w:r>
    </w:p>
    <w:p>
      <w:pPr>
        <w:pStyle w:val="TextBody"/>
        <w:bidi w:val="0"/>
        <w:spacing w:before="12"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 xml:space="preserve">(c)The Borrower shall notify the First Lien Administrative Agent of any election to terminate or reduce the Commitments under paragraph (b) of this Section 2.08 at least one (1) Business Day prior to the effective date of such termination or reduction, specifying such election and the effective date thereof. Promptly following receipt of any such notice, the First Lien Administrative Agent shall advise the Lenders of the contents thereof. Each notice delivered by the Borrower pursuant to this Section 2.08 shall be irrevocable;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 notice of termination of the Revolving Commitments of any Class delivered by the Borrower may state that such notice is conditioned upon the effectiveness of the ABL Facility, any other credit facilities or the receipt of the proceeds from the issuance of other Indebtedness or the occurrence of some other identifiable and specified event or condition, in which case such notice may be revoked or extended by the Borrower (by notice to the First Lien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pStyle w:val="TextBody"/>
        <w:bidi w:val="0"/>
        <w:spacing w:before="12"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2.09    </w:t>
      </w:r>
      <w:r>
        <w:rPr>
          <w:rFonts w:ascii="Times New Roman;sans-serif" w:hAnsi="Times New Roman;sans-serif"/>
          <w:b w:val="false"/>
          <w:color w:val="000000"/>
          <w:sz w:val="20"/>
          <w:u w:val="single"/>
        </w:rPr>
        <w:t>Repayment of Loans; Evidence of Debt</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(a)The Borrower hereby unconditionally promise to pay (i) to the First Lien Administrative Agent for the account of each Lender the then unpaid principal amount of each Revolving Loan of such Lender on the Revolving Maturity Date, (ii) to the First Lien Administrative Agent for the account of each Lender the then unpaid principal amount of each Term Loan of such Lender as provided in Section 2.10 and (iii) to the Swingline Lender the then unpaid principal amount of each Swingline Loan made by the Swingline Lender on the earlier to occur of (A) the date that is ten (10) Business Days after such Loan is made and (B) the Revolving Maturity Date;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on each date that a Revolving Borrowing is made, the Borrower shall repay all Swingline Loans that were outstanding on the date such Borrowing was requested.</w:t>
      </w:r>
    </w:p>
    <w:p>
      <w:pPr>
        <w:pStyle w:val="TextBody"/>
        <w:bidi w:val="0"/>
        <w:spacing w:before="13"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(c)The First Lien Administrative Agent shall, in connection with the maintenance of the Register in accordance with Section 9.04(b)(iv),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w:t>
      </w:r>
    </w:p>
    <w:p>
      <w:pPr>
        <w:pStyle w:val="TextBody"/>
        <w:bidi w:val="0"/>
        <w:spacing w:lineRule="auto" w:line="288"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(iii) the amount of any sum received by the First Lien Administrative Agent hereunder for the account of the Lenders and each Lender’s share thereof.</w:t>
      </w:r>
    </w:p>
    <w:p>
      <w:pPr>
        <w:pStyle w:val="TextBody"/>
        <w:bidi w:val="0"/>
        <w:spacing w:before="11" w:after="283"/>
        <w:jc w:val="left"/>
        <w:rPr/>
      </w:pPr>
      <w:r>
        <w:rPr/>
      </w:r>
    </w:p>
    <w:p>
      <w:pPr>
        <w:pStyle w:val="TextBody"/>
        <w:bidi w:val="0"/>
        <w:spacing w:lineRule="auto" w:line="288"/>
        <w:ind w:left="0" w:right="0" w:firstLine="1440"/>
        <w:jc w:val="both"/>
        <w:rPr/>
      </w:pPr>
      <w:r>
        <w:rPr>
          <w:rFonts w:ascii="Times New Roman;sans-serif" w:hAnsi="Times New Roman;sans-serif"/>
          <w:b w:val="false"/>
          <w:color w:val="000000"/>
          <w:sz w:val="20"/>
        </w:rPr>
        <w:t xml:space="preserve">(d)The entries made in the accounts maintained pursuant to paragraph (b) or (c) of this Section 2.09 shall be </w:t>
      </w:r>
      <w:r>
        <w:rPr>
          <w:rFonts w:ascii="Times New Roman;sans-serif" w:hAnsi="Times New Roman;sans-serif"/>
          <w:b w:val="false"/>
          <w:color w:val="000000"/>
          <w:sz w:val="20"/>
          <w:u w:val="single"/>
        </w:rPr>
        <w:t>prima facie</w:t>
      </w:r>
      <w:r>
        <w:rPr>
          <w:color w:val="000000"/>
        </w:rPr>
        <w:t xml:space="preserve"> </w:t>
      </w:r>
      <w:r>
        <w:rPr>
          <w:rFonts w:ascii="Times New Roman;sans-serif" w:hAnsi="Times New Roman;sans-serif"/>
          <w:b w:val="false"/>
          <w:color w:val="000000"/>
          <w:sz w:val="20"/>
        </w:rPr>
        <w:t xml:space="preserve">evidence of the existence and amounts of the obligations recorded therein,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failure of any Lender or the First Lien Administrative Agent to maintain such accounts or any error therein shall not in any manner affect the obligation of the Borrower to pay any amounts due hereunder in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51155"/>
                <wp:effectExtent l="0" t="0" r="0" b="0"/>
                <wp:wrapNone/>
                <wp:docPr id="168" name="Frame16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accordance with the terms of this Agreement. In the event of any inconsistency between the entries made pursuant to paragraphs (b) and (c) of this Section 2.09, the accounts maintained by the First Lien Administrative Agent pursuant to paragraph (c) of this Section 2.09 shall control.</w:t>
      </w:r>
    </w:p>
    <w:p>
      <w:pPr>
        <w:pStyle w:val="TextBody"/>
        <w:bidi w:val="0"/>
        <w:spacing w:before="13"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(e)Any Lender may request through the First Lien Administrative Agent that Loans of any Class made by it be evidenced by a Note. In such event, the Borrower shall execute and deliver to such Lender a Note payable to such Lender (or, if requested by such Lender, to such Lender and its registered assigns).</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2.10    </w:t>
      </w:r>
      <w:r>
        <w:rPr>
          <w:rFonts w:ascii="Times New Roman;sans-serif" w:hAnsi="Times New Roman;sans-serif"/>
          <w:b w:val="false"/>
          <w:color w:val="000000"/>
          <w:sz w:val="20"/>
          <w:u w:val="single"/>
        </w:rPr>
        <w:t>Amortization of Term Loans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(a)Subject to adjustment pursuant to paragraph (c) of this Section 2.10 and increases in connection with fungible increases to the 2024 Refinancing Term Loans to reflect the equivalent amortization for such fungible increases, the Borrower shall repay Borrowings of 2024 Refinancing Term Loans on the last day of each March, June, September and December (commencing on December 31, 2024) in each case in an amount equal to 0.25% of the aggregate principal amount of 2024 Refinancing Term Loans on the Amendment No. 4 Effective Date; provided that if any such date is not a Business Day, such payment shall be due on the immediately preceding Business Day.</w:t>
      </w:r>
    </w:p>
    <w:p>
      <w:pPr>
        <w:pStyle w:val="TextBody"/>
        <w:bidi w:val="0"/>
        <w:spacing w:before="12" w:after="283"/>
        <w:jc w:val="left"/>
        <w:rPr/>
      </w:pPr>
      <w:r>
        <w:rPr/>
      </w:r>
    </w:p>
    <w:p>
      <w:pPr>
        <w:pStyle w:val="TextBody"/>
        <w:bidi w:val="0"/>
        <w:spacing w:lineRule="auto" w:line="288" w:before="1" w:after="283"/>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(b)To the extent not previously paid, all 2024 Refinancing Term Loans shall be due and payable on the Term Maturity Date.</w:t>
      </w:r>
    </w:p>
    <w:p>
      <w:pPr>
        <w:pStyle w:val="TextBody"/>
        <w:bidi w:val="0"/>
        <w:spacing w:before="0" w:after="0"/>
        <w:jc w:val="left"/>
        <w:rPr/>
      </w:pPr>
      <w:r>
        <w:rPr/>
      </w:r>
    </w:p>
    <w:p>
      <w:pPr>
        <w:pStyle w:val="TextBody"/>
        <w:bidi w:val="0"/>
        <w:spacing w:lineRule="auto" w:line="288" w:before="6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(c)Any prepayment of a Term Borrowing of any Class (i) pursuant to Section 2.11(a)(i) shall be applied to reduce the subsequent scheduled and outstanding repayments of the Term Borrowings of such Class to be made pursuant to this Section 2.10 as directed by the Borrower (and absent such direction in direct order of maturity) and (ii) pursuant to Section 2.11(c) or 2.11(d) shall be applied to reduce the subsequent scheduled and outstanding repayments of the Term Borrowings of such Class to be made pursuant to this Section 2.10, or, except as otherwise provided in any Refinancing Amendment or Loan Modification Agreement, pursuant to the corresponding section of such Refinancing Amendment or Loan Modification Agreement, as applicable, as directed by the Borrower and, in the absence of such direction, in direct order of maturity (including any First Lien Incremental Facility).</w:t>
      </w:r>
    </w:p>
    <w:p>
      <w:pPr>
        <w:pStyle w:val="TextBody"/>
        <w:bidi w:val="0"/>
        <w:spacing w:before="14"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(d)Prior to any repayment of any Term Borrowings of any Class hereunder, the Borrower shall select the Borrowing or Borrowings of the applicable Class to be repaid and shall notify the First Lien Administrative Agent by telephone (confirmed by hand delivery or facsimile) of such election not later than 2:00 p.m., New York City time, one (1) Business Day before the scheduled date of such repayment. In the absence of a designation by the Borrower as described in the preceding sentence, the First Lien Administrative Agent shall make such designation in its reasonable discretion with a view, but no obligation, to minimize breakage costs owing under Section 2.16 and shall be applied in direct order of maturity. Each repayment of a Borrowing shall be applied ratably to the Loans included in the repaid Borrowing. Repayments of Term Borrowings shall be accompanied by accrued interest on the amount repaid.</w:t>
      </w:r>
    </w:p>
    <w:p>
      <w:pPr>
        <w:pStyle w:val="TextBody"/>
        <w:bidi w:val="0"/>
        <w:spacing w:before="14"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2.11    </w:t>
      </w:r>
      <w:r>
        <w:rPr>
          <w:rFonts w:ascii="Times New Roman;sans-serif" w:hAnsi="Times New Roman;sans-serif"/>
          <w:b w:val="false"/>
          <w:color w:val="000000"/>
          <w:sz w:val="20"/>
          <w:u w:val="single"/>
        </w:rPr>
        <w:t>Prepayment of Loans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(a)(i)    The Borrower shall have the right at any time and from time to time to prepay any Borrowing in whole or in part, without premium or penalty;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in the event that, on or prior to the date that is six months after the Amendment No. 4 Effective Date, the Borrower enters into any Repricing Transaction with respect to the 2024 Refinancing Term Loans, the Borrower shall pay to the First Lien Administrative Agent, for the ratable account of each of the applicable 2024 Refinancing Term Lenders, (I) in the case of clause (a) of the definition of “Repricing Transaction”, a prepayment premium of 1.00% of the principal amount of the 2024 Refinancing Term Loans being prepaid in connection with such Repricing Transaction or (II) in the case of clause (b) of the definition of “Repricing Transaction”, an amount equal to 1.00% of the aggregate amount of the applicable 2024 Refinancing Term Loans outstanding immediately prior to such amendment that are subject to an effective pricing reduction pursuant to such Repricing Transaction.</w:t>
      </w:r>
    </w:p>
    <w:p>
      <w:pPr>
        <w:pStyle w:val="TextBody"/>
        <w:bidi w:val="0"/>
        <w:spacing w:before="14"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51155"/>
                <wp:effectExtent l="0" t="0" r="0" b="0"/>
                <wp:wrapNone/>
                <wp:docPr id="169" name="Frame1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(ii)Notwithstanding anything in any First Lien Loan Document to the contrary, so long as no Default or Event of Default has occurred and is continuing, Holdings, any Intermediate Parent, the Borrower or any of their respective Subsidiaries may offer to prepay all or a portion of the outstanding Term Loans on the following basis:</w:t>
      </w:r>
    </w:p>
    <w:p>
      <w:pPr>
        <w:pStyle w:val="TextBody"/>
        <w:bidi w:val="0"/>
        <w:spacing w:before="12" w:after="283"/>
        <w:jc w:val="left"/>
        <w:rPr/>
      </w:pPr>
      <w:r>
        <w:rPr/>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(A)Holdings, any Intermediate Parent, the Borrower or any of their respective Subsidiaries shall have the right to make a voluntary prepayment of Term Loans at a discount to par (such prepayment, the “</w:t>
      </w:r>
      <w:r>
        <w:rPr>
          <w:rFonts w:ascii="Times New Roman;sans-serif" w:hAnsi="Times New Roman;sans-serif"/>
          <w:b w:val="false"/>
          <w:color w:val="000000"/>
          <w:sz w:val="20"/>
          <w:u w:val="single"/>
        </w:rPr>
        <w:t>Discounted Term Loan Prepayment</w:t>
      </w:r>
      <w:r>
        <w:rPr>
          <w:color w:val="000000"/>
        </w:rPr>
        <w:t>”</w:t>
      </w:r>
      <w:r>
        <w:rPr>
          <w:rFonts w:ascii="Times New Roman;sans-serif" w:hAnsi="Times New Roman;sans-serif"/>
          <w:b w:val="false"/>
          <w:color w:val="000000"/>
          <w:sz w:val="20"/>
        </w:rPr>
        <w:t xml:space="preserve">) pursuant to a Borrower Offer of Specified Discount Prepayment, Borrower Solicitation of Discount Range Prepayment Offers or Borrower Solicitation of Discounted Prepayment Offers, in each case made in accordance with this Section 2.11(a)(ii);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(x) Holdings, any Intermediate Parent, the Borrower or any of their respective Subsidiaries shall not make any Borrowing of Revolving Loans or Swingline Loans to fund any Discounted Term Loan Prepayment and (y) Holdings, any Intermediate Parent, the Borrower or any of their respective Subsidiaries shall not initiate any action under this Section 2.11(a)(ii) in order to make a Discounted Term Loan Prepayment unless (I) at least ten (10) Business Days shall have passed since the consummation of the most recent Discounted Term Loan Prepayment as a result of a prepayment made by Holdings, any Intermediate Parent, the Borrower or any of their respective Subsidiaries on the applicable Discounted Prepayment Effective Date; or (II) at least three (3) Business Days shall have passed since the date Holdings, any Intermediate Parent, the Borrower or any of their respective Subsidiaries were notified that no Term Lender was willing to accept any prepayment of any Term Loan and/or Other First Lien Term Loan at the Specified Discount, within the Discount Range or at any discount to par value, as applicable, or in the case of Borrower Solicitation of Discounted Prepayment Offers, the date of Holdings’, any Intermediate Parent’s, the Borrower’s or any of their respective Subsidiaries’ election not to accept any Solicited Discounted Prepayment Offers and (z) each Lender participating in any Discounted Term Loan Prepayment acknowledges and agrees that in connection with such Discounted Term Loan Prepayment, (1) the Borrower then may have, and later may come into possession of, information regarding the Term Loans or the Loan Parties hereunder that is not known to such Lender and that may be material to a decision by such Lender to participate in such Discounted Term Loan Prepayment (“</w:t>
      </w:r>
      <w:r>
        <w:rPr>
          <w:rFonts w:ascii="Times New Roman;sans-serif" w:hAnsi="Times New Roman;sans-serif"/>
          <w:b w:val="false"/>
          <w:color w:val="000000"/>
          <w:sz w:val="20"/>
          <w:u w:val="single"/>
        </w:rPr>
        <w:t>Excluded Information</w:t>
      </w:r>
      <w:r>
        <w:rPr>
          <w:color w:val="000000"/>
        </w:rPr>
        <w:t>”</w:t>
      </w:r>
      <w:r>
        <w:rPr>
          <w:rFonts w:ascii="Times New Roman;sans-serif" w:hAnsi="Times New Roman;sans-serif"/>
          <w:b w:val="false"/>
          <w:color w:val="000000"/>
          <w:sz w:val="20"/>
        </w:rPr>
        <w:t xml:space="preserve">), (2) such Lender has independently and, without reliance on Holdings, any of its Subsidiaries, the First Lien Administrative Agent or any of their respective Affiliates, made its own analysis and determination to participate in such Discounted Term Loan Prepayment notwithstanding such Lender’s lack of knowledge of the Excluded Information and (3) none of Holdings, its Subsidiaries, the First Lien Administrative Agent, or any of their respective Affiliates shall have any liability to such Lender, and such Lender hereby waives and releases, to the extent permitted by Requirements of Law, any claims such Lender may have against Holdings, its Subsidiaries, the First Lien Administrative Agent, and their respective Affiliates, under applicable laws or otherwise, with respect to the nondisclosure of the Excluded Information;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that any Term Loan that is prepaid will be automatically and irrevocably cancelled.</w:t>
      </w:r>
    </w:p>
    <w:p>
      <w:pPr>
        <w:pStyle w:val="TextBody"/>
        <w:bidi w:val="0"/>
        <w:spacing w:before="17"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(B)(1) Subject to the proviso to subsection (A) above, Holdings, any Intermediate Parent, the Borrower or any of their respective Subsidiaries may from time to time offer to make a Discounted Term Loan Prepayment by providing the Auction Agent with three (3) Business Days’ notice in the form of a Specified Discount Prepayment Notice;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 any such offer shall be made available, at the sole discretion of Holdings, any Intermediate Parent, the Borrower or any of their respective Subsidiaries, to each Term Lender and/or each Lender with respect to any Class of Term Loans on an individual tranche basis, (II) any such offer shall specify the aggregate principal amount offered to be prepaid (the “</w:t>
      </w:r>
      <w:r>
        <w:rPr>
          <w:rFonts w:ascii="Times New Roman;sans-serif" w:hAnsi="Times New Roman;sans-serif"/>
          <w:b w:val="false"/>
          <w:color w:val="000000"/>
          <w:sz w:val="20"/>
          <w:u w:val="single"/>
        </w:rPr>
        <w:t>Specified Discount Prepayment Amount</w:t>
      </w:r>
      <w:r>
        <w:rPr>
          <w:color w:val="000000"/>
        </w:rPr>
        <w:t>”</w:t>
      </w:r>
      <w:r>
        <w:rPr>
          <w:rFonts w:ascii="Times New Roman;sans-serif" w:hAnsi="Times New Roman;sans-serif"/>
          <w:b w:val="false"/>
          <w:color w:val="000000"/>
          <w:sz w:val="20"/>
        </w:rPr>
        <w:t>) with respect to each applicable tranche, the tranche or tranches of Term Loans subject to such offer and the specific percentage discount to par (the “</w:t>
      </w:r>
      <w:r>
        <w:rPr>
          <w:rFonts w:ascii="Times New Roman;sans-serif" w:hAnsi="Times New Roman;sans-serif"/>
          <w:b w:val="false"/>
          <w:color w:val="000000"/>
          <w:sz w:val="20"/>
          <w:u w:val="single"/>
        </w:rPr>
        <w:t>Specified Discount</w:t>
      </w:r>
      <w:r>
        <w:rPr>
          <w:color w:val="000000"/>
        </w:rPr>
        <w:t>”</w:t>
      </w:r>
      <w:r>
        <w:rPr>
          <w:rFonts w:ascii="Times New Roman;sans-serif" w:hAnsi="Times New Roman;sans-serif"/>
          <w:b w:val="false"/>
          <w:color w:val="000000"/>
          <w:sz w:val="20"/>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(III) the Specified Discount Prepayment Amount shall be in an aggregate amount not less than</w:t>
      </w:r>
    </w:p>
    <w:p>
      <w:pPr>
        <w:pStyle w:val="TextBody"/>
        <w:bidi w:val="0"/>
        <w:spacing w:lineRule="auto" w:line="288" w:before="5"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51155"/>
                <wp:effectExtent l="0" t="0" r="0" b="0"/>
                <wp:wrapNone/>
                <wp:docPr id="170" name="Frame1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5" w:after="283"/>
        <w:jc w:val="both"/>
        <w:rPr/>
      </w:pPr>
      <w:r>
        <w:rPr>
          <w:rFonts w:ascii="Times New Roman;sans-serif" w:hAnsi="Times New Roman;sans-serif"/>
          <w:b w:val="false"/>
          <w:color w:val="000000"/>
          <w:sz w:val="20"/>
        </w:rPr>
        <w:t>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Times New Roman;sans-serif" w:hAnsi="Times New Roman;sans-serif"/>
          <w:b w:val="false"/>
          <w:color w:val="000000"/>
          <w:sz w:val="20"/>
          <w:u w:val="single"/>
        </w:rPr>
        <w:t>Specified Discount Prepayment Response Date</w:t>
      </w:r>
      <w:r>
        <w:rPr>
          <w:color w:val="000000"/>
        </w:rPr>
        <w:t>”</w:t>
      </w:r>
      <w:r>
        <w:rPr>
          <w:rFonts w:ascii="Times New Roman;sans-serif" w:hAnsi="Times New Roman;sans-serif"/>
          <w:b w:val="false"/>
          <w:color w:val="000000"/>
          <w:sz w:val="20"/>
        </w:rPr>
        <w:t>).</w:t>
      </w:r>
    </w:p>
    <w:p>
      <w:pPr>
        <w:pStyle w:val="TextBody"/>
        <w:bidi w:val="0"/>
        <w:spacing w:before="13"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(2)Each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Times New Roman;sans-serif" w:hAnsi="Times New Roman;sans-serif"/>
          <w:b w:val="false"/>
          <w:color w:val="000000"/>
          <w:sz w:val="20"/>
          <w:u w:val="single"/>
        </w:rPr>
        <w:t>Discount Prepayment Accepting Lender</w:t>
      </w:r>
      <w:r>
        <w:rPr>
          <w:color w:val="000000"/>
        </w:rPr>
        <w:t>”</w:t>
      </w:r>
      <w:r>
        <w:rPr>
          <w:rFonts w:ascii="Times New Roman;sans-serif" w:hAnsi="Times New Roman;sans-serif"/>
          <w:b w:val="false"/>
          <w:color w:val="000000"/>
          <w:sz w:val="20"/>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pStyle w:val="TextBody"/>
        <w:bidi w:val="0"/>
        <w:spacing w:before="14" w:after="283"/>
        <w:jc w:val="left"/>
        <w:rPr/>
      </w:pPr>
      <w:r>
        <w:rPr/>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 xml:space="preserve">(3)If there is at least one Discount Prepayment Accepting Lender, Holdings, any Intermediate Parent, the Borrower or any of their respective Subsidiaries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Holdings, any Intermediate Parent, the Borrower or any of their respective Subsidiaries and subject to rounding requirements of the Auction Agent made in its reasonable discretion) will calculate such proration (the “</w:t>
      </w:r>
      <w:r>
        <w:rPr>
          <w:rFonts w:ascii="Times New Roman;sans-serif" w:hAnsi="Times New Roman;sans-serif"/>
          <w:b w:val="false"/>
          <w:color w:val="000000"/>
          <w:sz w:val="20"/>
          <w:u w:val="single"/>
        </w:rPr>
        <w:t>Specified Discount Proration</w:t>
      </w:r>
      <w:r>
        <w:rPr>
          <w:color w:val="000000"/>
        </w:rPr>
        <w:t>”</w:t>
      </w:r>
      <w:r>
        <w:rPr>
          <w:rFonts w:ascii="Times New Roman;sans-serif" w:hAnsi="Times New Roman;sans-serif"/>
          <w:b w:val="false"/>
          <w:color w:val="000000"/>
          <w:sz w:val="20"/>
        </w:rPr>
        <w:t>). The Auction Agent shall promptly, and in any case within three (3) Business Days following the Specified Discount Prepayment Response Date, notify (I) Holdings, any Intermediate Parent, the Borrower or any of their respective Subsidiaries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Holdings, any Intermediate Parent, the Borrower or any of their respective Subsidiaries on the Discounted Prepayment Effective Date in accordance with subsection (F) below (subject to subsection (J) below).</w:t>
      </w:r>
    </w:p>
    <w:p>
      <w:pPr>
        <w:pStyle w:val="TextBody"/>
        <w:bidi w:val="0"/>
        <w:spacing w:before="18"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000000"/>
          <w:sz w:val="20"/>
        </w:rPr>
        <w:t xml:space="preserve">(C)(1) Subject to the proviso to subsection (A) above, Holdings, any Intermediate Parent, the Borrower or any of their respective Subsidiaries may from time to time solicit Discount Range Prepayment Offers by providing the Auction Agent with three (3) Business Days’ notice in the form of a Discount Range Prepayment Notice;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 any such solicitation shall be extended, at the sole discretion of Holdings, any Intermediate Parent, the Borrower or any of their respective Subsidiaries, to each Term Lender and/or each Lender with respect to any Class of Loans on an individual tranche basis,</w:t>
      </w:r>
    </w:p>
    <w:p>
      <w:pPr>
        <w:pStyle w:val="TextBody"/>
        <w:bidi w:val="0"/>
        <w:spacing w:lineRule="auto" w:line="288" w:before="2" w:after="283"/>
        <w:jc w:val="left"/>
        <w:rPr/>
      </w:pPr>
      <w:r>
        <w:rPr>
          <w:rFonts w:ascii="Times New Roman;sans-serif" w:hAnsi="Times New Roman;sans-serif"/>
          <w:b w:val="false"/>
          <w:color w:val="000000"/>
          <w:sz w:val="20"/>
        </w:rPr>
        <w:t>(II) any such notice shall specify the maximum aggregate principal amount of the relevant Term Loans (the “</w:t>
      </w:r>
      <w:r>
        <w:rPr>
          <w:rFonts w:ascii="Times New Roman;sans-serif" w:hAnsi="Times New Roman;sans-serif"/>
          <w:b w:val="false"/>
          <w:color w:val="000000"/>
          <w:sz w:val="20"/>
          <w:u w:val="single"/>
        </w:rPr>
        <w:t>Discount Range Prepayment Amount</w:t>
      </w:r>
      <w:r>
        <w:rPr>
          <w:color w:val="000000"/>
        </w:rPr>
        <w:t>”</w:t>
      </w:r>
      <w:r>
        <w:rPr>
          <w:rFonts w:ascii="Times New Roman;sans-serif" w:hAnsi="Times New Roman;sans-serif"/>
          <w:b w:val="false"/>
          <w:color w:val="000000"/>
          <w:sz w:val="20"/>
        </w:rPr>
        <w:t>), the tranche or tranches of Term Loans subject to such offer and the maximum and minimum percentage discounts to par (the “</w:t>
      </w:r>
      <w:r>
        <w:rPr>
          <w:rFonts w:ascii="Times New Roman;sans-serif" w:hAnsi="Times New Roman;sans-serif"/>
          <w:b w:val="false"/>
          <w:color w:val="000000"/>
          <w:sz w:val="20"/>
          <w:u w:val="single"/>
        </w:rPr>
        <w:t>Discount Range</w:t>
      </w:r>
      <w:r>
        <w:rPr>
          <w:color w:val="000000"/>
        </w:rPr>
        <w:t>”</w:t>
      </w:r>
      <w:r>
        <w:rPr>
          <w:rFonts w:ascii="Times New Roman;sans-serif" w:hAnsi="Times New Roman;sans-serif"/>
          <w:b w:val="false"/>
          <w:color w:val="000000"/>
          <w:sz w:val="20"/>
        </w:rPr>
        <w:t xml:space="preserve">) of the principal amount of such Term Loans with respect to each relevant tranche of Term Loans willing to be prepaid by Holdings, any Intermediate Parent, the Borrower or any of their respective Subsidiaries (it being understood that different Discount Ranges and/or Discount Range Prepayment Amounts may be offered with respect to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51155"/>
                <wp:effectExtent l="0" t="0" r="0" b="0"/>
                <wp:wrapNone/>
                <wp:docPr id="171" name="Frame1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 w:after="283"/>
        <w:jc w:val="left"/>
        <w:rPr/>
      </w:pPr>
      <w:r>
        <w:rPr>
          <w:rFonts w:ascii="Times New Roman;sans-serif" w:hAnsi="Times New Roman;sans-serif"/>
          <w:b w:val="false"/>
          <w:color w:val="000000"/>
          <w:sz w:val="20"/>
        </w:rPr>
        <w:t>different tranches of Term Loans and, in such an event, each such offer will be treated as a separate offer pursuant to the terms of this Section), (III) the Discount Range Prepayment Amount shall be in an aggregate amount not less than $1,000,000 and whole increments of $500,000 in excess thereof and (IV) each such solicitation by Holdings, any Intermediate Parent, the Borrower or any of their respective Subsidiaries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 Lenders (the “</w:t>
      </w:r>
      <w:r>
        <w:rPr>
          <w:rFonts w:ascii="Times New Roman;sans-serif" w:hAnsi="Times New Roman;sans-serif"/>
          <w:b w:val="false"/>
          <w:color w:val="000000"/>
          <w:sz w:val="20"/>
          <w:u w:val="single"/>
        </w:rPr>
        <w:t>Discount Range Prepayment Response Date</w:t>
      </w:r>
      <w:r>
        <w:rPr>
          <w:color w:val="000000"/>
        </w:rPr>
        <w:t>”</w:t>
      </w:r>
      <w:r>
        <w:rPr>
          <w:rFonts w:ascii="Times New Roman;sans-serif" w:hAnsi="Times New Roman;sans-serif"/>
          <w:b w:val="false"/>
          <w:color w:val="000000"/>
          <w:sz w:val="20"/>
        </w:rPr>
        <w:t>). Each relevant Term Lender’s Discount Range Prepayment Offer shall be irrevocable and shall specify a discount to par within the Discount Range (the “</w:t>
      </w:r>
      <w:r>
        <w:rPr>
          <w:rFonts w:ascii="Times New Roman;sans-serif" w:hAnsi="Times New Roman;sans-serif"/>
          <w:b w:val="false"/>
          <w:color w:val="000000"/>
          <w:sz w:val="20"/>
          <w:u w:val="single"/>
        </w:rPr>
        <w:t>Submitted Discount</w:t>
      </w:r>
      <w:r>
        <w:rPr>
          <w:color w:val="000000"/>
        </w:rPr>
        <w:t>”</w:t>
      </w:r>
      <w:r>
        <w:rPr>
          <w:rFonts w:ascii="Times New Roman;sans-serif" w:hAnsi="Times New Roman;sans-serif"/>
          <w:b w:val="false"/>
          <w:color w:val="000000"/>
          <w:sz w:val="20"/>
        </w:rPr>
        <w:t>) at which such Term Lender is willing to allow prepayment of any or all of its then outstanding Term Loans of the applicable tranche or tranches and the maximum aggregate principal amount and tranches of such Lender’s Term Loans (the “</w:t>
      </w:r>
      <w:r>
        <w:rPr>
          <w:rFonts w:ascii="Times New Roman;sans-serif" w:hAnsi="Times New Roman;sans-serif"/>
          <w:b w:val="false"/>
          <w:color w:val="000000"/>
          <w:sz w:val="20"/>
          <w:u w:val="single"/>
        </w:rPr>
        <w:t>Submitted Amount</w:t>
      </w:r>
      <w:r>
        <w:rPr>
          <w:color w:val="000000"/>
        </w:rPr>
        <w:t>”</w:t>
      </w:r>
      <w:r>
        <w:rPr>
          <w:rFonts w:ascii="Times New Roman;sans-serif" w:hAnsi="Times New Roman;sans-serif"/>
          <w:b w:val="false"/>
          <w:color w:val="000000"/>
          <w:sz w:val="20"/>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pStyle w:val="TextBody"/>
        <w:bidi w:val="0"/>
        <w:spacing w:before="20" w:after="283"/>
        <w:jc w:val="left"/>
        <w:rPr/>
      </w:pPr>
      <w:r>
        <w:rPr/>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(2)The Auction Agent shall review all Discount Range Prepayment Offers received on or before the applicable Discount Range Prepayment Response Date and shall determine (in consultation with Holdings, any Intermediate Parent, the Borrower or any of their respective Subsidiaries and subject to rounding requirements of the Auction Agent made in its sole reasonable discretion) the Applicable Discount and Term Loans to be prepaid at such Applicable Discount in accordance with this subsection</w:t>
      </w:r>
    </w:p>
    <w:p>
      <w:pPr>
        <w:pStyle w:val="TextBody"/>
        <w:bidi w:val="0"/>
        <w:spacing w:lineRule="auto" w:line="288" w:before="1" w:after="283"/>
        <w:jc w:val="both"/>
        <w:rPr/>
      </w:pPr>
      <w:r>
        <w:rPr>
          <w:rFonts w:ascii="Times New Roman;sans-serif" w:hAnsi="Times New Roman;sans-serif"/>
          <w:b w:val="false"/>
          <w:color w:val="000000"/>
          <w:sz w:val="20"/>
        </w:rPr>
        <w:t>(C).Holdings, any Intermediate Parent, the Borrower or any of their respective Subsidiaries agree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Times New Roman;sans-serif" w:hAnsi="Times New Roman;sans-serif"/>
          <w:b w:val="false"/>
          <w:color w:val="000000"/>
          <w:sz w:val="20"/>
          <w:u w:val="single"/>
        </w:rPr>
        <w:t>Applicable Discount</w:t>
      </w:r>
      <w:r>
        <w:rPr>
          <w:color w:val="000000"/>
        </w:rPr>
        <w:t>”</w:t>
      </w:r>
      <w:r>
        <w:rPr>
          <w:rFonts w:ascii="Times New Roman;sans-serif" w:hAnsi="Times New Roman;sans-serif"/>
          <w:b w:val="false"/>
          <w:color w:val="000000"/>
          <w:sz w:val="20"/>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Times New Roman;sans-serif" w:hAnsi="Times New Roman;sans-serif"/>
          <w:b w:val="false"/>
          <w:color w:val="000000"/>
          <w:sz w:val="20"/>
          <w:u w:val="single"/>
        </w:rPr>
        <w:t>Participating Lender</w:t>
      </w:r>
      <w:r>
        <w:rPr>
          <w:color w:val="000000"/>
        </w:rPr>
        <w:t>”</w:t>
      </w:r>
      <w:r>
        <w:rPr>
          <w:rFonts w:ascii="Times New Roman;sans-serif" w:hAnsi="Times New Roman;sans-serif"/>
          <w:b w:val="false"/>
          <w:color w:val="000000"/>
          <w:sz w:val="20"/>
        </w:rPr>
        <w:t>).</w:t>
      </w:r>
    </w:p>
    <w:p>
      <w:pPr>
        <w:pStyle w:val="TextBody"/>
        <w:bidi w:val="0"/>
        <w:spacing w:before="16" w:after="283"/>
        <w:jc w:val="left"/>
        <w:rPr/>
      </w:pPr>
      <w:r>
        <w:rPr/>
      </w:r>
    </w:p>
    <w:p>
      <w:pPr>
        <w:pStyle w:val="TextBody"/>
        <w:bidi w:val="0"/>
        <w:spacing w:lineRule="auto" w:line="288"/>
        <w:ind w:left="0" w:right="0" w:firstLine="720"/>
        <w:jc w:val="both"/>
        <w:rPr/>
      </w:pPr>
      <w:r>
        <w:rPr>
          <w:rFonts w:ascii="Times New Roman;sans-serif" w:hAnsi="Times New Roman;sans-serif"/>
          <w:b w:val="false"/>
          <w:color w:val="000000"/>
          <w:sz w:val="20"/>
        </w:rPr>
        <w:t xml:space="preserve">(3)If there is at least one Participating Lender, Holdings, any Intermediate Parent, the Borrower or any of their respective Subsidiaries will prepay the respective outstanding Term Loans of each Participating Lender in the aggregate principal amount and of the tranches specified in such Lender’s Discount Range Prepayment Offer at the Applicable Discount;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Times New Roman;sans-serif" w:hAnsi="Times New Roman;sans-serif"/>
          <w:b w:val="false"/>
          <w:color w:val="000000"/>
          <w:sz w:val="20"/>
          <w:u w:val="single"/>
        </w:rPr>
        <w:t>Identified Participating Lenders</w:t>
      </w:r>
      <w:r>
        <w:rPr>
          <w:color w:val="000000"/>
        </w:rPr>
        <w:t>”</w:t>
      </w:r>
      <w:r>
        <w:rPr>
          <w:rFonts w:ascii="Times New Roman;sans-serif" w:hAnsi="Times New Roman;sans-serif"/>
          <w:b w:val="false"/>
          <w:color w:val="000000"/>
          <w:sz w:val="20"/>
        </w:rPr>
        <w:t>) shall be made pro-rata among the Identified Participating Lenders in accordance with the Submitted Amount of each such Identified Participating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Times New Roman;sans-serif" w:hAnsi="Times New Roman;sans-serif"/>
          <w:b w:val="false"/>
          <w:color w:val="000000"/>
          <w:sz w:val="20"/>
          <w:u w:val="single"/>
        </w:rPr>
        <w:t>Discount Range Proration</w:t>
      </w:r>
      <w:r>
        <w:rPr>
          <w:color w:val="000000"/>
        </w:rPr>
        <w:t>”</w:t>
      </w:r>
      <w:r>
        <w:rPr>
          <w:rFonts w:ascii="Times New Roman;sans-serif" w:hAnsi="Times New Roman;sans-serif"/>
          <w:b w:val="false"/>
          <w:color w:val="000000"/>
          <w:sz w:val="20"/>
        </w:rPr>
        <w:t xml:space="preserve">). The Auction Agent shall promptly, and in any case within five (5) Business Days following the Discount Range Prepayment Response Date, notify (I) Holdings, any Intermediate Parent, the Borrower or any of their respective Subsidiaries of the respective Term Lenders’ responses to such solicitation, the Discounted Prepayment Effective Date, the Applicable Discount, and the aggregate principal amount of the Discounted Term Loan Prepayment and the tranches to be prepaid, (II) each Term Lender of the Discounted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51155"/>
                <wp:effectExtent l="0" t="0" r="0" b="0"/>
                <wp:wrapNone/>
                <wp:docPr id="172" name="Frame17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(z) if applicable, each Identified Participating Lender of the Discount Range Proration.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the Borrower on the Discounted Prepayment Effective Date in accordance with subsection (F) below (subject to subsection (J) below).</w:t>
      </w:r>
    </w:p>
    <w:p>
      <w:pPr>
        <w:pStyle w:val="TextBody"/>
        <w:bidi w:val="0"/>
        <w:spacing w:before="21" w:after="283"/>
        <w:jc w:val="left"/>
        <w:rPr/>
      </w:pPr>
      <w:r>
        <w:rPr/>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(D)(1) Subject to the proviso to subsection (A) above, Holdings, any Intermediate Parent, the Borrower or any of their respective Subsidiaries may from time to time solicit Solicited Discounted Prepayment Offers by providing the Auction Agent with three (3) Business Days’ notice in the form of a Solicited Discounted Prepayment Notice; provided that (I) any such solicitation shall be extended, at the sole discretion of Holdings, any Intermediate Parent, the Borrower or any of their respective Subsidiaries, to each Term Lender and/or each Lender with respect to any Class of Term Loans on an individual tranche basis, (II) any such notice shall specify the maximum aggregate Dollar Amount of the Term Loans (the “</w:t>
      </w:r>
      <w:r>
        <w:rPr>
          <w:rFonts w:ascii="Times New Roman;sans-serif" w:hAnsi="Times New Roman;sans-serif"/>
          <w:b w:val="false"/>
          <w:color w:val="000000"/>
          <w:sz w:val="20"/>
          <w:u w:val="single"/>
        </w:rPr>
        <w:t>Solicited Discounted Prepayment Amount</w:t>
      </w:r>
      <w:r>
        <w:rPr>
          <w:color w:val="000000"/>
        </w:rPr>
        <w:t>”</w:t>
      </w:r>
      <w:r>
        <w:rPr>
          <w:rFonts w:ascii="Times New Roman;sans-serif" w:hAnsi="Times New Roman;sans-serif"/>
          <w:b w:val="false"/>
          <w:color w:val="000000"/>
          <w:sz w:val="20"/>
        </w:rPr>
        <w:t>) and the tranche or tranches of Term Loans Holdings, any Intermediate Parent, the Borrower or any of their respective Subsidiaries is willing to prepay at a discount (it being understood that different Solicited Discounted Prepayment Amounts may be offered with respect to different tranches of Term Loans and, in such an event, each such offer will be treated as a separate offer pursuant to the terms of this Section), (III) the Solicited Discounted Prepayment Amount shall be in an aggregate amount not less than $1,000,000 and whole increments of $500,000 in excess thereof and (IV) each such solicitation by Holdings, any Intermediate Parent, the Borrower or any of their respective Subsidiaries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Times New Roman;sans-serif" w:hAnsi="Times New Roman;sans-serif"/>
          <w:b w:val="false"/>
          <w:color w:val="000000"/>
          <w:sz w:val="20"/>
          <w:u w:val="single"/>
        </w:rPr>
        <w:t>Solicited Discounted Prepayment Response Date</w:t>
      </w:r>
      <w:r>
        <w:rPr>
          <w:color w:val="000000"/>
        </w:rPr>
        <w:t>”</w:t>
      </w:r>
      <w:r>
        <w:rPr>
          <w:rFonts w:ascii="Times New Roman;sans-serif" w:hAnsi="Times New Roman;sans-serif"/>
          <w:b w:val="false"/>
          <w:color w:val="000000"/>
          <w:sz w:val="20"/>
        </w:rPr>
        <w:t>). Each Term Lender’s Solicited Discounted Prepayment Offer shall (x) be irrevocable, (y) remain outstanding until the Acceptance Date, and (z) specify both a discount to par (the “</w:t>
      </w:r>
      <w:r>
        <w:rPr>
          <w:rFonts w:ascii="Times New Roman;sans-serif" w:hAnsi="Times New Roman;sans-serif"/>
          <w:b w:val="false"/>
          <w:color w:val="000000"/>
          <w:sz w:val="20"/>
          <w:u w:val="single"/>
        </w:rPr>
        <w:t>Offered Discount</w:t>
      </w:r>
      <w:r>
        <w:rPr>
          <w:color w:val="000000"/>
        </w:rPr>
        <w:t>”</w:t>
      </w:r>
      <w:r>
        <w:rPr>
          <w:rFonts w:ascii="Times New Roman;sans-serif" w:hAnsi="Times New Roman;sans-serif"/>
          <w:b w:val="false"/>
          <w:color w:val="000000"/>
          <w:sz w:val="20"/>
        </w:rPr>
        <w:t>) such Term Lender is willing to allow to be applied to the prepayment of its then outstanding Term Loan and the maximum aggregate principal amount and tranches of such Term Loans (the “</w:t>
      </w:r>
      <w:r>
        <w:rPr>
          <w:rFonts w:ascii="Times New Roman;sans-serif" w:hAnsi="Times New Roman;sans-serif"/>
          <w:b w:val="false"/>
          <w:color w:val="000000"/>
          <w:sz w:val="20"/>
          <w:u w:val="single"/>
        </w:rPr>
        <w:t>Offered Amount</w:t>
      </w:r>
      <w:r>
        <w:rPr>
          <w:color w:val="000000"/>
        </w:rPr>
        <w:t>”</w:t>
      </w:r>
      <w:r>
        <w:rPr>
          <w:rFonts w:ascii="Times New Roman;sans-serif" w:hAnsi="Times New Roman;sans-serif"/>
          <w:b w:val="false"/>
          <w:color w:val="000000"/>
          <w:sz w:val="20"/>
        </w:rPr>
        <w:t>) such Term Lender is willing to have prepaid subject to such Offered Discount. Any Term Lender whose Solicited Discounted Prepayment Offer is not received by the Auction Agent by the Solicited Discounted Prepayment Response Date shall be deemed to have declined prepayment of any of its Term Loans at any discount.</w:t>
      </w:r>
    </w:p>
    <w:p>
      <w:pPr>
        <w:pStyle w:val="TextBody"/>
        <w:bidi w:val="0"/>
        <w:spacing w:before="18" w:after="283"/>
        <w:jc w:val="left"/>
        <w:rPr/>
      </w:pPr>
      <w:r>
        <w:rPr/>
      </w:r>
    </w:p>
    <w:p>
      <w:pPr>
        <w:pStyle w:val="TextBody"/>
        <w:bidi w:val="0"/>
        <w:spacing w:lineRule="auto" w:line="288"/>
        <w:ind w:left="0" w:right="0" w:firstLine="720"/>
        <w:jc w:val="both"/>
        <w:rPr/>
      </w:pPr>
      <w:r>
        <w:rPr>
          <w:rFonts w:ascii="Times New Roman;sans-serif" w:hAnsi="Times New Roman;sans-serif"/>
          <w:b w:val="false"/>
          <w:color w:val="000000"/>
          <w:sz w:val="20"/>
        </w:rPr>
        <w:t>(2)The Auction Agent shall promptly provide Holdings, any Intermediate Parent, the Borrower or any of their respective Subsidiaries with a copy of all Solicited Discounted Prepayment Offers received on or before the Solicited Discounted Prepayment Response Date. Holdings, any Intermediate Parent, the Borrower or any of their respective Subsidiaries shall review all such Solicited Discounted Prepayment Offers and select the largest of the Offered Discounts specified by the relevant responding Term Lenders in the Solicited Discounted Prepayment Offers that is acceptable to Holdings, any Intermediate Parent, the Borrower or any of their respective Subsidiaries (the “</w:t>
      </w:r>
      <w:r>
        <w:rPr>
          <w:rFonts w:ascii="Times New Roman;sans-serif" w:hAnsi="Times New Roman;sans-serif"/>
          <w:b w:val="false"/>
          <w:color w:val="000000"/>
          <w:sz w:val="20"/>
          <w:u w:val="single"/>
        </w:rPr>
        <w:t>Acceptable Discount</w:t>
      </w:r>
      <w:r>
        <w:rPr>
          <w:color w:val="000000"/>
        </w:rPr>
        <w:t>”</w:t>
      </w:r>
      <w:r>
        <w:rPr>
          <w:rFonts w:ascii="Times New Roman;sans-serif" w:hAnsi="Times New Roman;sans-serif"/>
          <w:b w:val="false"/>
          <w:color w:val="000000"/>
          <w:sz w:val="20"/>
        </w:rPr>
        <w:t>), if any. If Holdings, any Intermediate Parent, the Borrower or any of their respective Subsidiaries elects to accept any Offered Discount as the Acceptable Discount, then as soon as practicable after the determination of the Acceptable Discount, but in no event later than by the third Business Day after the date of receipt by Holdings, any Intermediate Parent, the Borrower or any of their respective Subsidiaries from the Auction Agent of a copy of all Solicited Discounted Prepayment Offers pursuant to the first sentence of this subsection (2) (the “</w:t>
      </w:r>
      <w:r>
        <w:rPr>
          <w:rFonts w:ascii="Times New Roman;sans-serif" w:hAnsi="Times New Roman;sans-serif"/>
          <w:b w:val="false"/>
          <w:color w:val="000000"/>
          <w:sz w:val="20"/>
          <w:u w:val="single"/>
        </w:rPr>
        <w:t>Acceptance Date</w:t>
      </w:r>
      <w:r>
        <w:rPr>
          <w:color w:val="000000"/>
        </w:rPr>
        <w:t>”</w:t>
      </w:r>
      <w:r>
        <w:rPr>
          <w:rFonts w:ascii="Times New Roman;sans-serif" w:hAnsi="Times New Roman;sans-serif"/>
          <w:b w:val="false"/>
          <w:color w:val="000000"/>
          <w:sz w:val="20"/>
        </w:rPr>
        <w:t xml:space="preserve">), Holdings, any Intermediate Parent, the Borrower or any of their respective Subsidiaries shall submit an Acceptance and Prepayment Notice to the Auction Agent setting forth the Acceptable Discount. If the Auction Agent shall fail to receive an Acceptance and Prepayment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51155"/>
                <wp:effectExtent l="0" t="0" r="0" b="0"/>
                <wp:wrapNone/>
                <wp:docPr id="173" name="Frame17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Notice from Holdings, any Intermediate Parent, the Borrower or any of their respective Subsidiaries by the Acceptance Date, Holdings, any Intermediate Parent, the Borrower or any of their respective Subsidiaries shall be deemed to have rejected all Solicited Discounted Prepayment Offers.</w:t>
      </w:r>
    </w:p>
    <w:p>
      <w:pPr>
        <w:pStyle w:val="TextBody"/>
        <w:bidi w:val="0"/>
        <w:spacing w:before="17" w:after="283"/>
        <w:jc w:val="left"/>
        <w:rPr/>
      </w:pPr>
      <w:r>
        <w:rPr/>
      </w:r>
    </w:p>
    <w:p>
      <w:pPr>
        <w:pStyle w:val="TextBody"/>
        <w:bidi w:val="0"/>
        <w:spacing w:lineRule="auto" w:line="288" w:before="60" w:after="283"/>
        <w:ind w:left="0" w:right="0" w:firstLine="720"/>
        <w:jc w:val="left"/>
        <w:rPr/>
      </w:pPr>
      <w:r>
        <w:rPr>
          <w:rFonts w:ascii="Times New Roman;sans-serif" w:hAnsi="Times New Roman;sans-serif"/>
          <w:b w:val="false"/>
          <w:color w:val="000000"/>
          <w:sz w:val="20"/>
        </w:rPr>
        <w:t>(3)Based upon the Acceptable Discount and the Solicited Discounted Prepayment Offers received by Auction Agent by the Solicited Discounted Prepayment Response Date, within three (3) Business Days after receipt of an Acceptance and Prepayment Notice (the “</w:t>
      </w:r>
      <w:r>
        <w:rPr>
          <w:rFonts w:ascii="Times New Roman;sans-serif" w:hAnsi="Times New Roman;sans-serif"/>
          <w:b w:val="false"/>
          <w:color w:val="000000"/>
          <w:sz w:val="20"/>
          <w:u w:val="single"/>
        </w:rPr>
        <w:t>Discounted Prepayment Determination Date</w:t>
      </w:r>
      <w:r>
        <w:rPr>
          <w:color w:val="000000"/>
        </w:rPr>
        <w:t>”</w:t>
      </w:r>
      <w:r>
        <w:rPr>
          <w:rFonts w:ascii="Times New Roman;sans-serif" w:hAnsi="Times New Roman;sans-serif"/>
          <w:b w:val="false"/>
          <w:color w:val="000000"/>
          <w:sz w:val="20"/>
        </w:rPr>
        <w:t>), the Auction Agent will determine (in consultation with Holdings, any Intermediate Parent, the Borrower or any of their respective Subsidiaries and subject to rounding requirements of the Auction Agent made in its sole reasonable discretion) the aggregate principal amount and the tranches of Term Loans (the “</w:t>
      </w:r>
      <w:r>
        <w:rPr>
          <w:rFonts w:ascii="Times New Roman;sans-serif" w:hAnsi="Times New Roman;sans-serif"/>
          <w:b w:val="false"/>
          <w:color w:val="000000"/>
          <w:sz w:val="20"/>
          <w:u w:val="single"/>
        </w:rPr>
        <w:t>Acceptable Prepayment Amount</w:t>
      </w:r>
      <w:r>
        <w:rPr>
          <w:color w:val="000000"/>
        </w:rPr>
        <w:t>”</w:t>
      </w:r>
      <w:r>
        <w:rPr>
          <w:rFonts w:ascii="Times New Roman;sans-serif" w:hAnsi="Times New Roman;sans-serif"/>
          <w:b w:val="false"/>
          <w:color w:val="000000"/>
          <w:sz w:val="20"/>
        </w:rPr>
        <w:t>) to be prepaid by Holdings, any Intermediate Parent, the Borrower or any of their respective Subsidiaries at the Acceptable Discount in accordance with this Section 2.11(a)(ii)(D). If Holdings, any Intermediate Parent, the Borrower or any of their respective Subsidiaries elects to accept any Acceptable Discount, then Holdings, any Intermediate Parent, the Borrower or any of their respective Subsidiaries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Times New Roman;sans-serif" w:hAnsi="Times New Roman;sans-serif"/>
          <w:b w:val="false"/>
          <w:color w:val="000000"/>
          <w:sz w:val="20"/>
          <w:u w:val="single"/>
        </w:rPr>
        <w:t>Qualifying Lender</w:t>
      </w:r>
      <w:r>
        <w:rPr>
          <w:color w:val="000000"/>
        </w:rPr>
        <w:t>”</w:t>
      </w:r>
      <w:r>
        <w:rPr>
          <w:rFonts w:ascii="Times New Roman;sans-serif" w:hAnsi="Times New Roman;sans-serif"/>
          <w:b w:val="false"/>
          <w:color w:val="000000"/>
          <w:sz w:val="20"/>
        </w:rPr>
        <w:t xml:space="preserve">). Holdings, any Intermediate Parent, the Borrower or any of their respective Subsidiaries will prepay outstanding Term Loans pursuant to this subsection (D) to each Qualifying Lender in the aggregate principal amount and of the tranches specified in such Lender’s Solicited Discounted Prepayment Offer at the Acceptable Discount; </w:t>
      </w:r>
      <w:r>
        <w:rPr>
          <w:rFonts w:ascii="Times New Roman;sans-serif" w:hAnsi="Times New Roman;sans-serif"/>
          <w:b w:val="false"/>
          <w:color w:val="000000"/>
          <w:sz w:val="20"/>
          <w:u w:val="single"/>
        </w:rPr>
        <w:t xml:space="preserve">provided </w:t>
      </w:r>
      <w:r>
        <w:rPr>
          <w:rFonts w:ascii="Times New Roman;sans-serif" w:hAnsi="Times New Roman;sans-serif"/>
          <w:b w:val="false"/>
          <w:color w:val="000000"/>
          <w:sz w:val="20"/>
        </w:rPr>
        <w:t>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Times New Roman;sans-serif" w:hAnsi="Times New Roman;sans-serif"/>
          <w:b w:val="false"/>
          <w:color w:val="000000"/>
          <w:sz w:val="20"/>
          <w:u w:val="single"/>
        </w:rPr>
        <w:t>Identified Qualifying Lenders</w:t>
      </w:r>
      <w:r>
        <w:rPr>
          <w:color w:val="000000"/>
        </w:rPr>
        <w:t>”</w:t>
      </w:r>
      <w:r>
        <w:rPr>
          <w:rFonts w:ascii="Times New Roman;sans-serif" w:hAnsi="Times New Roman;sans-serif"/>
          <w:b w:val="false"/>
          <w:color w:val="000000"/>
          <w:sz w:val="20"/>
        </w:rPr>
        <w:t>) shall be made pro-rata among the Identified Qualifying Lenders in accordance with the Offered Amount of each such Identified Qualifying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Times New Roman;sans-serif" w:hAnsi="Times New Roman;sans-serif"/>
          <w:b w:val="false"/>
          <w:color w:val="000000"/>
          <w:sz w:val="20"/>
          <w:u w:val="single"/>
        </w:rPr>
        <w:t>Solicited Discount Proration</w:t>
      </w:r>
      <w:r>
        <w:rPr>
          <w:color w:val="000000"/>
        </w:rPr>
        <w:t>”</w:t>
      </w:r>
      <w:r>
        <w:rPr>
          <w:rFonts w:ascii="Times New Roman;sans-serif" w:hAnsi="Times New Roman;sans-serif"/>
          <w:b w:val="false"/>
          <w:color w:val="000000"/>
          <w:sz w:val="20"/>
        </w:rPr>
        <w:t>). On or prior to the Discounted Prepayment Determination Date, the Auction Agent shall promptly notify (I) Holdings, any Intermediate Parent, the Borrower or any of their respective Subsidiaries of the Discounted Prepayment Effective Date and Acceptable Prepayment Amount comprising the Discounted Term Loan Prepayment and the tranches to be prepaid, (II) each Term Lender who made a Solicited Discounted Prepayment Offer of the Discounted Prepayment Effective Date, the Acceptable Discount, and the Acceptable Prepayment Amount of all Term Loans and the tranches to be prepaid to be prepaid at the Applicable Discount on such date, (III) 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pStyle w:val="TextBody"/>
        <w:bidi w:val="0"/>
        <w:spacing w:before="2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(E)In connection with any Discounted Term Loan Prepayment, Holdings, any Intermediate Parent, the Borrower or any of their respective Subsidiaries and the Lenders acknowledge and agree that the Auction Agent may require as a condition to any Discounted Term Loan Prepayment, the payment of reasonable and customary fees and expenses from Holdings, any Intermediate Parent, the Borrower or any of their respective Subsidiaries in connection therewith.</w:t>
      </w:r>
    </w:p>
    <w:p>
      <w:pPr>
        <w:pStyle w:val="TextBody"/>
        <w:bidi w:val="0"/>
        <w:spacing w:before="12" w:after="283"/>
        <w:jc w:val="left"/>
        <w:rPr/>
      </w:pPr>
      <w:r>
        <w:rPr/>
      </w:r>
    </w:p>
    <w:p>
      <w:pPr>
        <w:pStyle w:val="TextBody"/>
        <w:bidi w:val="0"/>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(F)If any Term Loan is prepaid in accordance with paragraphs (B) through (D) above, Holdings, any Intermediate Parent, the Borrower or any of their respective Subsidiaries shall prepay such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51155"/>
                <wp:effectExtent l="0" t="0" r="0" b="0"/>
                <wp:wrapNone/>
                <wp:docPr id="174" name="Frame17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Term Loans on the Discounted Prepayment Effective Date. Holdings, any Intermediate Parent, the Borrower or any of their respective Subsidiaries shall make such prepayment to the Auction Agent, for the account of the Discount Prepayment Accepting Lenders, Participating Lenders, or Qualifying Lenders, as applicable, at the First Lien Administrative Agent’s Office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Section 2.11(a)(ii)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pStyle w:val="TextBody"/>
        <w:bidi w:val="0"/>
        <w:spacing w:before="16"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(G)To the extent not expressly provided for herein, each Discounted Term Loan Prepayment shall be consummated pursuant to procedures consistent with the provisions in this Section 2.11(a)(ii), established by the Auction Agent acting in its reasonable discretion and as reasonably agreed by Holdings, any Intermediate Parent, the Borrower or any of their respective Subsidiaries.</w:t>
      </w:r>
    </w:p>
    <w:p>
      <w:pPr>
        <w:pStyle w:val="TextBody"/>
        <w:bidi w:val="0"/>
        <w:spacing w:before="0" w:after="0"/>
        <w:jc w:val="both"/>
        <w:rPr/>
      </w:pPr>
      <w:r>
        <w:rPr/>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 xml:space="preserve">(H)Notwithstanding anything in any First Lien Loan Document to the contrary, for purposes of this Section 2.11(a)(ii),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any notice or communication actually received outside of normal business hours shall be deemed to have been given as of the opening of business on the next Business Day.</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(I)Each of Holdings, any Intermediate Parent, the Borrower or any of their respective Subsidiaries and the Lenders acknowledges and agrees that the Auction Agent may perform any and all of its duties under this Section 2.11(a)(ii)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their respective activities in connection with any Discounted Term Loan Prepayment provided for in this Section 2.11(a)(ii) as well as activities of the Auction Agent.</w:t>
      </w:r>
    </w:p>
    <w:p>
      <w:pPr>
        <w:pStyle w:val="TextBody"/>
        <w:bidi w:val="0"/>
        <w:spacing w:before="12"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(J)Holdings, any Intermediate Parent, the Borrower or any of their respective Subsidiaries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Discount Range Prepayment Response Date or Solicited Discounted Prepayment Response Date, as applicable (and if such offer is revoked pursuant to the preceding clauses, any failure by the Borrower to make any prepayment to a Term Lender, as applicable, pursuant to this Section 2.11(a)(ii) shall not constitute a Default or Event of Default under Section 7.01 or otherwise).</w:t>
      </w:r>
    </w:p>
    <w:p>
      <w:pPr>
        <w:pStyle w:val="TextBody"/>
        <w:bidi w:val="0"/>
        <w:spacing w:before="13"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(b)In the event and on each occasion that the aggregate Revolving Exposures of any Class exceed the aggregate Revolving Commitments of such Class, the Borrower shall prepay Revolving Borrowings or Swingline Loans of such Class (or, if no such Borrowings are outstanding, deposit cash collateral in an account with a depositary bank that is a Lender reasonably satisfactory to the First Lien Collateral Agent pursuant to Section 2.05(j)) in an aggregate amount necessary to eliminate such excess.</w:t>
      </w:r>
    </w:p>
    <w:p>
      <w:pPr>
        <w:pStyle w:val="TextBody"/>
        <w:bidi w:val="0"/>
        <w:spacing w:before="12"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(c)In the event and on each occasion that any Net Proceeds are received by or on behalf of the Borrower or its Restricted Subsidiaries in respect of any Prepayment Event described in clause (a)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51155"/>
                <wp:effectExtent l="0" t="0" r="0" b="0"/>
                <wp:wrapNone/>
                <wp:docPr id="175" name="Frame1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pPr>
      <w:r>
        <w:rPr>
          <w:rFonts w:ascii="Times New Roman;sans-serif" w:hAnsi="Times New Roman;sans-serif"/>
          <w:b w:val="false"/>
          <w:color w:val="000000"/>
          <w:sz w:val="20"/>
        </w:rPr>
        <w:t xml:space="preserve">definition thereof, the Borrower shall, within five (5) Business Days after such Net Proceeds are received (or, in the case of a Prepayment Event described in clause (b) of the definition of “Prepayment Event,” on the date of such Prepayment Event), prepay Term Borrowings in an aggregate amount equal to the Asset Sale Percentage of such Net Proceeds;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in the case of any event described in clause (a) of the definition of the term “Prepayment Event”, if the Borrower or any of the Restricted Subsidiaries invest (or commit to invest) the Net Proceeds from such event (or a portion thereof) within 12 months after receipt of such Net Proceeds in the business of the Borrower and the other Subsidiaries (including any acquisitions permitted under Section 6.04),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18-month period (or if committed to be so invested within such 18-month period, have not been so invested within 24 months after receipt thereof), at which time a prepayment shall be required in an amount equal to such Net Proceeds that have not been so invested (or committed to be invested);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 xml:space="preserve">that the Borrower may use a portion of such Net Proceeds to prepay or repurchase any other Indebtedness that is secured by the Collateral on a </w:t>
      </w:r>
      <w:r>
        <w:rPr>
          <w:rFonts w:ascii="Times New Roman;sans-serif" w:hAnsi="Times New Roman;sans-serif"/>
          <w:b w:val="false"/>
          <w:color w:val="000000"/>
          <w:sz w:val="20"/>
          <w:u w:val="single"/>
        </w:rPr>
        <w:t>pari</w:t>
      </w:r>
      <w:r>
        <w:rPr>
          <w:color w:val="000000"/>
        </w:rPr>
        <w:t xml:space="preserve"> </w:t>
      </w:r>
      <w:r>
        <w:rPr>
          <w:rFonts w:ascii="Times New Roman;sans-serif" w:hAnsi="Times New Roman;sans-serif"/>
          <w:b w:val="false"/>
          <w:color w:val="000000"/>
          <w:sz w:val="20"/>
          <w:u w:val="single"/>
        </w:rPr>
        <w:t>passu</w:t>
      </w:r>
      <w:r>
        <w:rPr>
          <w:color w:val="000000"/>
        </w:rPr>
        <w:t xml:space="preserve"> </w:t>
      </w:r>
      <w:r>
        <w:rPr>
          <w:rFonts w:ascii="Times New Roman;sans-serif" w:hAnsi="Times New Roman;sans-serif"/>
          <w:b w:val="false"/>
          <w:color w:val="000000"/>
          <w:sz w:val="20"/>
        </w:rPr>
        <w:t>basis with the Secured Obligations to the extent such other Indebtedness and the Liens securing the same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w:t>
      </w:r>
    </w:p>
    <w:p>
      <w:pPr>
        <w:pStyle w:val="TextBody"/>
        <w:bidi w:val="0"/>
        <w:spacing w:before="0" w:after="0"/>
        <w:jc w:val="both"/>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 xml:space="preserve">(d)Following the end of each fiscal year of the Borrower, commencing with the fiscal year ending December 31, 2024, the Borrower shall prepay Term Borrowings in an aggregate amount equal to the ECF Percentage of Excess Cash Flow for such fiscal year;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such amount shall, at the option of the Borrower, be reduced on a dollar-for-dollar basis for such fiscal year by:</w:t>
      </w:r>
    </w:p>
    <w:p>
      <w:pPr>
        <w:pStyle w:val="TextBody"/>
        <w:bidi w:val="0"/>
        <w:spacing w:before="12" w:after="283"/>
        <w:jc w:val="left"/>
        <w:rPr/>
      </w:pPr>
      <w:r>
        <w:rPr/>
      </w:r>
    </w:p>
    <w:p>
      <w:pPr>
        <w:pStyle w:val="TextBody"/>
        <w:bidi w:val="0"/>
        <w:spacing w:lineRule="auto" w:line="288" w:before="0" w:after="0"/>
        <w:ind w:left="0" w:right="0" w:firstLine="818"/>
        <w:jc w:val="both"/>
        <w:rPr/>
      </w:pPr>
      <w:r>
        <w:rPr>
          <w:rFonts w:ascii="Times New Roman;sans-serif" w:hAnsi="Times New Roman;sans-serif"/>
          <w:b w:val="false"/>
          <w:color w:val="000000"/>
          <w:sz w:val="20"/>
        </w:rPr>
        <w:t>(i)the aggregate amount of prepayments and repurchases of (A) Term Loans (and, to the extent the Revolving Commitments are reduced in a corresponding amount pursuant to Section 2.08, Revolving Loans) made pursuant to Section 2.11(a) or otherwise in a manner not prohibited by Section 9.04(g) during such fiscal year or after such fiscal year and on or prior to the time such prepayment is due (without duplication to subsequent years) as provided below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such reduction as a result of prepayments pursuant to clause (ii) thereof shall (x) be limited to the actual amount of such cash prepayment and (y) only be applicable if the applicable prepayment offer was made to all Lenders) and (B) other Consolidated Senior Secured First Lien Net Indebtedness (provided that in the case of the prepayment of any revolving commitments, there is a corresponding reduction in commitments) (excluding all such prepayments funded with the proceeds of other Indebtedness (other than the Revolving Loans) or the issuance of Equity Interests). Each prepayment pursuant to this paragraph shall be made on or before the date that is ten (10) days after the date on which financial statements are required to be delivered pursuant to Section 5.01 with respect to the fiscal year for which Excess Cash Flow is being calculated;</w:t>
      </w:r>
    </w:p>
    <w:p>
      <w:pPr>
        <w:pStyle w:val="TextBody"/>
        <w:bidi w:val="0"/>
        <w:spacing w:before="15" w:after="283"/>
        <w:jc w:val="left"/>
        <w:rPr/>
      </w:pPr>
      <w:r>
        <w:rPr/>
      </w:r>
    </w:p>
    <w:p>
      <w:pPr>
        <w:pStyle w:val="TextBody"/>
        <w:bidi w:val="0"/>
        <w:spacing w:lineRule="auto" w:line="288" w:before="0" w:after="0"/>
        <w:ind w:left="0" w:right="0" w:firstLine="763"/>
        <w:jc w:val="both"/>
        <w:rPr>
          <w:rFonts w:ascii="Times New Roman;sans-serif" w:hAnsi="Times New Roman;sans-serif"/>
          <w:b w:val="false"/>
          <w:color w:val="000000"/>
          <w:sz w:val="20"/>
        </w:rPr>
      </w:pPr>
      <w:r>
        <w:rPr>
          <w:rFonts w:ascii="Times New Roman;sans-serif" w:hAnsi="Times New Roman;sans-serif"/>
          <w:b w:val="false"/>
          <w:color w:val="000000"/>
          <w:sz w:val="20"/>
        </w:rPr>
        <w:t>(ii)without duplication of amounts deducted pursuant to clause (v) below in prior fiscal years, the amount of capital expenditures made in cash or accrued during such fiscal year or after such fiscal year and on or prior to the 90th day after the end of such fiscal year, except to the extent that such capital expenditures were financed with the proceeds of long-term Indebtedness of the Borrower or the Restricted Subsidiaries (other than the Revolving Loans);</w:t>
      </w:r>
    </w:p>
    <w:p>
      <w:pPr>
        <w:pStyle w:val="TextBody"/>
        <w:bidi w:val="0"/>
        <w:spacing w:before="12" w:after="283"/>
        <w:jc w:val="left"/>
        <w:rPr/>
      </w:pPr>
      <w:r>
        <w:rPr/>
      </w:r>
    </w:p>
    <w:p>
      <w:pPr>
        <w:pStyle w:val="TextBody"/>
        <w:bidi w:val="0"/>
        <w:spacing w:lineRule="auto" w:line="288" w:before="0" w:after="0"/>
        <w:ind w:left="0" w:right="0" w:firstLine="708"/>
        <w:jc w:val="both"/>
        <w:rPr>
          <w:rFonts w:ascii="Times New Roman;sans-serif" w:hAnsi="Times New Roman;sans-serif"/>
          <w:b w:val="false"/>
          <w:color w:val="000000"/>
          <w:sz w:val="20"/>
        </w:rPr>
      </w:pPr>
      <w:r>
        <w:rPr>
          <w:rFonts w:ascii="Times New Roman;sans-serif" w:hAnsi="Times New Roman;sans-serif"/>
          <w:b w:val="false"/>
          <w:color w:val="000000"/>
          <w:sz w:val="20"/>
        </w:rPr>
        <w:t>(iii)without duplication of amounts deducted pursuant to clause (v) below in prior fiscal years, the amount of Investments (other than Investments in Permitted Investments) and acquisitions not prohibited by this Agreement and made during such fiscal year or after such fiscal year and on or prior to the 90th day after the end of such fiscal year, except to the extent that such Investments and acquisitions were financed with the proceeds of long-term Indebtedness of the Borrower or the Restricted Subsidiaries (other than the Revolving Loans);</w:t>
      </w:r>
    </w:p>
    <w:p>
      <w:pPr>
        <w:pStyle w:val="TextBody"/>
        <w:bidi w:val="0"/>
        <w:spacing w:before="12" w:after="283"/>
        <w:jc w:val="left"/>
        <w:rPr/>
      </w:pPr>
      <w:r>
        <w:rPr/>
      </w:r>
    </w:p>
    <w:p>
      <w:pPr>
        <w:pStyle w:val="TextBody"/>
        <w:bidi w:val="0"/>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(iv)without duplication of amounts deducted pursuant to clause (v) below in prior fiscal years, the amount of dividends and other Restricted Payments (including the amount of Tax Distributions made by the Borrower to the extent not deducted in arriving at Consolidated Net Income) paid in cash during such period or after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51155"/>
                <wp:effectExtent l="0" t="0" r="0" b="0"/>
                <wp:wrapNone/>
                <wp:docPr id="176" name="Frame1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such fiscal year and on or prior to the 90th day after the end of such fiscal year, except to the extent that such dividends and Restricted Payments were financed with the proceeds of long-term Indebtedness of the Borrower or the Restricted Subsidiaries (other than the Revolving Loans); and</w:t>
      </w:r>
    </w:p>
    <w:p>
      <w:pPr>
        <w:pStyle w:val="TextBody"/>
        <w:bidi w:val="0"/>
        <w:spacing w:before="13" w:after="283"/>
        <w:jc w:val="left"/>
        <w:rPr/>
      </w:pPr>
      <w:r>
        <w:rPr/>
      </w:r>
    </w:p>
    <w:p>
      <w:pPr>
        <w:pStyle w:val="TextBody"/>
        <w:bidi w:val="0"/>
        <w:spacing w:lineRule="auto" w:line="288" w:before="60" w:after="283"/>
        <w:ind w:left="0" w:right="0" w:firstLine="775"/>
        <w:jc w:val="both"/>
        <w:rPr/>
      </w:pPr>
      <w:r>
        <w:rPr>
          <w:rFonts w:ascii="Times New Roman;sans-serif" w:hAnsi="Times New Roman;sans-serif"/>
          <w:b w:val="false"/>
          <w:color w:val="000000"/>
          <w:sz w:val="20"/>
        </w:rPr>
        <w:t>(v)without duplication of amounts deducted in prior periods, (A) the aggregate consideration required to be paid in cash by the Borrower or any of the Restricted Subsidiaries pursuant to binding contracts, commitments, letters of intent or purchase orders (the “</w:t>
      </w:r>
      <w:r>
        <w:rPr>
          <w:rFonts w:ascii="Times New Roman;sans-serif" w:hAnsi="Times New Roman;sans-serif"/>
          <w:b w:val="false"/>
          <w:color w:val="000000"/>
          <w:sz w:val="20"/>
          <w:u w:val="single"/>
        </w:rPr>
        <w:t>Contract Consideration</w:t>
      </w:r>
      <w:r>
        <w:rPr>
          <w:color w:val="000000"/>
        </w:rPr>
        <w:t>”</w:t>
      </w:r>
      <w:r>
        <w:rPr>
          <w:rFonts w:ascii="Times New Roman;sans-serif" w:hAnsi="Times New Roman;sans-serif"/>
          <w:b w:val="false"/>
          <w:color w:val="000000"/>
          <w:sz w:val="20"/>
        </w:rPr>
        <w:t>), in each case, entered into prior to or during such fiscal year and (B) to the extent set forth in a certificate of a Financial Officer delivered to the First Lien Administrative Agent at or before the time the Compliance Certificate for such fiscal year is required to be delivered pursuant to Section 5.01(d), the aggregate amount of cash that is reasonably expected to be paid in respect of planned cash expenditures by the Borrower or any of the Restricted Subsidiaries (the “</w:t>
      </w:r>
      <w:r>
        <w:rPr>
          <w:rFonts w:ascii="Times New Roman;sans-serif" w:hAnsi="Times New Roman;sans-serif"/>
          <w:b w:val="false"/>
          <w:color w:val="000000"/>
          <w:sz w:val="20"/>
          <w:u w:val="single"/>
        </w:rPr>
        <w:t>Planned Expenditures</w:t>
      </w:r>
      <w:r>
        <w:rPr>
          <w:color w:val="000000"/>
        </w:rPr>
        <w:t>”</w:t>
      </w:r>
      <w:r>
        <w:rPr>
          <w:rFonts w:ascii="Times New Roman;sans-serif" w:hAnsi="Times New Roman;sans-serif"/>
          <w:b w:val="false"/>
          <w:color w:val="000000"/>
          <w:sz w:val="20"/>
        </w:rPr>
        <w:t xml:space="preserve">), in the case of each of clauses (A) and (B), relating to Permitted Acquisitions, other Investments (other than Investments in Permitted Investments), capital expenditures (including Capitalized Software Expenditures or other purchases of Intellectual Property) or Restricted Payments to be consummated or made during a subsequent fiscal year (and in the case of Planned Expenditures, the subsequent fiscal year);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to the extent the aggregate amount of cash actually utilized to finance such Permitted Acquisitions, Investments, capital expenditures or Restricted Payments during such subsequent fiscal year (excluding any cash from the proceeds of long-term Indebtedness of the Borrower or the Restricted Subsidiaries (other than the Revolving Loans)) is less than the Contract Consideration and Planned Expenditures, the amount of such shortfall shall be added to the calculation of Excess Cash Flow at the end of such subsequent fiscal year. Notwithstanding anything to the foregoing, at the Borrower’s option, any voluntary prepayments, capital expenditures, Investments, acquisitions, dividends and other Restricted Payments under clauses (i) through (iv) above that have not been applied to reduce the payments which may be due from time to time pursuant to this Section 2.11(d) shall be carried over to subsequent periods, and may reduce the payments due from time to time pursuant to this Section 2.11(d) during such subsequent periods (until such time as such voluntary prepayments, capital expenditures, Investments, acquisitions, dividends and other Restricted Payments are so applied to reduce such payments which may be due from time to time). The Borrower or any Restricted Subsidiary, as the case may be, may elect to invest in the Borrower and its Subsidiaries prior to receiving the Net Proceeds attributable to any given Disposition (provided that such investment shall be made no earlier than earliest of notice to the First Lien Administrative Agent, execution of the definitive agreement for the Disposition that generated such Net Proceeds and consummation of such Disposition) and deem the amount so invested to be applied pursuant to and in accordance with clause (b) above with respect to such Disposition.</w:t>
      </w:r>
    </w:p>
    <w:p>
      <w:pPr>
        <w:pStyle w:val="TextBody"/>
        <w:bidi w:val="0"/>
        <w:spacing w:before="15" w:after="283"/>
        <w:jc w:val="left"/>
        <w:rPr/>
      </w:pPr>
      <w:r>
        <w:rPr/>
      </w:r>
    </w:p>
    <w:p>
      <w:pPr>
        <w:pStyle w:val="TextBody"/>
        <w:bidi w:val="0"/>
        <w:spacing w:lineRule="auto" w:line="288"/>
        <w:ind w:left="0" w:right="0" w:firstLine="1440"/>
        <w:jc w:val="left"/>
        <w:rPr/>
      </w:pPr>
      <w:r>
        <w:rPr>
          <w:rFonts w:ascii="Times New Roman;sans-serif" w:hAnsi="Times New Roman;sans-serif"/>
          <w:b w:val="false"/>
          <w:color w:val="000000"/>
          <w:sz w:val="20"/>
        </w:rPr>
        <w:t xml:space="preserve">(e)Prior to any optional prepayment of Borrowings pursuant to Section 2.11(a)(i), the Borrower shall select the Borrowing or Borrowings to be prepaid and shall specify such selection in the notice of such prepayment pursuant to paragraph (f) of this Section 2.11. In the event of any optional prepayment of Revolving Borrowings, the Borrower shall select Revolving Borrowings to be prepaid so that the aggregate amount of such prepayment is allocated between Revolving Borrowings (and, to the extent provided in the Refinancing Amendment for any Class of Other Revolving Loans, the Borrowings of such Class) pro rata based on the aggregate principal amount of outstanding Borrowings of each such Class.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First Lien Term Loans, the Borrowings of such Class) pro rata based on the aggregate principal amount of outstanding Borrowings of each such Class;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any Term Lender (and, to the extent provided in the Refinancing Amendment or Loan Modification Agreement for any Class of Other Term Loans, any Lender that holds Other Term Loans of such Class) may elect, by notice to the First Lien Administrative Agent by telephone (confirmed by facsimile) at least two (2) Business Days prior to the prepayment date, to decline all or any portion of any prepayment of its Term Loans or Other Term Loans of any such Class pursuant to this Section 2.11 (other than an optional prepayment pursuant to paragraph (a)(i) of this Section or a mandatory prepayment as a result of the Prepayment Event set forth in clause (b) of the definition thereof, which may not be declined), in which case the aggregate amount of the prepayment that would have been applied to prepay Term Loans or Other Term Loans of any such Class but was so declined (and not used pursuant to the immediately following sentence) shall be retained by the Borrower (such amounts, “</w:t>
      </w:r>
      <w:r>
        <w:rPr>
          <w:rFonts w:ascii="Times New Roman;sans-serif" w:hAnsi="Times New Roman;sans-serif"/>
          <w:b w:val="false"/>
          <w:color w:val="000000"/>
          <w:sz w:val="20"/>
          <w:u w:val="single"/>
        </w:rPr>
        <w:t>Retained Declined Proceeds</w:t>
      </w:r>
      <w:r>
        <w:rPr>
          <w:color w:val="000000"/>
        </w:rPr>
        <w:t>”</w:t>
      </w:r>
      <w:r>
        <w:rPr>
          <w:rFonts w:ascii="Times New Roman;sans-serif" w:hAnsi="Times New Roman;sans-serif"/>
          <w:b w:val="false"/>
          <w:color w:val="000000"/>
          <w:sz w:val="20"/>
        </w:rPr>
        <w:t xml:space="preserve">). An amount equal to any portion of a mandatory prepayment of Term Borrowings that is declined by the Lenders under this Section 2.11(e) may, to the extent not prohibited hereunder or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51155"/>
                <wp:effectExtent l="0" t="0" r="0" b="0"/>
                <wp:wrapNone/>
                <wp:docPr id="177" name="Frame1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20"/>
        </w:rPr>
        <w:t xml:space="preserve">documentation governing the Senior Secured Notes or First Lien Pari Passu Intercreditor Agreement (if applicable), be applied by the Borrower to redeem the Senior Secured Notes (and Permitted Refinancings thereof) pursuant to the Senior Secured Notes Documents to the extent then outstanding and/or (at the Borrower’s election) Permitted Second Priority Refinancing Debt. Optional prepayments of Term Borrowings shall be allocated among the Classes of Term Borrowings as directed by the Borrower. In the absence of a designation by the Borrower as described in the preceding provisions of this paragraph of the Type of Borrowing of any Class, the First Lien Administrative Agent shall make such designation in its reasonable discretion with a view, but no obligation, to minimize breakage costs owing under Section 2.16 and shall be applied in direct order of maturity;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in connection with any mandatory prepayments by the Borrower of the Term Loans pursuant to Section 2.11(c) or (d), such prepayments shall be applied on a pro rata basis to the then outstanding Term Loans being prepaid irrespective of whether such outstanding Term Loans are ABR Loans or Term Benchmark Loans.</w:t>
      </w:r>
    </w:p>
    <w:p>
      <w:pPr>
        <w:pStyle w:val="TextBody"/>
        <w:bidi w:val="0"/>
        <w:spacing w:before="24"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0"/>
        </w:rPr>
        <w:t xml:space="preserve">(f)The Borrower shall notify the First Lien Administrative Agent (and, in the case of prepayment of a Swingline Loan, the Swingline Lender) of any optional prepayment pursuant to Section 2.11(a)(i) by telephone (confirmed by facsimile) of any prepayment hereunder (i) in the case of prepayment of a Term Benchmark Borrowing or RFR Borrowing denominated in Dollars or Canadian Dollars, not later than 11:00 a.m., New York City time, three (3) Business Days before the date of prepayment (or, in the sole discretion of the First Lien Administrative Agent, one (1) Business Day), (ii) in the case of prepayment of an ABR Borrowing, not later than 11:00 a.m., New York City time, one (1) Business Day before the date of prepayment, (iii) in the case of prepayment of a SONIA Borrowing, not later than 11:00 a.m., London, England time, five (5) Business Days before the date of prepayment (or, in the sole discretion of the First Lien Administrative Agent, one (1) Business Day) or (iv) in the case of a prepayment of Term Benchmark Borrowing denominated in Euro, not later than 12:00 p.m., New York City time, three (3) Business Days before the date of prepayment. Each such notice shall be irrevocable and shall specify the prepayment date and the principal amount of each Borrowing or portion thereof to be prepaid and, in the case of a mandatory prepayment, a reasonably detailed calculation of the amount of such prepayment;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 notice of optional prepayment may state that such notice is conditional upon the effectiveness of other credit facilities or the receipt of the proceeds from the issuance of other Indebtedness or the occurrence of some other identifiable and specified event or condition, in which case such notice of prepayment may be revoked by the Borrower (by notice to the First Lien Administrative Agent on or prior to the specified date of prepayment) if such condition is not satisfied. Promptly following receipt of any such notice (other than a notice relating solely to Swingline Loans), the First Lien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 and subject to Section 2.11(a)(i), shall be without premium or penalty. At the Borrower’s election in connection with any prepayment pursuant to this Section 2.11, such prepayment shall not be applied to any Term Loan or Revolving Loan of a Defaulting Lender (under any of subclauses (a), (b) or (c) of the definition of “Defaulting Lender”) and shall be allocated ratably among the relevant non-Defaulting Lenders.</w:t>
      </w:r>
    </w:p>
    <w:p>
      <w:pPr>
        <w:pStyle w:val="TextBody"/>
        <w:bidi w:val="0"/>
        <w:spacing w:before="17" w:after="283"/>
        <w:jc w:val="left"/>
        <w:rPr/>
      </w:pPr>
      <w:r>
        <w:rPr/>
      </w:r>
    </w:p>
    <w:p>
      <w:pPr>
        <w:pStyle w:val="TextBody"/>
        <w:bidi w:val="0"/>
        <w:spacing w:lineRule="auto" w:line="288" w:before="1" w:after="283"/>
        <w:ind w:left="0" w:right="0" w:firstLine="1440"/>
        <w:jc w:val="left"/>
        <w:rPr/>
      </w:pPr>
      <w:r>
        <w:rPr>
          <w:rFonts w:ascii="Times New Roman;sans-serif" w:hAnsi="Times New Roman;sans-serif"/>
          <w:b w:val="false"/>
          <w:color w:val="000000"/>
          <w:sz w:val="20"/>
        </w:rPr>
        <w:t>(g)Notwithstanding any other provisions of Section 2.11(c) or (d), (A) to the extent that any of or all the Net Proceeds of any Prepayment Event by or Excess Cash Flow of a Subsidiary of the Borrower that is organized under the laws of a jurisdiction other than the United States, any state, commonwealth or territory thereof or the District of Columbia, giving rise to a prepayment pursuant to Section 2.11(c) or (d) (a “</w:t>
      </w:r>
      <w:r>
        <w:rPr>
          <w:rFonts w:ascii="Times New Roman;sans-serif" w:hAnsi="Times New Roman;sans-serif"/>
          <w:b w:val="false"/>
          <w:color w:val="000000"/>
          <w:sz w:val="20"/>
          <w:u w:val="single"/>
        </w:rPr>
        <w:t>Restricted Prepayment Event</w:t>
      </w:r>
      <w:r>
        <w:rPr>
          <w:color w:val="000000"/>
        </w:rPr>
        <w:t>”</w:t>
      </w:r>
      <w:r>
        <w:rPr>
          <w:rFonts w:ascii="Times New Roman;sans-serif" w:hAnsi="Times New Roman;sans-serif"/>
          <w:b w:val="false"/>
          <w:color w:val="000000"/>
          <w:sz w:val="20"/>
        </w:rPr>
        <w:t xml:space="preserve">) are prohibited or delayed by applicable local law from being repatriated to the Borrower, the portion of such Net Proceeds or Excess Cash Flow so affected will not be required to be taken into account in determining the amount to be applied to repay Term Loans at the times provided in Section 2.11(c) or (d), as the case may be, and such amounts may be retained by such Subsidiary so long, but only so long, as the Borrower determined in good faith that the applicable local law will not permit repatriation to the Borrower, and once the Borrower has determined in good faith that such repatriation of any of such affected Net Proceeds or Excess Cash Flow is permitted under the applicable local law, such repatriation will be effected as soon as practicable and such repatriated Net Proceeds or Excess Cash Flow will be taken into account in determining the amount to be applied (net of additional taxes payable or reserved if such amounts were repatriated) to the repayment of the Term Loans pursuant to Section 2.11(c) or (d), as applicable, (B) to the extent that and for so long as the Borrower has determined in good faith that repatriation of any of or all the Net Proceeds of any Restricted Prepayment Event or Excess Cash Flow would have a material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51155"/>
                <wp:effectExtent l="0" t="0" r="0" b="0"/>
                <wp:wrapNone/>
                <wp:docPr id="178" name="Frame17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left"/>
        <w:rPr/>
      </w:pPr>
      <w:r>
        <w:rPr>
          <w:rFonts w:ascii="Times New Roman;sans-serif" w:hAnsi="Times New Roman;sans-serif"/>
          <w:b w:val="false"/>
          <w:color w:val="000000"/>
          <w:sz w:val="20"/>
        </w:rPr>
        <w:t xml:space="preserve">adverse tax or cost consequence with respect to such Net Proceeds or Excess Cash Flow,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when the Borrower determines in good faith that repatriation of any of or all the Net Proceeds of any Restricted Prepayment Event or Excess Cash Flow would no longer have a material adverse tax consequence with respect to such Net Proceeds or Excess Cash Flow, such Net Proceeds or Excess Cash Flow shall be taken into account in determining the amount to be applied (net of additional taxes payable or reserved against as a result thereof) to the repayment of the Term Loans pursuant to Section 2.11(c) or Section 2.11(d), as applicable, and (C) to the extent that and for so long as the Borrower has determined in good faith that repatriation of any of or all the Net Proceeds of any Restricted Prepayment Event or Excess Cash Flow would give rise to a risk of liability for the directors of such Subsidiary,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w:t>
      </w:r>
    </w:p>
    <w:p>
      <w:pPr>
        <w:pStyle w:val="TextBody"/>
        <w:bidi w:val="0"/>
        <w:spacing w:before="0" w:after="0"/>
        <w:jc w:val="left"/>
        <w:rPr/>
      </w:pPr>
      <w:r>
        <w:rPr/>
      </w:r>
    </w:p>
    <w:p>
      <w:pPr>
        <w:pStyle w:val="TextBody"/>
        <w:bidi w:val="0"/>
        <w:spacing w:lineRule="auto" w:line="288" w:before="60" w:after="283"/>
        <w:jc w:val="left"/>
        <w:rPr/>
      </w:pPr>
      <w:r>
        <w:rPr>
          <w:rFonts w:ascii="Times New Roman;sans-serif" w:hAnsi="Times New Roman;sans-serif"/>
          <w:b w:val="false"/>
          <w:color w:val="000000"/>
          <w:sz w:val="20"/>
        </w:rPr>
        <w:t>SECTION 2.12    </w:t>
      </w:r>
      <w:r>
        <w:rPr>
          <w:rFonts w:ascii="Times New Roman;sans-serif" w:hAnsi="Times New Roman;sans-serif"/>
          <w:b w:val="false"/>
          <w:color w:val="000000"/>
          <w:sz w:val="20"/>
          <w:u w:val="single"/>
        </w:rPr>
        <w:t>Fees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(a)The Borrower agrees to pay to the First Lien Administrative Agent in Dollars for the account of each Revolving Lender a commitment fee, which shall accrue at the rate of the Commitment Fee Percentage per annum on the average daily unused amount of the Revolving Commitment of such Lender during the period from and including the Effective Date to but excluding the date on which the Revolving Commitments terminate. Accrued commitment fees shall be payable in arrears on the third Business Day following the last day of March, June, September and December of each year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w:t>
      </w:r>
    </w:p>
    <w:p>
      <w:pPr>
        <w:pStyle w:val="TextBody"/>
        <w:bidi w:val="0"/>
        <w:spacing w:before="14"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(b)The Borrower agrees to pay (i) to the First Lien Administrative Agent in Dollars for the account of each Revolving Lender (other than any Defaulting Lender) a participation fee with respect to its participations in Letters of Credit, which shall accrue at the Applicable Rate used to determine the interest rate applicable to Term Benchmark Revolving Loans on the daily amount of such Lender’s LC Exposure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on which such Lender’s Revolving Commitment terminates and the date on which such Lender ceases to have any LC Exposure, and (ii) to each Issuing Bank in Dollars a fronting fee (which fee shall be calculated by the First Lien Administrative Agent in consultation with the applicable Issuing Bank), which shall accrue at the rate to be agreed by each Issuing Bank, not to be greater than 0.125% per annum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the last day of March, June, September and December, respectively, commencing on the first such date to occur after the Effective Date;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before="2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51155"/>
                <wp:effectExtent l="0" t="0" r="0" b="0"/>
                <wp:wrapNone/>
                <wp:docPr id="179" name="Frame17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(c)The Borrower agrees to pay to the First Lien Administrative Agent, for its own account, fees payable in the amounts and at the times separately agreed upon between the Borrower and the First Lien Administrative Agent.</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(d)Notwithstanding the foregoing, and subject to Section 2.22, the Borrower shall not be obligated to pay any amounts to any Defaulting Lender pursuant to this Section 2.12.</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2.13    </w:t>
      </w:r>
      <w:r>
        <w:rPr>
          <w:rFonts w:ascii="Times New Roman;sans-serif" w:hAnsi="Times New Roman;sans-serif"/>
          <w:b w:val="false"/>
          <w:color w:val="000000"/>
          <w:sz w:val="20"/>
          <w:u w:val="single"/>
        </w:rPr>
        <w:t>Interest</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(a)The Term Loans comprising each ABR Borrowing shall bear interest at the rate set forth in clause (b)(i) of the definition of “Applicable Rate”. The Revolving Loans comprising each ABR Borrowing (including each Swingline Loan) denominated in Dollars or Canadian Dollars shall bear interest at the rate set forth in clause (d)(i) and (e)(i) of the definition of “Applicable Rate”, as applicable.</w:t>
      </w:r>
    </w:p>
    <w:p>
      <w:pPr>
        <w:pStyle w:val="TextBody"/>
        <w:bidi w:val="0"/>
        <w:spacing w:before="0" w:after="0"/>
        <w:jc w:val="both"/>
        <w:rPr/>
      </w:pPr>
      <w:r>
        <w:rPr/>
      </w:r>
    </w:p>
    <w:p>
      <w:pPr>
        <w:pStyle w:val="TextBody"/>
        <w:bidi w:val="0"/>
        <w:spacing w:lineRule="auto" w:line="288" w:before="60" w:after="283"/>
        <w:ind w:left="0" w:right="0" w:firstLine="1440"/>
        <w:jc w:val="left"/>
        <w:rPr/>
      </w:pPr>
      <w:r>
        <w:rPr>
          <w:rFonts w:ascii="Times New Roman;sans-serif" w:hAnsi="Times New Roman;sans-serif"/>
          <w:b w:val="false"/>
          <w:color w:val="000000"/>
          <w:sz w:val="20"/>
        </w:rPr>
        <w:t xml:space="preserve">(b)(i) The Term Loans comprising each Term Benchmark Borrowing shall bear interest at the rate set forth in </w:t>
      </w:r>
      <w:r>
        <w:rPr>
          <w:rFonts w:ascii="Times New Roman;sans-serif" w:hAnsi="Times New Roman;sans-serif"/>
          <w:b w:val="false"/>
          <w:color w:val="000000"/>
          <w:sz w:val="20"/>
          <w:u w:val="single"/>
        </w:rPr>
        <w:t>clause (b)</w:t>
      </w:r>
      <w:r>
        <w:rPr>
          <w:color w:val="000000"/>
        </w:rPr>
        <w:t xml:space="preserve"> </w:t>
      </w:r>
      <w:r>
        <w:rPr>
          <w:rFonts w:ascii="Times New Roman;sans-serif" w:hAnsi="Times New Roman;sans-serif"/>
          <w:b w:val="false"/>
          <w:color w:val="000000"/>
          <w:sz w:val="20"/>
        </w:rPr>
        <w:t xml:space="preserve">of the definition of Applicable Rate, (ii) the Revolving Loans comprising each Term Benchmark Borrowing denominated in (a) Dollars, shall bear interest at the rate set forth in </w:t>
      </w:r>
      <w:r>
        <w:rPr>
          <w:rFonts w:ascii="Times New Roman;sans-serif" w:hAnsi="Times New Roman;sans-serif"/>
          <w:b w:val="false"/>
          <w:color w:val="000000"/>
          <w:sz w:val="20"/>
          <w:u w:val="single"/>
        </w:rPr>
        <w:t>clause (e)(ii)</w:t>
      </w:r>
      <w:r>
        <w:rPr>
          <w:color w:val="000000"/>
        </w:rPr>
        <w:t xml:space="preserve"> </w:t>
      </w:r>
      <w:r>
        <w:rPr>
          <w:rFonts w:ascii="Times New Roman;sans-serif" w:hAnsi="Times New Roman;sans-serif"/>
          <w:b w:val="false"/>
          <w:color w:val="000000"/>
          <w:sz w:val="20"/>
        </w:rPr>
        <w:t xml:space="preserve">of the definition of “Applicable Rate”, (b) Euros shall bear interest at the rate set forth in </w:t>
      </w:r>
      <w:r>
        <w:rPr>
          <w:rFonts w:ascii="Times New Roman;sans-serif" w:hAnsi="Times New Roman;sans-serif"/>
          <w:b w:val="false"/>
          <w:color w:val="000000"/>
          <w:sz w:val="20"/>
          <w:u w:val="single"/>
        </w:rPr>
        <w:t>clause (c)</w:t>
      </w:r>
      <w:r>
        <w:rPr>
          <w:color w:val="000000"/>
        </w:rPr>
        <w:t xml:space="preserve"> </w:t>
      </w:r>
      <w:r>
        <w:rPr>
          <w:rFonts w:ascii="Times New Roman;sans-serif" w:hAnsi="Times New Roman;sans-serif"/>
          <w:b w:val="false"/>
          <w:color w:val="000000"/>
          <w:sz w:val="20"/>
        </w:rPr>
        <w:t xml:space="preserve">of the definition of “Applicable Rate” and (c) Canadian Dollars shall bear interest at the rate set forth in </w:t>
      </w:r>
      <w:r>
        <w:rPr>
          <w:rFonts w:ascii="Times New Roman;sans-serif" w:hAnsi="Times New Roman;sans-serif"/>
          <w:b w:val="false"/>
          <w:color w:val="000000"/>
          <w:sz w:val="20"/>
          <w:u w:val="single"/>
        </w:rPr>
        <w:t>clause (d)(ii)</w:t>
      </w:r>
      <w:r>
        <w:rPr>
          <w:color w:val="000000"/>
        </w:rPr>
        <w:t xml:space="preserve"> </w:t>
      </w:r>
      <w:r>
        <w:rPr>
          <w:rFonts w:ascii="Times New Roman;sans-serif" w:hAnsi="Times New Roman;sans-serif"/>
          <w:b w:val="false"/>
          <w:color w:val="000000"/>
          <w:sz w:val="20"/>
        </w:rPr>
        <w:t xml:space="preserve">of the definition of “Applicable Rate”, (iii) the Revolving Loans comprising each SONIA Borrowing shall bear interest at the rate set forth in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 xml:space="preserve">of the definition of “Applicable Rate”, (iv) the Term Loans comprising each RFR Borrowing denominated in Dollars shall bear interest at the rate set forth in </w:t>
      </w:r>
      <w:r>
        <w:rPr>
          <w:rFonts w:ascii="Times New Roman;sans-serif" w:hAnsi="Times New Roman;sans-serif"/>
          <w:b w:val="false"/>
          <w:color w:val="000000"/>
          <w:sz w:val="20"/>
          <w:u w:val="single"/>
        </w:rPr>
        <w:t>clause (b)</w:t>
      </w:r>
      <w:r>
        <w:rPr>
          <w:color w:val="000000"/>
        </w:rPr>
        <w:t xml:space="preserve"> </w:t>
      </w:r>
      <w:r>
        <w:rPr>
          <w:rFonts w:ascii="Times New Roman;sans-serif" w:hAnsi="Times New Roman;sans-serif"/>
          <w:b w:val="false"/>
          <w:color w:val="000000"/>
          <w:sz w:val="20"/>
        </w:rPr>
        <w:t>of the definition of “Applicable Rate” and</w:t>
      </w:r>
    </w:p>
    <w:p>
      <w:pPr>
        <w:pStyle w:val="TextBody"/>
        <w:bidi w:val="0"/>
        <w:spacing w:lineRule="auto" w:line="288" w:before="4" w:after="283"/>
        <w:jc w:val="left"/>
        <w:rPr/>
      </w:pPr>
      <w:r>
        <w:rPr>
          <w:rFonts w:ascii="Times New Roman;sans-serif" w:hAnsi="Times New Roman;sans-serif"/>
          <w:b w:val="false"/>
          <w:color w:val="000000"/>
          <w:sz w:val="20"/>
        </w:rPr>
        <w:t xml:space="preserve">(v) the Revolving Loans comprising each RFR Borrowing denominated in Dollars shall bear interest at the rate set forth in </w:t>
      </w:r>
      <w:r>
        <w:rPr>
          <w:rFonts w:ascii="Times New Roman;sans-serif" w:hAnsi="Times New Roman;sans-serif"/>
          <w:b w:val="false"/>
          <w:color w:val="000000"/>
          <w:sz w:val="20"/>
          <w:u w:val="single"/>
        </w:rPr>
        <w:t>clause (e)(iii)</w:t>
      </w:r>
      <w:r>
        <w:rPr>
          <w:color w:val="000000"/>
        </w:rPr>
        <w:t xml:space="preserve"> </w:t>
      </w:r>
      <w:r>
        <w:rPr>
          <w:rFonts w:ascii="Times New Roman;sans-serif" w:hAnsi="Times New Roman;sans-serif"/>
          <w:b w:val="false"/>
          <w:color w:val="000000"/>
          <w:sz w:val="20"/>
        </w:rPr>
        <w:t>of the definition of “Applicable Rate”.</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(c)Notwithstanding the foregoing, if upon the occurrence and during the continuance of any Event of Default under paragraph (a), (b), (h) or (i) of Section 7.01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2.13 or (ii) in the case of any other amount, 2.00% per annum plus the rate applicable to ABR Revolving Loans as provided in paragraph (a) of this Section</w:t>
      </w:r>
    </w:p>
    <w:p>
      <w:pPr>
        <w:pStyle w:val="TextBody"/>
        <w:bidi w:val="0"/>
        <w:spacing w:lineRule="auto" w:line="288" w:before="3" w:after="283"/>
        <w:jc w:val="both"/>
        <w:rPr/>
      </w:pPr>
      <w:r>
        <w:rPr>
          <w:rFonts w:ascii="Times New Roman;sans-serif" w:hAnsi="Times New Roman;sans-serif"/>
          <w:b w:val="false"/>
          <w:color w:val="000000"/>
          <w:sz w:val="20"/>
        </w:rPr>
        <w:t xml:space="preserve">2.13;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no amount shall be payable pursuant to this Section 2.13(c) to a Defaulting Lender so long as such Lender shall be a Defaulting Lender;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color w:val="000000"/>
        </w:rPr>
        <w:t xml:space="preserve"> </w:t>
      </w:r>
      <w:r>
        <w:rPr>
          <w:rFonts w:ascii="Times New Roman;sans-serif" w:hAnsi="Times New Roman;sans-serif"/>
          <w:b w:val="false"/>
          <w:color w:val="000000"/>
          <w:sz w:val="20"/>
        </w:rPr>
        <w:t>that no amounts shall accrue pursuant to this Section 2.13(c) on any overdue amount, reimbursement obligation in respect of any LC Disbursement or other amount payable to a Defaulting Lender so long as such Lender shall be a Defaulting Lender.</w:t>
      </w:r>
    </w:p>
    <w:p>
      <w:pPr>
        <w:pStyle w:val="TextBody"/>
        <w:bidi w:val="0"/>
        <w:spacing w:before="12"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(d)Accrued interest on each Loan shall be payable in arrears on each Interest Payment Date for such Loan and, in the case of Revolving Loans, upon termination of the Revolving Commitments,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interest accrued pursuant to paragraph (c) of this Section 2.13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pStyle w:val="TextBody"/>
        <w:bidi w:val="0"/>
        <w:spacing w:before="12"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(e)All interest hereunder shall be computed on the basis of a year of 360 days, except that interest computed by reference to the Alternate Base Rate, the Canadian Base Rate, Term CORRA, or Daily Simple SONIA shall be computed on the basis of a year of 365 days (or 366 days in a leap year), and in each case shall be payable for the actual number of days elapsed (including the first day but excluding the last day). The applicable Alternate Base Rate, Canadian Base Rate, Adjusted Term CORRA Rate, Adjusted EURIBOR, Adjusted Daily Simple SONIA, Adjusted Term SOFR Rate or Adjusted Daily Simple SOFR and shall be determined by the First Lien Administrative Agent, and such determination shall be conclusive absent manifest error.</w:t>
      </w:r>
    </w:p>
    <w:p>
      <w:pPr>
        <w:pStyle w:val="TextBody"/>
        <w:bidi w:val="0"/>
        <w:spacing w:before="13"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51155"/>
                <wp:effectExtent l="0" t="0" r="0" b="0"/>
                <wp:wrapNone/>
                <wp:docPr id="180" name="Frame17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20"/>
        </w:rPr>
        <w:t>SECTION 2.14    </w:t>
      </w:r>
      <w:r>
        <w:rPr>
          <w:rFonts w:ascii="Times New Roman;sans-serif" w:hAnsi="Times New Roman;sans-serif"/>
          <w:b w:val="false"/>
          <w:color w:val="000000"/>
          <w:sz w:val="20"/>
          <w:u w:val="single"/>
        </w:rPr>
        <w:t>Alternate Rate of Interest</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(a)Subject to clauses (b), (c), (d), (e), (f) and (g) of this Section 2.14, if:</w:t>
      </w:r>
    </w:p>
    <w:p>
      <w:pPr>
        <w:pStyle w:val="TextBody"/>
        <w:bidi w:val="0"/>
        <w:spacing w:before="10" w:after="283"/>
        <w:jc w:val="left"/>
        <w:rPr/>
      </w:pPr>
      <w:r>
        <w:rPr/>
      </w:r>
    </w:p>
    <w:p>
      <w:pPr>
        <w:pStyle w:val="TextBody"/>
        <w:bidi w:val="0"/>
        <w:spacing w:lineRule="auto" w:line="288" w:before="0" w:after="0"/>
        <w:ind w:left="0" w:right="0" w:firstLine="991"/>
        <w:jc w:val="both"/>
        <w:rPr>
          <w:rFonts w:ascii="Times New Roman;sans-serif" w:hAnsi="Times New Roman;sans-serif"/>
          <w:b w:val="false"/>
          <w:color w:val="000000"/>
          <w:sz w:val="20"/>
        </w:rPr>
      </w:pPr>
      <w:r>
        <w:rPr>
          <w:rFonts w:ascii="Times New Roman;sans-serif" w:hAnsi="Times New Roman;sans-serif"/>
          <w:b w:val="false"/>
          <w:color w:val="000000"/>
          <w:sz w:val="20"/>
        </w:rPr>
        <w:t>(i)the First Lien Administrative Agent determines (which determination shall be conclusive absent manifest error) (A) at least two (2) Business Days prior to the commencement of any Interest Period for a Term Benchmark Borrowing that adequate and reasonable means do not exist for ascertaining the Adjusted Term SOFR Rate (including because the Term SOFR Reference Rate is not available or published on a current basis), the Adjusted Term CORRA Rate or Adjusted EURIBOR, as applicable, for such Interest Period or (B) at any time, that adequate and reasonable means do not exist for ascertaining the applicable Daily Simple RFR; or</w:t>
      </w:r>
    </w:p>
    <w:p>
      <w:pPr>
        <w:pStyle w:val="TextBody"/>
        <w:bidi w:val="0"/>
        <w:spacing w:before="13" w:after="283"/>
        <w:jc w:val="left"/>
        <w:rPr/>
      </w:pPr>
      <w:r>
        <w:rPr/>
      </w:r>
    </w:p>
    <w:p>
      <w:pPr>
        <w:pStyle w:val="TextBody"/>
        <w:bidi w:val="0"/>
        <w:spacing w:lineRule="auto" w:line="288" w:before="60" w:after="283"/>
        <w:ind w:left="0" w:right="0" w:firstLine="991"/>
        <w:jc w:val="both"/>
        <w:rPr/>
      </w:pPr>
      <w:r>
        <w:rPr>
          <w:rFonts w:ascii="Times New Roman;sans-serif" w:hAnsi="Times New Roman;sans-serif"/>
          <w:b w:val="false"/>
          <w:color w:val="000000"/>
          <w:sz w:val="20"/>
        </w:rPr>
        <w:t>(ii)the First Lien Administrative Agent is advised by the Required Lenders that (A) prior to the commencement of any Interest Period for a Term Benchmark Borrowing, the Adjusted Term SOFR Rate, the Adjusted Term CORRA Rate or Adjusted EURIBOR, as applicable, for such Interest Period will not adequately and fairly reflect the cost to such Lenders of making or maintaining their Loans included in such Borrowing for such Interest Period (in each case with respect to the Loans impacted by this clause (b) or clause (a) above, “</w:t>
      </w:r>
      <w:r>
        <w:rPr>
          <w:rFonts w:ascii="Times New Roman;sans-serif" w:hAnsi="Times New Roman;sans-serif"/>
          <w:b w:val="false"/>
          <w:color w:val="000000"/>
          <w:sz w:val="20"/>
          <w:u w:val="single"/>
        </w:rPr>
        <w:t>Impacted Loans</w:t>
      </w:r>
      <w:r>
        <w:rPr>
          <w:color w:val="000000"/>
        </w:rPr>
        <w:t>”</w:t>
      </w:r>
      <w:r>
        <w:rPr>
          <w:rFonts w:ascii="Times New Roman;sans-serif" w:hAnsi="Times New Roman;sans-serif"/>
          <w:b w:val="false"/>
          <w:color w:val="000000"/>
          <w:sz w:val="20"/>
        </w:rPr>
        <w:t>) or (B) at any time, the applicable Daily Simple RFR will not adequately and fairly reflect the cost to such Lenders (or Lender) of making or maintaining their Loans (or its Loan) included in such Borrowing;</w:t>
      </w:r>
    </w:p>
    <w:p>
      <w:pPr>
        <w:pStyle w:val="TextBody"/>
        <w:bidi w:val="0"/>
        <w:spacing w:before="12"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then the First Lien Administrative Agent shall give notice thereof to the Borrower and the Lenders by telephone or facsimile as promptly as practicable thereafter and, until the First Lien Administrative Agent notifies the Borrower and the Lenders that the circumstances giving rise to such notice no longer exist, (i) in the event any Loans denominated in Dollars or Canadian Dollars are so affected, (x) any Interest Election Request that requests the conversion of any Borrowing in Dollars or Canadian Dollars to, or continuation of any Borrowing in Dollars or Canadian Dollars as, a Term Benchmark Borrowing shall be ineffective, (y) if any Borrowing Request requests a Term Benchmark Borrowing in Canadian Dollars, then such Borrowing shall be made as an ABR Borrowing and (z) if any Borrowing Request requests a Term Benchmark Borrowing in Dollars, then such Borrowing shall be made as</w:t>
      </w:r>
    </w:p>
    <w:p>
      <w:pPr>
        <w:pStyle w:val="TextBody"/>
        <w:bidi w:val="0"/>
        <w:spacing w:lineRule="auto" w:line="288" w:before="3" w:after="283"/>
        <w:jc w:val="both"/>
        <w:rPr/>
      </w:pPr>
      <w:r>
        <w:rPr>
          <w:rFonts w:ascii="Times New Roman;sans-serif" w:hAnsi="Times New Roman;sans-serif"/>
          <w:b w:val="false"/>
          <w:color w:val="000000"/>
          <w:sz w:val="20"/>
        </w:rPr>
        <w:t xml:space="preserve">(1) an RFR Borrowing denominated in Dollars so long as the Adjusted Daily Simple SOFR is not also the subject of Section 2.14(a)(i) or (ii) above or (y) an ABR Borrowing if the Adjusted Daily Simple SOFR also is the subject of Section 2.14(a)(i) or (ii) above, (ii) in the event any Loans denominated in Euro are so affected, the relevant interest rate shall be determined in accordance with clause (ii) of the definition of “EURIBOR” and (iii) in the event any Loans denominated in Sterling are so affected, any Borrowing Request that requests a SONIA Borrowing shall be ineffective. Furthermore, if any SONIA Loan is outstanding on the date of the Borrower’s receipt of the notice from the First Lien Administrative Agent referred to in this Section 2.14(a) with respect to a SONIA Loan, then until (x) the First Lien Administrative Agent notifies the Borrower and the Lenders that the circumstances giving rise to such notice no longer exist with respect to Adjusted Daily Simple SONIA and (y) the Borrower delivers a new Borrowing Request in accordance with the terms of Section 2.03, any SONIA Loan shall bear interest at the Central Bank Rate for Sterling plus the CBR Spread; provided that, if the First Lien Administrative Agent determines (which determination shall be conclusive and binding absent manifest error) that the Central Bank Rate for the Sterling cannot be determined, any outstanding affected SONIA Loans, at the Borrower’s election, shall either (A) be converted into ABR Loans denominated in Dollars (in an amount equal to the Dollar Equivalent of Sterling) immediately or (B) be prepaid in full immediately;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in each case, the Borrower may revoke any Borrowing Request that is pending when such notice is received.</w:t>
      </w:r>
    </w:p>
    <w:p>
      <w:pPr>
        <w:pStyle w:val="TextBody"/>
        <w:bidi w:val="0"/>
        <w:spacing w:before="17"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(b)Notwithstanding anything to the contrary herein or in any other First Lien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First Lien Loan Document in respect of such Benchmark setting and subsequent Benchmark settings without any amendment to, or further action or consent of any other party to, this Agreement or any other First Lien Loan Document and (y) if a Benchmark Replacement is determined in accordance with clause (2) of the definition of “Benchmark Replacement” for such Benchmark Replacement Date, such Benchmark Replacement will replace such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51155"/>
                <wp:effectExtent l="0" t="0" r="0" b="0"/>
                <wp:wrapNone/>
                <wp:docPr id="181" name="Frame18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Benchmark for all purposes hereunder and under any First Lien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First Lien Loan Document so long as the First Lien Administrative Agent has not received, by such time, written notice of objection to such Benchmark Replacement from Lenders comprising the Required Lenders.</w:t>
      </w:r>
    </w:p>
    <w:p>
      <w:pPr>
        <w:pStyle w:val="TextBody"/>
        <w:bidi w:val="0"/>
        <w:spacing w:before="16"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(c)In connection with the implementation of a Benchmark Replacement, the First Lien Administrative Agent will have the right to make Benchmark Replacement Conforming Changes from time to time and, notwithstanding anything to the contrary herein or in any other First Lien Loan Document, any amendments implementing such Benchmark Replacement Conforming Changes will become effective without any further action or consent of any other party to this Agreement or any other First Lien Loan Document.</w:t>
      </w:r>
    </w:p>
    <w:p>
      <w:pPr>
        <w:pStyle w:val="TextBody"/>
        <w:bidi w:val="0"/>
        <w:spacing w:before="12" w:after="283"/>
        <w:jc w:val="left"/>
        <w:rPr/>
      </w:pPr>
      <w:r>
        <w:rPr/>
      </w:r>
    </w:p>
    <w:p>
      <w:pPr>
        <w:pStyle w:val="TextBody"/>
        <w:bidi w:val="0"/>
        <w:spacing w:lineRule="auto" w:line="288" w:before="6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(d)The First Lien Administrative Agent will promptly notify the Borrower and the Lenders of (i) any occurrence of a Benchmark Transition Event and its related Benchmark Replacement Date,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First Lien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pStyle w:val="TextBody"/>
        <w:bidi w:val="0"/>
        <w:spacing w:before="14"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(e)Notwithstanding anything to the contrary herein or in any other First Lien Loan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First Lien Administrative Agent in its reasonable discretion or (B) the regulatory supervisor for the administrator of such Benchmark has provided a public statement or publication of information announcing that any tenor for such Benchmark is or will be no longer representative, then the First Lien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First Lien Administrative Agent may modify the definition of “Interest Period” for all Benchmark settings at or after such time to reinstate such previously removed tenor.</w:t>
      </w:r>
    </w:p>
    <w:p>
      <w:pPr>
        <w:pStyle w:val="TextBody"/>
        <w:bidi w:val="0"/>
        <w:spacing w:before="15"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(f)Upon the Borrower’s receipt of notice of the commencement of a Benchmark Unavailability Period, the Borrower may revoke any request for a Borrowing of, conversion to or continuation of affected Loans to be made, converted or continued during any Benchmark Unavailability Period and, failing that, either (x) (i) the Borrower will be deemed to have converted any request for a Term Benchmark Term Borrowing or Term Benchmark Revolving Borrowing denominated in Canadian Dollars into a request for a Borrowing of or conversion to ABR Loans and (ii) the Borrower will be deemed to have converted any request for a Term Benchmark Revolving Borrowing denominated in Dollars into a request for a Borrowing of or conversion to (1) a RFR Borrowing denominated in Dollars so long as the Adjusted Daily Simple SOFR is not also the subject of Section 2.14(a)(i) or (ii) above or (y) an ABR Borrowing if the Adjusted Daily Simple SOFR also is the subject of Section 2.14(a)(i) or (ii) above or (y) any Borrowing denominated in an Alternative Currency (other than Canadian Dollars)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Loan in Dollars or any Alternative Currency is outstanding on the date of the Borrower’s receipt of notice of the commencement of a Benchmark Unavailability Period with respect to a Relevant Rate applicable to such Loan, then</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51155"/>
                <wp:effectExtent l="0" t="0" r="0" b="0"/>
                <wp:wrapNone/>
                <wp:docPr id="182" name="Frame18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if such Loan is a Term Loan denominated in Dollars or a Revolving Loan denominated in Canadian Dollars, then on the last day of the Interest Period applicable to such Loan (or the next succeeding Business Day if such day is not a Business Day), such Loan shall be converted by the First Lien Administrative Agent to, and shall constitute, an ABR Loan denominated in Dollars or Canadian Dollars, as the case may be, on such day, (ii) if such Loan is a Revolving Loan denominated in Dollars, then on the last day of the Interest Period applicable to such Loan (or the next succeeding Business Day if such day is not a Business Day), such Loan shall be converted by the First Lien Administrative Agent to, and shall constitute (1) a RFR Borrowing denominated in Dollars so long as the Adjusted Daily Simple SOFR is not also the subject of Section 2.14(a)(i) or (ii) above or (y) an ABR Borrowing if the Adjusted Daily Simple SOFR also is the subject of Section 2.14(a)(i) or (ii) above or (iii) if such Loan is denominated in any Agreed Currency (other than Dollars or Canadian Dollars), then such Loan shall, on the last day of the Interest Period applicable to such Loan (or the next succeeding Business Day if such day is not a Business Day) or, in the case of a SONIA Loan, on the next succeeding Business Day, at the Borrower’s election prior to such day: (A) be prepaid by the Borrower on such day or (B) be converted by the First Lien Administrative Agent to, and (subject to the remainder of this subclause (B)) shall constitute, an ABR Loan denominated in Dollars (in an amount equal to the Dollar Equivalent of such Alternative Currency) on such day (it being understood and agreed that if the Borrower does not so prepay such Loan on such day by 12:00 noon, local time, the First Lien Administrative Agent is authorized to effect such conversion of such Loan into an ABR Loan denominated in Dollars), and, in the case of such subclause (B), upon any subsequent implementation of a Benchmark Replacement in respect of such Agreed Currency pursuant to this Section 2.14, such ABR Loan denominated in Dollars shall then be converted by the First Lien Administrative Agent to, and shall constitute, a Loan denominated in such original currency (in an amount equal to the Alternative Currency Equivalent of such Agreed Currency) on the day of such implementation, giving effect to such Benchmark Replacement in respect of such Agreed Currency.</w:t>
      </w:r>
    </w:p>
    <w:p>
      <w:pPr>
        <w:pStyle w:val="TextBody"/>
        <w:bidi w:val="0"/>
        <w:spacing w:before="13"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2.15    </w:t>
      </w:r>
      <w:r>
        <w:rPr>
          <w:rFonts w:ascii="Times New Roman;sans-serif" w:hAnsi="Times New Roman;sans-serif"/>
          <w:b w:val="false"/>
          <w:color w:val="000000"/>
          <w:sz w:val="20"/>
          <w:u w:val="single"/>
        </w:rPr>
        <w:t>Increased Costs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(a)If any Change in Law shall:</w:t>
      </w:r>
    </w:p>
    <w:p>
      <w:pPr>
        <w:pStyle w:val="TextBody"/>
        <w:bidi w:val="0"/>
        <w:spacing w:before="10" w:after="283"/>
        <w:jc w:val="left"/>
        <w:rPr/>
      </w:pPr>
      <w:r>
        <w:rPr/>
      </w:r>
    </w:p>
    <w:p>
      <w:pPr>
        <w:pStyle w:val="TextBody"/>
        <w:bidi w:val="0"/>
        <w:spacing w:lineRule="auto" w:line="288" w:before="0" w:after="0"/>
        <w:ind w:left="0" w:right="0" w:firstLine="818"/>
        <w:jc w:val="both"/>
        <w:rPr>
          <w:rFonts w:ascii="Times New Roman;sans-serif" w:hAnsi="Times New Roman;sans-serif"/>
          <w:b w:val="false"/>
          <w:color w:val="000000"/>
          <w:sz w:val="20"/>
        </w:rPr>
      </w:pPr>
      <w:r>
        <w:rPr>
          <w:rFonts w:ascii="Times New Roman;sans-serif" w:hAnsi="Times New Roman;sans-serif"/>
          <w:b w:val="false"/>
          <w:color w:val="000000"/>
          <w:sz w:val="20"/>
        </w:rPr>
        <w:t>(i)impose, modify or deem applicable any reserve, special deposit, compulsory loan, insurance charge or similar requirement against assets of, deposits with or for the account of, or credit extended by, any Lender or any Issuing Bank (except any such reserve requirement reflected in any Term Benchmark Rate, as applicable); or</w:t>
      </w:r>
    </w:p>
    <w:p>
      <w:pPr>
        <w:pStyle w:val="TextBody"/>
        <w:bidi w:val="0"/>
        <w:spacing w:before="11" w:after="283"/>
        <w:jc w:val="left"/>
        <w:rPr/>
      </w:pPr>
      <w:r>
        <w:rPr/>
      </w:r>
    </w:p>
    <w:p>
      <w:pPr>
        <w:pStyle w:val="TextBody"/>
        <w:bidi w:val="0"/>
        <w:spacing w:lineRule="auto" w:line="288" w:before="0" w:after="0"/>
        <w:ind w:left="0" w:right="0" w:firstLine="763"/>
        <w:jc w:val="both"/>
        <w:rPr>
          <w:rFonts w:ascii="Times New Roman;sans-serif" w:hAnsi="Times New Roman;sans-serif"/>
          <w:b w:val="false"/>
          <w:color w:val="000000"/>
          <w:sz w:val="20"/>
        </w:rPr>
      </w:pPr>
      <w:r>
        <w:rPr>
          <w:rFonts w:ascii="Times New Roman;sans-serif" w:hAnsi="Times New Roman;sans-serif"/>
          <w:b w:val="false"/>
          <w:color w:val="000000"/>
          <w:sz w:val="20"/>
        </w:rPr>
        <w:t>(ii)impose on any Lender or any Issuing Bank or any applicable interbank market any other condition, cost or expense (other than Taxes) affecting this Agreement or Term Benchmark Loans made by such Lender or any Letter of Credit or participation therein;</w:t>
      </w:r>
    </w:p>
    <w:p>
      <w:pPr>
        <w:pStyle w:val="TextBody"/>
        <w:bidi w:val="0"/>
        <w:spacing w:before="11" w:after="283"/>
        <w:jc w:val="left"/>
        <w:rPr/>
      </w:pPr>
      <w:r>
        <w:rPr/>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the result of any of the foregoing shall be to increase the cost to such Lender of making or maintaining any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w:t>
      </w:r>
    </w:p>
    <w:p>
      <w:pPr>
        <w:pStyle w:val="TextBody"/>
        <w:bidi w:val="0"/>
        <w:spacing w:before="13"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 will pay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51155"/>
                <wp:effectExtent l="0" t="0" r="0" b="0"/>
                <wp:wrapNone/>
                <wp:docPr id="183" name="Frame18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Lender or Issuing Bank, as the case may be, such additional amount or amounts as will compensate such Lender or Issuing Bank or such Lender’s or Issuing Bank’s holding company for any such reduction actually suffered.</w:t>
      </w:r>
    </w:p>
    <w:p>
      <w:pPr>
        <w:pStyle w:val="TextBody"/>
        <w:bidi w:val="0"/>
        <w:spacing w:before="14"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(c)A certificate of a Lender or an Issuing Bank setting forth the amount or amounts necessary to compensate such Lender or Issuing Bank or its holding company in reasonable detail, as the case may be, as specified in paragraph (a) or (b) of this Section 2.15 delivered to the Borrower shall be conclusive absent manifest error. The Borrower shall pay such Lender or Issuing Bank, as the case may be, the amount shown as due on any such certificate within 15 days after receipt thereof.</w:t>
      </w:r>
    </w:p>
    <w:p>
      <w:pPr>
        <w:pStyle w:val="TextBody"/>
        <w:bidi w:val="0"/>
        <w:spacing w:before="12"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 xml:space="preserve">(d)Failure or delay on the part of any Lender or Issuing Bank to demand compensation pursuant to this Section 2.15 shall not constitute a waiver of such Lender’s or Issuing Bank’s right to demand such compensation;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Borrower shall not be required to compensate a Lender or Issuing Bank pursuant to this Section 2.15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that, if the Change in Law giving rise to such increased costs or reductions is retroactive, then the 180-day period referred to above shall be extended to include the period of retroactive effect thereof.</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(e)Notwithstanding any other provision of this Section, no Lender or Issuing Bank shall demand compensation for any increased cost or reduction pursuant to this Section 2.15 if (i) it shall not at the time be the general policy or practice of such Lender or Issuing Bank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w:t>
      </w:r>
    </w:p>
    <w:p>
      <w:pPr>
        <w:pStyle w:val="TextBody"/>
        <w:bidi w:val="0"/>
        <w:spacing w:before="12" w:after="283"/>
        <w:jc w:val="left"/>
        <w:rPr/>
      </w:pPr>
      <w:r>
        <w:rPr/>
      </w:r>
    </w:p>
    <w:p>
      <w:pPr>
        <w:pStyle w:val="TextBody"/>
        <w:bidi w:val="0"/>
        <w:spacing w:lineRule="auto" w:line="288" w:before="1" w:after="283"/>
        <w:jc w:val="left"/>
        <w:rPr/>
      </w:pPr>
      <w:r>
        <w:rPr>
          <w:rFonts w:ascii="Times New Roman;sans-serif" w:hAnsi="Times New Roman;sans-serif"/>
          <w:b w:val="false"/>
          <w:color w:val="000000"/>
          <w:sz w:val="20"/>
        </w:rPr>
        <w:t>SECTION 2.16    </w:t>
      </w:r>
      <w:r>
        <w:rPr>
          <w:rFonts w:ascii="Times New Roman;sans-serif" w:hAnsi="Times New Roman;sans-serif"/>
          <w:b w:val="false"/>
          <w:color w:val="000000"/>
          <w:sz w:val="20"/>
          <w:u w:val="single"/>
        </w:rPr>
        <w:t>Break Funding Payments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(a) the payment of any principal of any Term Benchmark Loan other than on the last day of an Interest Period applicable thereto or of any SONIA Loan other than on an Interest Payment Date therefor (including as a result of an Event of Default), (b) the conversion of any Term Benchmark Loan other than on the last day of the Interest Period applicable thereto, (c) the failure to borrow, convert, continue or prepay any Revolving Loan or Term Loan on the date specified in any notice delivered pursuant hereto (regardless of whether such notice may be revoked under Section 2.11(f) and is revoked in accordance therewith) or (d) the assignment of any Term Benchmark Loan other than on the last day of the Interest Period applicable thereto, or of any SONIA Loan other than on an Interest Payment Date therefor, in each case as a result of a request by the Borrower pursuant to Section 2.19 or Section 9.02(c), then, in any such event, the Borrower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For purposes of calculating amounts payable by the Borrower to the Lenders under this Section 2.16 with respect to any Term Benchmark Loan, each Lender shall be deemed to have funded each Term Benchmark Loan made by it at the Term Benchmark Rate for such Loan by a matching deposit or other borrowing in the applicable interbank eurodollar market or Canadian money market, as applicable, for a comparable amount and for a comparable period, whether or not such Term Benchmark Loan was in fact so funded. A certificate of any Lender setting forth in reasonable detail any amount or amounts that such Lender is entitled to receive pursuant to this Section 2.16 and the reasons therefor delivered to the Borrower shall be prima facie evidence of such amounts. The Borrower shall pay such Lender the amount shown as due on any such certificate within 15 days after receipt of such demand. Notwithstanding the foregoing, this Section 2.16 will not apply to losses, costs or expenses resulting from Taxes, as to which Section 2.17 shall govern. Notwithstanding the foregoing, no Lender shall demand compensation pursuant to this Section 2.16 if it shall not at the time be the general policy or practice of such Lender to demand such compensation in similar circumstances under comparable provisions of other credit agreements. Each Lender hereby waives the right to receive compensation under this Section 2.16 for any loss, cost or expense incurred as a result of a Repricing Transaction.</w:t>
      </w:r>
    </w:p>
    <w:p>
      <w:pPr>
        <w:pStyle w:val="TextBody"/>
        <w:bidi w:val="0"/>
        <w:spacing w:before="20" w:after="283"/>
        <w:jc w:val="left"/>
        <w:rPr/>
      </w:pPr>
      <w:r>
        <w:rPr/>
      </w:r>
    </w:p>
    <w:p>
      <w:pPr>
        <w:pStyle w:val="TextBody"/>
        <w:bidi w:val="0"/>
        <w:spacing w:lineRule="auto" w:line="288" w:before="1" w:after="283"/>
        <w:jc w:val="left"/>
        <w:rPr/>
      </w:pPr>
      <w:r>
        <w:rPr>
          <w:rFonts w:ascii="Times New Roman;sans-serif" w:hAnsi="Times New Roman;sans-serif"/>
          <w:b w:val="false"/>
          <w:color w:val="000000"/>
          <w:sz w:val="20"/>
        </w:rPr>
        <w:t>SECTION 2.17    </w:t>
      </w:r>
      <w:r>
        <w:rPr>
          <w:rFonts w:ascii="Times New Roman;sans-serif" w:hAnsi="Times New Roman;sans-serif"/>
          <w:b w:val="false"/>
          <w:color w:val="000000"/>
          <w:sz w:val="20"/>
          <w:u w:val="single"/>
        </w:rPr>
        <w:t>Taxes</w:t>
      </w:r>
      <w:r>
        <w:rPr>
          <w:rFonts w:ascii="Times New Roman;sans-serif" w:hAnsi="Times New Roman;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51155"/>
                <wp:effectExtent l="0" t="0" r="0" b="0"/>
                <wp:wrapNone/>
                <wp:docPr id="184" name="Frame18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p>
                      <w:pPr>
                        <w:pStyle w:val="TextBody"/>
                        <w:bidi w:val="0"/>
                        <w:spacing w:before="0" w:after="0"/>
                        <w:jc w:val="left"/>
                        <w:rPr/>
                      </w:pPr>
                      <w:r>
                        <w:rPr/>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(a)Any and all payments by or on account of any obligation of any Loan Party under any First Lien Loan Document shall be made free and clear of and without deduction for any Taxes, except as required by applicable Requirements of Law. If the applicable withholding agent (including, for the avoidance of doubt, the First Lien Administrative Agent or any Loan Party) shall be required by applicable Requirements of Law (as determined in the good faith discretion of the applicable withholding agent) to deduct any Taxes from such payments, then the applicable withholding agent shall make such deductions and shall timely pay the full amount deducted to the relevant Governmental Authority in accordance with applicable Requirements of Law, and if such Taxes are Indemnified Taxes or Other Taxes, then the amount payable by the applicable Loan Party shall be increased as necessary so that after all such required deductions have been made (including such deductions applicable to additional amounts payable under this Section 2.17), each Lender (or, in the case of a payment made to the First Lien Administrative Agent for its own account, the First Lien Administrative Agent) receives an amount equal to the sum it would have received had no such deductions been made.</w:t>
      </w:r>
    </w:p>
    <w:p>
      <w:pPr>
        <w:pStyle w:val="TextBody"/>
        <w:bidi w:val="0"/>
        <w:spacing w:before="0" w:after="0"/>
        <w:jc w:val="both"/>
        <w:rPr/>
      </w:pPr>
      <w:r>
        <w:rPr/>
      </w:r>
    </w:p>
    <w:p>
      <w:pPr>
        <w:pStyle w:val="TextBody"/>
        <w:bidi w:val="0"/>
        <w:spacing w:lineRule="auto" w:line="288" w:before="6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(b)Without limiting the provisions of paragraph (a) above, the Borrower shall timely pay any Other Taxes to the relevant Governmental Authority in accordance with applicable Requirements of Law, or at the option of the First Lien Administrative Agent timely reimburse it for the payment of, any Other Taxes.</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(c)The Borrower shall indemnify the First Lien Administrative Agent and each Lender within 30 days after written demand therefor, for the full amount of any Indemnified Taxes or Other Taxes paid by the First Lien Administrative Agent or such Lender as the case may be, on or with respect to any payment by or on account of any obligation of any Loan Party under any First Lien Loan Document and any Other Taxes paid by the First Lien Administrative Agent or such Lender, as the case may be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First Lien Administrative Agent on its own behalf or on behalf of a Lender, shall be conclusive absent manifest error.</w:t>
      </w:r>
    </w:p>
    <w:p>
      <w:pPr>
        <w:pStyle w:val="TextBody"/>
        <w:bidi w:val="0"/>
        <w:spacing w:before="15"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(d)To the extent required by any applicable Requirements of Law (as determined in good faith by the First Lien Administrative Agent), the First Lien Administrative Agent may deduct or withhold from any payment to any Lender an amount equivalent to any applicable withholding Tax. If the Internal Revenue Service or any other Governmental Authority of the United States or other jurisdiction asserts a claim that the First Lien Administrative Agent did not properly withhold Tax from amounts paid to or for the account of any Lender for any reason (including because the appropriate form was not delivered or not properly executed, or because such Lender failed to notify the First Lien Administrative Agent of a change in circumstance that rendered the exemption from, or reduction of withholding Tax ineffective), such Lender shall indemnify and hold harmless the First Lien Administrative Agent (to the extent that the First Lien Administrative Agent has not already been reimbursed by the Loan Parties pursuant to Section 2.17(c) and without limiting any obligation of the Loan Parties to do so pursuant to such Section) fully for all amounts paid, directly or indirectly, by the First Lien Administrative Agent as Taxes or otherwise, together with all expenses incurred, including legal expenses, and any other out-of-pocket expenses, whether or not such Taxes were correctly or legally imposed or asserted by the relevant Governmental Authority. A certificate as to the amount of such payment or liability delivered to any Lender by the First Lien Administrative Agent shall be conclusive absent manifest error. Each Lender hereby authorizes the First Lien Administrative Agent to set off and apply any and all amounts at any time owing to such Lender under this Agreement or any other First Lien Loan Document against any amount due to the First Lien Administrative Agent under this Section 2.17(d). The agreements in this Section 2.17(d) shall survive the resignation and/or replacement of the First Lien Administrative Agent, any assignment of rights by, or the replacement of, a Lender, any assignment of rights by a Loan Party, the termination of this Agreement and the repayment, satisfaction or discharge of all other obligations under any First Lien Loan Document.</w:t>
      </w:r>
    </w:p>
    <w:p>
      <w:pPr>
        <w:pStyle w:val="TextBody"/>
        <w:bidi w:val="0"/>
        <w:spacing w:before="19"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(e)As soon as practicable after any payment of any Taxes by a Loan Party to a Governmental Authority, the Borrower shall deliver to the First Lien Administrative Agent the original or a certified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51155"/>
                <wp:effectExtent l="0" t="0" r="0" b="0"/>
                <wp:wrapNone/>
                <wp:docPr id="185" name="Frame18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copy of a receipt issued by such Governmental Authority evidencing such payment, a copy of the return reporting such payment or other evidence of such payment reasonably satisfactory to the First Lien Administrative Agent.</w:t>
      </w:r>
    </w:p>
    <w:p>
      <w:pPr>
        <w:pStyle w:val="TextBody"/>
        <w:bidi w:val="0"/>
        <w:spacing w:before="11" w:after="283"/>
        <w:jc w:val="left"/>
        <w:rPr/>
      </w:pPr>
      <w:r>
        <w:rPr/>
      </w:r>
    </w:p>
    <w:p>
      <w:pPr>
        <w:pStyle w:val="TextBody"/>
        <w:bidi w:val="0"/>
        <w:spacing w:lineRule="auto" w:line="288" w:before="6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(f)(1) Each Lender shall, at such times as are reasonably requested by Borrower or the First Lien Administrative Agent, provide the Borrower and the First Lien Administrative Agent with any properly completed and executed documentation prescribed by any Requirement of Law, or reasonably requested by the Borrower or the First Lien Administrative Agent, certifying as to any entitlement of such Lender to an exemption from, or reduction in, any withholding Tax with respect to any payments to be made to such Lender under the First Lien Loan Documents. In addition, any Lender, if reasonably requested by the Borrower or the First Lien Administrative Agent, shall deliver such other documentation prescribed by any Requirement of Law or reasonably requested by the Borrower or the First Lien Administrative Agent as will enable the Borrower or the First Lien Administrative Agent to determine whether or not such Lender is subject to backup withholding or information reporting requirements. Each such Lender shall, whenever a lapse in time or change in circumstances renders any such documentation expired, obsolete or inaccurate in any respect (including any specific documentation required below in this Section 2.17(f)), deliver promptly to the Borrower and the First Lien Administrative Agent updated or other appropriate documentation (including any new documentation reasonably requested by the applicable withholding agent) or promptly notify the Borrower and the First Lien Administrative Agent in writing of its legal ineligibility to do so. Unless the applicable withholding agent has received forms or other documents satisfactory to it indicating that payments under any First Lien Loan Document to or for a Lender are not subject to withholding Tax or are subject to Tax at a rate reduced by an applicable Tax treaty, the Borrower, the First Lien Administrative Agent or other applicable withholding agent shall withhold amounts required to be withheld by applicable law from such payments at the applicable statutory rate.</w:t>
      </w:r>
    </w:p>
    <w:p>
      <w:pPr>
        <w:pStyle w:val="TextBody"/>
        <w:bidi w:val="0"/>
        <w:spacing w:before="13" w:after="283"/>
        <w:jc w:val="left"/>
        <w:rPr/>
      </w:pPr>
      <w:r>
        <w:rPr/>
      </w:r>
    </w:p>
    <w:p>
      <w:pPr>
        <w:pStyle w:val="TextBody"/>
        <w:bidi w:val="0"/>
        <w:spacing w:lineRule="auto" w:line="288" w:before="1" w:after="283"/>
        <w:ind w:left="0" w:right="0" w:hanging="285"/>
        <w:jc w:val="left"/>
        <w:rPr>
          <w:rFonts w:ascii="Times New Roman;sans-serif" w:hAnsi="Times New Roman;sans-serif"/>
          <w:b w:val="false"/>
          <w:color w:val="000000"/>
          <w:sz w:val="20"/>
        </w:rPr>
      </w:pPr>
      <w:r>
        <w:rPr>
          <w:rFonts w:ascii="Times New Roman;sans-serif" w:hAnsi="Times New Roman;sans-serif"/>
          <w:b w:val="false"/>
          <w:color w:val="000000"/>
          <w:sz w:val="20"/>
        </w:rPr>
        <w:t>(2)Without limiting the generality of the foregoing:</w:t>
      </w:r>
    </w:p>
    <w:p>
      <w:pPr>
        <w:pStyle w:val="TextBody"/>
        <w:bidi w:val="0"/>
        <w:spacing w:before="10" w:after="283"/>
        <w:jc w:val="left"/>
        <w:rPr/>
      </w:pPr>
      <w:r>
        <w:rPr/>
      </w:r>
    </w:p>
    <w:p>
      <w:pPr>
        <w:pStyle w:val="TextBody"/>
        <w:bidi w:val="0"/>
        <w:spacing w:lineRule="auto" w:line="288" w:before="0" w:after="0"/>
        <w:ind w:left="0" w:right="0" w:firstLine="818"/>
        <w:jc w:val="both"/>
        <w:rPr>
          <w:rFonts w:ascii="Times New Roman;sans-serif" w:hAnsi="Times New Roman;sans-serif"/>
          <w:b w:val="false"/>
          <w:color w:val="000000"/>
          <w:sz w:val="20"/>
        </w:rPr>
      </w:pPr>
      <w:r>
        <w:rPr>
          <w:rFonts w:ascii="Times New Roman;sans-serif" w:hAnsi="Times New Roman;sans-serif"/>
          <w:b w:val="false"/>
          <w:color w:val="000000"/>
          <w:sz w:val="20"/>
        </w:rPr>
        <w:t>(i)Each Lender that is a United States person (as defined in Section 7701(a)(30) of the Code) shall deliver to the Borrower and the First Lien Administrative Agent on or before the date on which it becomes a party to this Agreement (and from time to time thereafter upon the reasonable request of the Borrower or the First Lien Administrative Agent) two properly completed and duly signed copies of Internal Revenue Service Form W-9 (or any successor form) certifying that such Lender is exempt from U.S. federal backup withholding Tax.</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(ii)Each Foreign Lender shall deliver to the Borrower and the First Lien Administrative Agent on or before the date on which it becomes a party to this Agreement (and from time to time thereafter upon the reasonable request of the Borrower or the First Lien Administrative Agent) whichever of the following is applicable:</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(A)two properly completed and duly signed copies of Internal Revenue Service Form W-8BEN-E (or any successor forms) claiming eligibility for benefits of an income Tax treaty to which the United States of America is a party,</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(B)two properly completed and duly signed copies of Internal Revenue Service Form W-8ECI (or any successor forms),</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(C)in the case of a Foreign Lender claiming the benefits of the exemption for portfolio interest under Section 871(h) or Section 881(c) of the Code, (x) two properly completed and duly signed certificates, substantially in the form of Exhibit N (any such certificate a “</w:t>
      </w:r>
      <w:r>
        <w:rPr>
          <w:rFonts w:ascii="Times New Roman;sans-serif" w:hAnsi="Times New Roman;sans-serif"/>
          <w:b w:val="false"/>
          <w:color w:val="000000"/>
          <w:sz w:val="20"/>
          <w:u w:val="single"/>
        </w:rPr>
        <w:t>United States Tax Compliance Certificate</w:t>
      </w:r>
      <w:r>
        <w:rPr>
          <w:color w:val="000000"/>
        </w:rPr>
        <w:t>”</w:t>
      </w:r>
      <w:r>
        <w:rPr>
          <w:rFonts w:ascii="Times New Roman;sans-serif" w:hAnsi="Times New Roman;sans-serif"/>
          <w:b w:val="false"/>
          <w:color w:val="000000"/>
          <w:sz w:val="20"/>
        </w:rPr>
        <w:t>), and (y) two properly completed and duly signed copies of Internal Revenue Service Form W-8BEN-E (or any successor forms),</w:t>
      </w:r>
    </w:p>
    <w:p>
      <w:pPr>
        <w:pStyle w:val="TextBody"/>
        <w:bidi w:val="0"/>
        <w:spacing w:before="12" w:after="283"/>
        <w:jc w:val="left"/>
        <w:rPr/>
      </w:pPr>
      <w:r>
        <w:rPr/>
      </w:r>
    </w:p>
    <w:p>
      <w:pPr>
        <w:pStyle w:val="TextBody"/>
        <w:bidi w:val="0"/>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(D)to the extent a Foreign Lender is not the beneficial owner (for example, where the Lender is a partnership or a participating Lender), two properly completed and duly signed copies of Internal Revenue Service Form W-8IMY (or any successor forms) of the Foreign Lender, accompanied by a Form W-8ECI, W-8BEN-E, United States Tax Compliance Certificate, Form W-9, Form W-8IMY (or other successor forms) and/or any other required information from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51155"/>
                <wp:effectExtent l="0" t="0" r="0" b="0"/>
                <wp:wrapNone/>
                <wp:docPr id="186" name="Frame18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each beneficial owner that would be required under this Section 2.17 if such beneficial owner were a Lender, as applicable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w:t>
      </w:r>
    </w:p>
    <w:p>
      <w:pPr>
        <w:pStyle w:val="TextBody"/>
        <w:bidi w:val="0"/>
        <w:spacing w:before="14"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(E)two properly completed and duly signed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and the First Lien Administrative Agent to determine the withholding or deduction required to be made.</w:t>
      </w:r>
    </w:p>
    <w:p>
      <w:pPr>
        <w:pStyle w:val="TextBody"/>
        <w:bidi w:val="0"/>
        <w:spacing w:before="12" w:after="283"/>
        <w:jc w:val="left"/>
        <w:rPr/>
      </w:pPr>
      <w:r>
        <w:rPr/>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(iii)If a payment made to any Lender under any First Lien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First Lien Administrative Agent at the time or times prescribed by law and at such time or times reasonably requested by the Borrower or the First Lien Administrative Agent such documentation prescribed by applicable Requirements of Law (including as prescribed by Section 1471(b)(3)(C)(i) of the Code) and such additional documentation reasonably requested by the Borrower or the First Lien Administrative Agent as may be necessary for the Borrower and the First Lien Administrative Agent to comply with their obligations under FATCA and to determine whether such Lender has or has not complied with such Lender’s obligations under FATCA and, if necessary, to determine the amount to deduct and withhold from such payment. Solely for purposes of this clause (iii), “FATCA” shall include any amendments made to FATCA after the date of this Agreement.</w:t>
      </w:r>
    </w:p>
    <w:p>
      <w:pPr>
        <w:pStyle w:val="TextBody"/>
        <w:bidi w:val="0"/>
        <w:spacing w:before="14" w:after="283"/>
        <w:jc w:val="left"/>
        <w:rPr/>
      </w:pPr>
      <w:r>
        <w:rPr/>
      </w:r>
    </w:p>
    <w:p>
      <w:pPr>
        <w:pStyle w:val="TextBody"/>
        <w:bidi w:val="0"/>
        <w:spacing w:lineRule="auto" w:line="288" w:before="0" w:after="0"/>
        <w:ind w:left="0" w:right="0" w:firstLine="719"/>
        <w:jc w:val="both"/>
        <w:rPr>
          <w:rFonts w:ascii="Times New Roman;sans-serif" w:hAnsi="Times New Roman;sans-serif"/>
          <w:b w:val="false"/>
          <w:color w:val="000000"/>
          <w:sz w:val="20"/>
        </w:rPr>
      </w:pPr>
      <w:r>
        <w:rPr>
          <w:rFonts w:ascii="Times New Roman;sans-serif" w:hAnsi="Times New Roman;sans-serif"/>
          <w:b w:val="false"/>
          <w:color w:val="000000"/>
          <w:sz w:val="20"/>
        </w:rPr>
        <w:t>(3)Notwithstanding any other provision of this clause (f), a Lender shall not be required to deliver any form or certification that such Lender is not legally eligible to deliver.</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(4)Each Lender hereby authorizes the First Lien Administrative Agent to deliver to the Loan Parties and to any successor First Lien Administrative Agent any documentation provided by such Lender to the First Lien Administrative Agent pursuant to this Section 2.17(f).</w:t>
      </w:r>
    </w:p>
    <w:p>
      <w:pPr>
        <w:pStyle w:val="TextBody"/>
        <w:bidi w:val="0"/>
        <w:spacing w:before="11"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0"/>
        </w:rPr>
        <w:t xml:space="preserve">(g)If the Borrower determines in good faith that a reasonable basis exists for contesting any Taxes for which indemnification has been demanded hereunder, the First Lien Administrative Agent or the relevant Lender, as applicable, shall use commercially reasonable efforts to cooperate with the Borrower in a reasonable challenge of such Taxes if so requested by the Borrower,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 the First Lien Administrative Agent or such Lender determines in its reasonable discretion that it would not be subject to any unreimbursed third party cost or expense or otherwise be prejudiced by cooperating in such challenge, (b) the Borrower pays all related expenses of the First Lien Administrative Agent or such Lender, as applicable and (c) the Borrower indemnifies the First Lien Administrative Agent or such Lender, as applicable, for any liabilities or other costs incurred by such party in connection with such challenge. If the First Lien Administrative Agent or a Lender receives a refund of any Indemnified Taxes or Other Taxes as to which it has been indemnified by the Borrower or with respect to which the Borrower has paid additional amounts pursuant to this Section 2.17, it shall pay over such refund to the Borrower (but only to the extent of indemnity payments made, or additional amounts paid, by the Borrower under this Section 2.17 with respect to the Indemnified Taxes or Other Taxes giving rise to such refund), net of all out-of-pocket expenses (including Taxes) of the First Lien Administrative Agent or such Lender and without interest (other than any interest paid by the relevant Governmental Authority with respect to such refund);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Borrower, upon the request of the First Lien Administrative Agent or such Lender, agrees promptly to repay the amount paid over to the Borrower (plus any penalties, interest or other charges imposed by the relevant Governmental Authority) to the First Lien Administrative Agent or such Lender in the event the First Lien Administrative Agent or such Lender is required to repay such refund to such Governmental Authority. The First Lien Administrative Agent or such Lender, as the case may be, shall, at the Borrower’s request, provide the Borrower with a copy of any notice of assessment or other evidence of the requirement to repay such refund received from the relevant Governmental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51155"/>
                <wp:effectExtent l="0" t="0" r="0" b="0"/>
                <wp:wrapNone/>
                <wp:docPr id="187" name="Frame18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pPr>
      <w:r>
        <w:rPr>
          <w:rFonts w:ascii="Times New Roman;sans-serif" w:hAnsi="Times New Roman;sans-serif"/>
          <w:b w:val="false"/>
          <w:color w:val="000000"/>
          <w:sz w:val="20"/>
        </w:rPr>
        <w:t>Authority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First Lien Administrative Agent or such Lender may delete any information therein that the First Lien Administrative Agent or such Lender deems confidential). Notwithstanding anything to the contrary, this Section 2.17(g) shall not be construed to require the First Lien Administrative Agent or any Lender to make available its Tax returns (or any other information relating to Taxes which it deems confidential) to any Loan Party or any other person.</w:t>
      </w:r>
    </w:p>
    <w:p>
      <w:pPr>
        <w:pStyle w:val="TextBody"/>
        <w:bidi w:val="0"/>
        <w:spacing w:before="2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(h)The agreements in this Section 2.17 shall survive the resignation or replacement of the First Lien Administrative Agent or any assignment of rights by, or the replacement of, a Lender, the termination of this Agreement and the payment of the Loans and all other amounts payable hereunder.</w:t>
      </w:r>
    </w:p>
    <w:p>
      <w:pPr>
        <w:pStyle w:val="TextBody"/>
        <w:bidi w:val="0"/>
        <w:spacing w:before="12"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(i)For purposes of this Section 2.17, the term “Lender” shall include any Issuing Bank and the Swingline Lender and the term “applicable Requirements of Law” includes FATCA.</w:t>
      </w:r>
    </w:p>
    <w:p>
      <w:pPr>
        <w:pStyle w:val="TextBody"/>
        <w:bidi w:val="0"/>
        <w:spacing w:before="60" w:after="283"/>
        <w:jc w:val="left"/>
        <w:rPr/>
      </w:pPr>
      <w:r>
        <w:rPr/>
      </w:r>
    </w:p>
    <w:p>
      <w:pPr>
        <w:pStyle w:val="TextBody"/>
        <w:bidi w:val="0"/>
        <w:spacing w:lineRule="auto" w:line="288" w:before="60" w:after="283"/>
        <w:jc w:val="left"/>
        <w:rPr/>
      </w:pPr>
      <w:r>
        <w:rPr>
          <w:rFonts w:ascii="Times New Roman;sans-serif" w:hAnsi="Times New Roman;sans-serif"/>
          <w:b w:val="false"/>
          <w:color w:val="000000"/>
          <w:sz w:val="20"/>
        </w:rPr>
        <w:t>SECTION 2.18    </w:t>
      </w:r>
      <w:r>
        <w:rPr>
          <w:rFonts w:ascii="Times New Roman;sans-serif" w:hAnsi="Times New Roman;sans-serif"/>
          <w:b w:val="false"/>
          <w:color w:val="000000"/>
          <w:sz w:val="20"/>
          <w:u w:val="single"/>
        </w:rPr>
        <w:t>Payments Generally; Pro Rata Treatment; Sharing of Setoffs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(a)The Borrower shall make each payment required to be made by it under any First Lien Loan Document (whether of principal, interest, fees or reimbursement of LC Disbursements, or of amounts payable under Section 2.15, 2.16 or 2.17, or otherwise) prior to the time expressly required hereunder or under such other First Lien Loan Document for such payment (or, if no such time is expressly required, prior to 2:00 p.m., New York City time or, in the case of prepayment of any Borrowing in an Alternative Currency (other than Canadian Dollars), 12:00 p.m., New York City time), on the date when due, in immediately available funds, without condition or deduction for any counterclaim, recoupment or setoff. Any amounts received after such time on any date may, in the discretion of the First Lien Administrative Agent, be deemed to have been received on the next succeeding Business Day for purposes of calculating interest thereon. Except as otherwise expressly provided herein and except with respect to principal of or interest on Loans denominated in an Alternative Currency, all such payments shall be made in Dollars to such account as may be specified by the First Lien Administrative Agent. Except as otherwise expressly provided herein and except with respect to principal of or interest on Loans denominated in Dollars, all payments by the Borrower hereunder with respect to principal of and interest on Loans denominated in Alternative Currency shall be made in such Alternative Currency to such account as may be specified by the First Lien Administrative Agent. If, for any reason, the Borrower is prohibited by any Requirements of Law from making any required payment hereunder in an Alternative Currency, the Borrower shall make such payment in Dollars in the Dollar Amount of the Alternative Currency payment amount (it being agreed that, for purposes of this sentence, the Dollar Amount shall be the amount that any Lender notifies to the First Lien Administrative Agent as the amount, as determined by such Lender in good faith, such Lender requires to purchase the Alternative Currency payment amount). Payments to be made directly to any Issuing Bank or the Swingline Lender shall be made as expressly provided herein and except that payments pursuant to Sections 2.15, 2.16, 2.17 and 9.03 shall be made directly to the Persons entitled thereto and payments pursuant to other First Lien Loan Documents shall be made to the Persons specified therein. The First Lien Administrative Agent shall distribute any such payments received by it for the account of any other Person to the appropriate recipient promptly following receipt thereof. Except as otherwise provided herein, if any payment under any First Lien Loan Document shall be due on a day that is not a Business Day, the date for payment shall be extended to the next succeeding Business Day.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w:t>
      </w:r>
    </w:p>
    <w:p>
      <w:pPr>
        <w:pStyle w:val="TextBody"/>
        <w:bidi w:val="0"/>
        <w:spacing w:before="22"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0"/>
        </w:rPr>
        <w:t xml:space="preserve">(b)If at any time insufficient funds are received by and available to the First Lien Administrative Agent to pay fully all amounts of principal, unreimbursed LC Disbursements, interest and fees then due hereunder, such funds shall be applied (i) </w:t>
      </w:r>
      <w:r>
        <w:rPr>
          <w:rFonts w:ascii="Times New Roman;sans-serif" w:hAnsi="Times New Roman;sans-serif"/>
          <w:b w:val="false"/>
          <w:color w:val="000000"/>
          <w:sz w:val="20"/>
          <w:u w:val="single"/>
        </w:rPr>
        <w:t>first</w:t>
      </w:r>
      <w:r>
        <w:rPr>
          <w:rFonts w:ascii="Times New Roman;sans-serif" w:hAnsi="Times New Roman;sans-serif"/>
          <w:b w:val="false"/>
          <w:color w:val="000000"/>
          <w:sz w:val="20"/>
        </w:rPr>
        <w:t>, towards payment of interest and fees then due hereunder, ratably among the parties entitled thereto in accordance with the amounts of interest and fees then due to such parties, and</w:t>
      </w:r>
    </w:p>
    <w:p>
      <w:pPr>
        <w:pStyle w:val="TextBody"/>
        <w:bidi w:val="0"/>
        <w:spacing w:lineRule="auto" w:line="288" w:before="1" w:after="283"/>
        <w:jc w:val="both"/>
        <w:rPr/>
      </w:pPr>
      <w:r>
        <w:rPr>
          <w:rFonts w:ascii="Times New Roman;sans-serif" w:hAnsi="Times New Roman;sans-serif"/>
          <w:b w:val="false"/>
          <w:color w:val="000000"/>
          <w:sz w:val="20"/>
        </w:rPr>
        <w:t xml:space="preserve">(ii) </w:t>
      </w:r>
      <w:r>
        <w:rPr>
          <w:rFonts w:ascii="Times New Roman;sans-serif" w:hAnsi="Times New Roman;sans-serif"/>
          <w:b w:val="false"/>
          <w:color w:val="000000"/>
          <w:sz w:val="20"/>
          <w:u w:val="single"/>
        </w:rPr>
        <w:t>second</w:t>
      </w:r>
      <w:r>
        <w:rPr>
          <w:rFonts w:ascii="Times New Roman;sans-serif" w:hAnsi="Times New Roman;sans-serif"/>
          <w:b w:val="false"/>
          <w:color w:val="000000"/>
          <w:sz w:val="20"/>
        </w:rPr>
        <w:t>, towards payment of principal and unreimbursed LC Disbursements then due hereunder, ratably among the parties entitled thereto in accordance with the amounts of principal and unreimbursed LC Disbursements then due to such parties.</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51155"/>
                <wp:effectExtent l="0" t="0" r="0" b="0"/>
                <wp:wrapNone/>
                <wp:docPr id="188" name="Frame18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p>
                      <w:pPr>
                        <w:pStyle w:val="TextBody"/>
                        <w:bidi w:val="0"/>
                        <w:spacing w:before="0" w:after="0"/>
                        <w:jc w:val="left"/>
                        <w:rPr/>
                      </w:pPr>
                      <w:r>
                        <w:rPr/>
                      </w:r>
                    </w:p>
                  </w:txbxContent>
                </v:textbox>
                <w10:wrap type="none"/>
              </v:rect>
            </w:pict>
          </mc:Fallback>
        </mc:AlternateContent>
      </w:r>
    </w:p>
    <w:p>
      <w:pPr>
        <w:pStyle w:val="TextBody"/>
        <w:bidi w:val="0"/>
        <w:spacing w:before="11"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 xml:space="preserve">(c)If any Lender shall, by exercising any right of setoff or counterclaim or otherwise, obtain payment in respect of any principal of or interest on any of its Revolving Loans, Term Loans or participations in LC Disbursements or Swingline Loans resulting in such Lender receiving payment of a greater proportion of the aggregate amount of its Revolving Loans, Term Loans and participations in LC Disbursements and Swingline Loans and accrued interest thereon than the proportion received by any other Lender, then the Lender receiving such greater proportion shall purchase (for cash at face value) participations in the Revolving Loans, Term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and Swingline Loans;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 in the amount of such participation.</w:t>
      </w:r>
    </w:p>
    <w:p>
      <w:pPr>
        <w:pStyle w:val="TextBody"/>
        <w:bidi w:val="0"/>
        <w:spacing w:before="14"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(d)Unless the First Lien Administrative Agent shall have received notice from the Borrower prior to the date on which any payment is due to the First Lien Administrative Agent for the account of the Lenders or the Issuing Banks hereunder that the Borrower will not make such payment, the First Lien Administrative Agent 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First Lien Administrative Agent forthwith on demand the amount so distributed to such Lender or Issuing Bank with interest thereon, for each day from and including the date such amount is distributed to it to but excluding the date of payment to the First Lien Administrative Agent, at the greater of the Federal Funds Effective Rate (if denominated in Dollars or any Alternative Currency (other than Canadian Dollars)) or Term CORRA (if denominated in Canadian Dollars) and a rate determined by the First Lien Administrative Agent in accordance with banking industry rules on interbank compensation.</w:t>
      </w:r>
    </w:p>
    <w:p>
      <w:pPr>
        <w:pStyle w:val="TextBody"/>
        <w:bidi w:val="0"/>
        <w:spacing w:before="15"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(e)If any Lender shall fail to make any payment required to be made by it pursuant to Section 2.04(c), Section 2.05(e) or Section 2.05(f), Section 2.06(a) or Section 2.06(b), Section 2.18(d) or Section 9.03(c), then the First Lien Administrative Agent may, in its discretion and in the order determined by the First Lien Administrative Agent (notwithstanding any contrary provision hereof), (i) apply any amounts thereafter received by the First Lien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pStyle w:val="TextBody"/>
        <w:bidi w:val="0"/>
        <w:spacing w:before="13" w:after="283"/>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SECTION 2.19    </w:t>
      </w:r>
      <w:r>
        <w:rPr>
          <w:rFonts w:ascii="Times New Roman;sans-serif" w:hAnsi="Times New Roman;sans-serif"/>
          <w:b w:val="false"/>
          <w:color w:val="000000"/>
          <w:sz w:val="20"/>
          <w:u w:val="single"/>
        </w:rPr>
        <w:t>Mitigation Obligations; Replacement of Lenders</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(a)If any Lender requests compensation under Section 2.15, or if the Borrower is required to pay any additional amount to any Lender or any Governmental Authority for the account of any Lender pursuant to Section 2.17 or any event gives rise to the operation of Section 2.23,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Section 2.15 or 2.17 or mitigate the applicability of Section 2.23, as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51155"/>
                <wp:effectExtent l="0" t="0" r="0" b="0"/>
                <wp:wrapNone/>
                <wp:docPr id="189" name="Frame18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pStyle w:val="TextBody"/>
        <w:bidi w:val="0"/>
        <w:spacing w:before="14"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 xml:space="preserve">(b)If (i) any Lender requests compensation under Section 2.15 or gives notice under Section 2.23, (ii) the Borrower is required to pay any additional amount to any Lender or to any Governmental Authority for the account of any Lender pursuant to Section 2.17, (iii) any Lender is or becomes a Disqualified Lender or (iv) any Lender is a Defaulting Lender, then the Borrower may, at its sole expense and effort, upon notice to such Lender and the First Lien Administrative Agent, require such Lender to assign and delegate, without recourse (in accordance with and subject to the restrictions contained in Section 9.04), all its interests, rights and obligations under this Agreement and the other First Lien Loan Documents to an Eligible Assignee that shall assume such obligations (which assignee may be another Lender, if a Lender accepts such assignment and delegation);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 the Borrower shall have received the prior written consent of the First Lien Administrative Agent to the extent such consent would be required under Section 9.04(b) for an assignment of Loans or Commitments, as applicable (and if a Revolving Commitment is being assigned and delegated, each Issuing Bank and each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First Lien Administrative Agent the processing and recordation fee specified in Section 9.04(b)(ii) and (D) in the case of any such assignment resulting from a claim for compensation under Section 2.15, or payments required to be made pursuant to Section 2.17 or a notice given under Section 2.23,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First Lien Administrative Agent and the assignee and that the Lender required to make such assignment need not be a party thereto.</w:t>
      </w:r>
    </w:p>
    <w:p>
      <w:pPr>
        <w:pStyle w:val="TextBody"/>
        <w:bidi w:val="0"/>
        <w:spacing w:before="17"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2.20    </w:t>
      </w:r>
      <w:r>
        <w:rPr>
          <w:rFonts w:ascii="Times New Roman;sans-serif" w:hAnsi="Times New Roman;sans-serif"/>
          <w:b w:val="false"/>
          <w:color w:val="000000"/>
          <w:sz w:val="20"/>
          <w:u w:val="single"/>
        </w:rPr>
        <w:t>Incremental Credit Extensions</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ind w:left="0" w:right="0" w:firstLine="1440"/>
        <w:jc w:val="left"/>
        <w:rPr/>
      </w:pPr>
      <w:r>
        <w:rPr>
          <w:rFonts w:ascii="Times New Roman;sans-serif" w:hAnsi="Times New Roman;sans-serif"/>
          <w:b w:val="false"/>
          <w:color w:val="000000"/>
          <w:sz w:val="20"/>
        </w:rPr>
        <w:t>(a)The Borrower may at any time or from time to time on one or more occasions after the Effective Date, by written notice delivered to the First Lien Administrative Agent, request (i) one or more additional Classes of term loans (each a “</w:t>
      </w:r>
      <w:r>
        <w:rPr>
          <w:rFonts w:ascii="Times New Roman;sans-serif" w:hAnsi="Times New Roman;sans-serif"/>
          <w:b w:val="false"/>
          <w:color w:val="000000"/>
          <w:sz w:val="20"/>
          <w:u w:val="single"/>
        </w:rPr>
        <w:t>First Lien Incremental Term Facility</w:t>
      </w:r>
      <w:r>
        <w:rPr>
          <w:color w:val="000000"/>
        </w:rPr>
        <w:t>”</w:t>
      </w:r>
      <w:r>
        <w:rPr>
          <w:rFonts w:ascii="Times New Roman;sans-serif" w:hAnsi="Times New Roman;sans-serif"/>
          <w:b w:val="false"/>
          <w:color w:val="000000"/>
          <w:sz w:val="20"/>
        </w:rPr>
        <w:t>), (ii) one or more additional term loans of the same Class of any existing Class of term loans (each an “</w:t>
      </w:r>
      <w:r>
        <w:rPr>
          <w:rFonts w:ascii="Times New Roman;sans-serif" w:hAnsi="Times New Roman;sans-serif"/>
          <w:b w:val="false"/>
          <w:color w:val="000000"/>
          <w:sz w:val="20"/>
          <w:u w:val="single"/>
        </w:rPr>
        <w:t>First Lien Incremental Term Increase</w:t>
      </w:r>
      <w:r>
        <w:rPr>
          <w:color w:val="000000"/>
        </w:rPr>
        <w:t>”</w:t>
      </w:r>
      <w:r>
        <w:rPr>
          <w:rFonts w:ascii="Times New Roman;sans-serif" w:hAnsi="Times New Roman;sans-serif"/>
          <w:b w:val="false"/>
          <w:color w:val="000000"/>
          <w:sz w:val="20"/>
        </w:rPr>
        <w:t>), (iii) one or more increases in the amount of the Revolving Commitments of any Class (each such increase, an “</w:t>
      </w:r>
      <w:r>
        <w:rPr>
          <w:rFonts w:ascii="Times New Roman;sans-serif" w:hAnsi="Times New Roman;sans-serif"/>
          <w:b w:val="false"/>
          <w:color w:val="000000"/>
          <w:sz w:val="20"/>
          <w:u w:val="single"/>
        </w:rPr>
        <w:t>Incremental Revolving Commitment Increase</w:t>
      </w:r>
      <w:r>
        <w:rPr>
          <w:color w:val="000000"/>
        </w:rPr>
        <w:t>”</w:t>
      </w:r>
      <w:r>
        <w:rPr>
          <w:rFonts w:ascii="Times New Roman;sans-serif" w:hAnsi="Times New Roman;sans-serif"/>
          <w:b w:val="false"/>
          <w:color w:val="000000"/>
          <w:sz w:val="20"/>
        </w:rPr>
        <w:t>) and/or (iv) one or more additional Classes of Revolving Commitments (the “</w:t>
      </w:r>
      <w:r>
        <w:rPr>
          <w:rFonts w:ascii="Times New Roman;sans-serif" w:hAnsi="Times New Roman;sans-serif"/>
          <w:b w:val="false"/>
          <w:color w:val="000000"/>
          <w:sz w:val="20"/>
          <w:u w:val="single"/>
        </w:rPr>
        <w:t>Additional/Replacement Revolving Commitments</w:t>
      </w:r>
      <w:r>
        <w:rPr>
          <w:rFonts w:ascii="Times New Roman;sans-serif" w:hAnsi="Times New Roman;sans-serif"/>
          <w:b w:val="false"/>
          <w:color w:val="000000"/>
          <w:sz w:val="20"/>
        </w:rPr>
        <w:t>,” and, together with any First Lien Incremental Term Facility, First Lien Incremental Term Increase and the Incremental Revolving Commitment Increases, the “</w:t>
      </w:r>
      <w:r>
        <w:rPr>
          <w:rFonts w:ascii="Times New Roman;sans-serif" w:hAnsi="Times New Roman;sans-serif"/>
          <w:b w:val="false"/>
          <w:color w:val="000000"/>
          <w:sz w:val="20"/>
          <w:u w:val="single"/>
        </w:rPr>
        <w:t>First Lien Incremental Facilities</w:t>
      </w:r>
      <w:r>
        <w:rPr>
          <w:color w:val="000000"/>
        </w:rPr>
        <w:t xml:space="preserve">” </w:t>
      </w:r>
      <w:r>
        <w:rPr>
          <w:rFonts w:ascii="Times New Roman;sans-serif" w:hAnsi="Times New Roman;sans-serif"/>
          <w:b w:val="false"/>
          <w:color w:val="000000"/>
          <w:sz w:val="20"/>
        </w:rPr>
        <w:t>and any Loans thereunder, the “</w:t>
      </w:r>
      <w:r>
        <w:rPr>
          <w:rFonts w:ascii="Times New Roman;sans-serif" w:hAnsi="Times New Roman;sans-serif"/>
          <w:b w:val="false"/>
          <w:color w:val="000000"/>
          <w:sz w:val="20"/>
          <w:u w:val="single"/>
        </w:rPr>
        <w:t>Incremental Loans</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after giving effect to the effectiveness of any Incremental Facility Amendment referred to below and at the time that any such First Lien Incremental Facility is made or effected, (i) no Event of Default (except, in the case of the incurrence or provision of any First Lien Incremental Facility in connection with a Permitted Acquisition or other Investment not prohibited by the terms of this Agreement, no Specified Event of Default) shall have occurred and be continuing and (ii) the Borrower shall be in Pro Forma Compliance with the Financial Performance Covenant for the Test Period then last ended (regardless of whether such Financial Performance Covenant is applicable at such time and without deducting in calculating the numerator of such Senior Secured First Lien Net Leverage Ratio any cash proceeds thereof). Notwithstanding anything to the contrary herein, the aggregate principal amount of the First Lien Incremental Facilities that can be incurred at any time shall not exceed the Incremental Cap at such time. Each First Lien Incremental Facility shall be in a minimum principal amount of $5,000,000 and integral multiples of $1,000,000 in excess thereof if such Incremental Facilities are denominated in Dollars (unless the Borrower and the First Lien Administrative Agent otherwise agree);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such amount may be less than $5,000,000 and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51155"/>
                <wp:effectExtent l="0" t="0" r="0" b="0"/>
                <wp:wrapNone/>
                <wp:docPr id="190" name="Frame18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such amount represents all the remaining availability under the aggregate principal amount of First Lien Incremental Facilities set forth above.</w:t>
      </w:r>
    </w:p>
    <w:p>
      <w:pPr>
        <w:pStyle w:val="TextBody"/>
        <w:bidi w:val="0"/>
        <w:spacing w:before="19"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 xml:space="preserve">(b)(i) The First Lien Incremental Term Facilities (a) shall (i) rank equal or junior in right of payment with the Term Loans, (ii) if secured, shall be secured only by the Collateral securing the Secured Obligations and (iii) only be guaranteed by the Loan Parties, (b) shall not mature earlier than the Term Maturity Date, (c) shall not have a shorter Weighted Average Life to Maturity than the remaining Term Loans, (d) shall have a maturity date (subject to clause (b)), an amortization schedule (subject to clause (c)), interest rates (including through fixed interest rates), “most favored nation” provisions (if any), interest margins, rate floors, upfront fees, closing payments, funding discounts, original issue discounts, financial covenants (if any), prepayment terms and premiums and other terms and conditions as determined by the Borrower and the Additional Term Lenders thereunder;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for any First Lien Incremental Term Facility incurred that (A) consists of any floating rate term loan “B” First Lien Incremental Term Loans that rank equal in right of payment with the 2024 Refinancing Term Loans and is secured by the Collateral on a </w:t>
      </w:r>
      <w:r>
        <w:rPr>
          <w:rFonts w:ascii="Times New Roman;sans-serif" w:hAnsi="Times New Roman;sans-serif"/>
          <w:b w:val="false"/>
          <w:color w:val="000000"/>
          <w:sz w:val="20"/>
          <w:u w:val="single"/>
        </w:rPr>
        <w:t>pari passu</w:t>
      </w:r>
      <w:r>
        <w:rPr>
          <w:color w:val="000000"/>
        </w:rPr>
        <w:t xml:space="preserve"> </w:t>
      </w:r>
      <w:r>
        <w:rPr>
          <w:rFonts w:ascii="Times New Roman;sans-serif" w:hAnsi="Times New Roman;sans-serif"/>
          <w:b w:val="false"/>
          <w:color w:val="000000"/>
          <w:sz w:val="20"/>
        </w:rPr>
        <w:t xml:space="preserve">basis with the Secured Obligations, (B) is broadly syndicated to banks and other institutional investors, (C) is incurred after the Amendment No. 4 Effective Date and prior to the date that is six (6) months after the Amendment No. 4 Effective Date, (D) is scheduled to mature prior to the date that is twelve (12) months after the maturity date of the 2024 Refinancing Term Loans, (E) is not incurred in connection with a Permitted Acquisition or other Investment not prohibited by the terms of this Agreement and (F) is denominated in U.S. Dollars, in the event that the Effective Yield for any such First Lien Incremental Term Facility is greater than the Effective Yield for the 2024 Refinancing Term Loans by more than 0.50% per annum, then the Effective Yield for the 2024 Refinancing Term Loans shall be increased to the extent necessary so that the Effective Yield for the Amendment No. 4 Refinancing Term Loans is equal to the Effective Yield for such First Lien Incremental Term Facility minus 0.50% per annum (provided that the “floor” applicable to the outstanding 2024 Refinancing Term Loans shall be increased to an amount not to exceed the “floor” applicable to such First Lien Incremental Term Facility prior to any increase in the Applicable Rate applicable to such 2024 Refinancing Term Loans then outstanding); and (e) may otherwise have terms and conditions different from those of the Term Loans (including currency denomination);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in no event shall it be a condition to the effectiveness of, or borrowing under, any such First Lien Incremental Term Loans that any representation or warranty of any Loan Party set forth herein be true and correct, except and solely to the extent required by the Additional Term Lenders providing such First Lien Incremental Term Loans. Any Incremental Term Facility shall be on terms and pursuant to documentation as determined by the Borrower and the Additional Term Lenders providing such Incremental Term Facility, subject to the restrictions and exceptions set forth above.</w:t>
      </w:r>
    </w:p>
    <w:p>
      <w:pPr>
        <w:pStyle w:val="TextBody"/>
        <w:bidi w:val="0"/>
        <w:spacing w:before="18"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(ii)The First Lien Incremental Term Increases shall be treated the same as the Class of Term Loans being increased (including with respect to maturity date thereof) and shall be considered to be part of the Class of Term Loans being increased (excluding upfront fees, closing payments and customary arranger fees);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 the pricing, interest rate margins, “most favored nation” (if any) provisions and rate floors on the Class of Term Loans being increased may be increased and additional upfront or similar fees may be payable to the lenders providing the First Lien Incremental Term Increase (without any requirement to pay such fees to any existing Term Lenders) and (ii) such First Lien Incremental Term Increase shall be subject to the “most favored nation” pricing adjustment (if applicable) set forth in the proviso to Section 2.20(b)(i) as if such First Lien Incremental Term Increase was a First Lien Incremental Term Facility incurred hereunder.</w:t>
      </w:r>
    </w:p>
    <w:p>
      <w:pPr>
        <w:pStyle w:val="TextBody"/>
        <w:bidi w:val="0"/>
        <w:spacing w:before="14"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(iii)The Incremental Revolving Commitment Increases shall be treated the same as the Class of Revolving Commitments being increased (including with respect to maturity date thereof), shall be considered to be part of the Class of Revolving Loans being increased and shall be on the same terms applicable to the Revolving Loans (excluding upfront fees, closing payments and customary arranger fees);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the pricing, interest rate margins, “most favored nation” (if any) provisions,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w:t>
      </w:r>
    </w:p>
    <w:p>
      <w:pPr>
        <w:pStyle w:val="TextBody"/>
        <w:bidi w:val="0"/>
        <w:spacing w:before="13" w:after="283"/>
        <w:jc w:val="left"/>
        <w:rPr/>
      </w:pPr>
      <w:r>
        <w:rPr/>
      </w:r>
    </w:p>
    <w:p>
      <w:pPr>
        <w:pStyle w:val="TextBody"/>
        <w:bidi w:val="0"/>
        <w:spacing w:lineRule="auto" w:line="288" w:before="6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(iv)The Additional/Replacement Revolving Commitments (a) shall (i) rank equal or junior in right of payment with the Revolving Loans, (ii) if secured, be secured only by the Collateral securing the Secured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51155"/>
                <wp:effectExtent l="0" t="0" r="0" b="0"/>
                <wp:wrapNone/>
                <wp:docPr id="191" name="Frame19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pPr>
      <w:r>
        <w:rPr>
          <w:rFonts w:ascii="Times New Roman;sans-serif" w:hAnsi="Times New Roman;sans-serif"/>
          <w:b w:val="false"/>
          <w:color w:val="000000"/>
          <w:sz w:val="20"/>
        </w:rPr>
        <w:t xml:space="preserve">Obligations and (iii) only be guaranteed by the Loan Parties, (b) shall not mature earlier than the Revolving Maturity Date and shall require no scheduled amortization or mandatory commitment reduction prior to the Revolving Maturity Date, (c) shall have interest rates (including through fixed interest rates), interest margins, rate floors, upfront fees, undrawn commitment fees, funding discounts, original issue discounts, prepayment terms and premiums, financial covenants (if any) commitment reduction and termination terms and other terms and conditions as determined by the Borrower and the lenders of such commitments, (d) shall contain borrowing, repayment and termination of Commitment procedures as determined by the Borrower and the lenders of such commitments, (e)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of 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First Lien Administrative Agent and (f) may otherwise have terms and conditions different from those of the Revolving Commitments and the Revolving Loans made under this Agreement (including currency denomination);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(x) to the extent the terms and documentation with respect to such Additional/Replacement Revolving Commitments are not consistent with the existing Revolving Commitments (except with respect to matters contemplated by clauses (b), (c), (d) and (e) above), the covenants, events of default and guarantees of any such Additional/Replacement Revolving Commitments shall not be materially more restrictive to the Borrower, when taken as a whole, than the terms of the Revolving Commitments unless (1) Lenders under Revolving Commitments also receive the benefit of such more restrictive terms (it being understood that, to the extent that any financial maintenance covenant is added for the benefit of any Additional/Replacement Revolving Commitment, no consent shall be required from the First Lien Administrative Agent or any of the Revolving Lenders to the extent that such financial maintenance covenant is also added for the benefit of the existing Revolving Commitments), (2) any such provisions apply after the Revolving Maturity Date or</w:t>
      </w:r>
    </w:p>
    <w:p>
      <w:pPr>
        <w:pStyle w:val="TextBody"/>
        <w:bidi w:val="0"/>
        <w:spacing w:lineRule="auto" w:line="288" w:before="5"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such terms shall be reasonably satisfactory to the First Lien Administrative Agent and the Borrower and (y) in no event shall it be a condition to the effectiveness of, or initial borrowing under, any such Additional/Replacement Revolving Commitments that any representation or warranty of any Loan Party set forth herein be true and correct, except and solely to the extent required by the Additional/Replacement Revolving Lenders providing such Additional/Replacement Revolving Commitments. Any Additional/Replacement Revolving Commitments shall be on terms and pursuant to documentation as determined by the Borrower and the Additional/Replacement Revolving Lenders providing such Additional/Replacement Revolving Commitments, subject to the restrictions set forth above.</w:t>
      </w:r>
    </w:p>
    <w:p>
      <w:pPr>
        <w:pStyle w:val="TextBody"/>
        <w:bidi w:val="0"/>
        <w:spacing w:before="13" w:after="283"/>
        <w:jc w:val="left"/>
        <w:rPr/>
      </w:pPr>
      <w:r>
        <w:rPr/>
      </w:r>
    </w:p>
    <w:p>
      <w:pPr>
        <w:pStyle w:val="TextBody"/>
        <w:bidi w:val="0"/>
        <w:spacing w:lineRule="auto" w:line="288"/>
        <w:ind w:left="0" w:right="0" w:firstLine="1440"/>
        <w:jc w:val="both"/>
        <w:rPr/>
      </w:pPr>
      <w:r>
        <w:rPr>
          <w:rFonts w:ascii="Times New Roman;sans-serif" w:hAnsi="Times New Roman;sans-serif"/>
          <w:b w:val="false"/>
          <w:color w:val="000000"/>
          <w:sz w:val="20"/>
        </w:rPr>
        <w:t>(c)First Lien Incremental Facilities shall become Commitments and Loans, as applicable, under this Agreement pursuant to an amendment (an “</w:t>
      </w:r>
      <w:r>
        <w:rPr>
          <w:rFonts w:ascii="Times New Roman;sans-serif" w:hAnsi="Times New Roman;sans-serif"/>
          <w:b w:val="false"/>
          <w:color w:val="000000"/>
          <w:sz w:val="20"/>
          <w:u w:val="single"/>
        </w:rPr>
        <w:t>Incremental Facility Amendment</w:t>
      </w:r>
      <w:r>
        <w:rPr>
          <w:color w:val="000000"/>
        </w:rPr>
        <w:t>”</w:t>
      </w:r>
      <w:r>
        <w:rPr>
          <w:rFonts w:ascii="Times New Roman;sans-serif" w:hAnsi="Times New Roman;sans-serif"/>
          <w:b w:val="false"/>
          <w:color w:val="000000"/>
          <w:sz w:val="20"/>
        </w:rPr>
        <w:t xml:space="preserve">) to this Agreement and, as appropriate, the other First Lien Loan Documents, executed by the Borrower, each Lender agreeing to provide such Commitment or Loan, if any, each Additional Lender, if any, and the First Lien Administrative Agent. Any Incremental Facility Amendment may provide for the issuance of Letters of Credit for the account of the Borrower, pursuant to any Incremental Revolving Commitment Increase or Additional/Replacement Revolving Commitments established thereby, in each case on terms substantially equivalent to the terms applicable to Letters of Credit under the Revolving Commitments;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no Issuing Bank shall be required to act as “issuing bank” and no Swingline Lender shall be required to act as “swingline lender” under any such Incremental Facility Amendment without its written consent. A First Lien Incremental Facility may be provided, subject to the prior written consent of the Borrower (not to be unreasonably withheld), by any existing Lender (it being understood that no existing Lender shall have the right to participate in any First Lien Incremental Facility or, unless it agrees, be obligated to provide any First Lien Incremental Facilities) or by any Additional Lender. Any loan under a First Lien Incremental Facility shall be a “Loan” for all purposes of this Agreement and the other First Lien Loan Documents. The Incremental Facility Amendment may, subject to Section 2.20(b), without the consent of any other Lenders, effect such amendments to this Agreement and the other First Lien Loan Documents as may be necessary, in the reasonable opinion of the First Lien Administrative Agent and the Borrower, to effect the provisions of this Section 2.20 (including, in connection with an Incremental Revolving Commitment Increase or Additional/Replacement Revolving Commitments, to reallocate Revolving Exposure on a pro rata basis among the relevant Revolving Lenders). In addition, if so provided in the relevant Incremental Facility Amendment and with the consent of each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51155"/>
                <wp:effectExtent l="0" t="0" r="0" b="0"/>
                <wp:wrapNone/>
                <wp:docPr id="192" name="Frame19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 xml:space="preserve">Issuing Bank, participations in Letters of Credit expiring on or after the Revolving Maturity Date shall be reallocated from Lenders holding Revolving Commitments to Lenders holding extended revolving commitments in accordance with the terms of such Incremental Facility Amendment;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and as required by this Section 2.20. The Borrower will use the proceeds of the First Lien Incremental Term Loans, Incremental Revolving Commitment Increases and Additional/Replacement Revolving Commitments for any purpose not prohibited by this Agreement.</w:t>
      </w:r>
    </w:p>
    <w:p>
      <w:pPr>
        <w:pStyle w:val="TextBody"/>
        <w:bidi w:val="0"/>
        <w:spacing w:before="0" w:after="0"/>
        <w:jc w:val="both"/>
        <w:rPr/>
      </w:pPr>
      <w:r>
        <w:rPr/>
      </w:r>
    </w:p>
    <w:p>
      <w:pPr>
        <w:pStyle w:val="TextBody"/>
        <w:bidi w:val="0"/>
        <w:spacing w:lineRule="auto" w:line="288" w:before="6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(d)Notwithstanding anything to the contrary, this Section 2.20 shall supersede any provisions in Section 2.18 or Section 9.02 to the contrary.</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2.21    </w:t>
      </w:r>
      <w:r>
        <w:rPr>
          <w:rFonts w:ascii="Times New Roman;sans-serif" w:hAnsi="Times New Roman;sans-serif"/>
          <w:b w:val="false"/>
          <w:color w:val="000000"/>
          <w:sz w:val="20"/>
          <w:u w:val="single"/>
        </w:rPr>
        <w:t>Refinancing Amendments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ind w:left="0" w:right="0" w:firstLine="1440"/>
        <w:jc w:val="both"/>
        <w:rPr/>
      </w:pPr>
      <w:r>
        <w:rPr>
          <w:rFonts w:ascii="Times New Roman;sans-serif" w:hAnsi="Times New Roman;sans-serif"/>
          <w:b w:val="false"/>
          <w:color w:val="000000"/>
          <w:sz w:val="20"/>
        </w:rPr>
        <w:t xml:space="preserve">(a)At any time after the Effective Date, the Borrower may obtain, from any Lender or any Additional Lender, Credit Agreement Refinancing Indebtedness in respect of (i) all or any portion of the Term Loans then outstanding under this Agreement (which for purposes of this clause (i) will be deemed to include any then outstanding Other First Lien Term Loans), (ii) all or any portion of the Revolving Loans (or unused Revolving Commitments) under this Agreement (which for purposes of this clause (ii) will be deemed to include any then outstanding Other Revolving Loans and Other Revolving Commitments) and (iii) all or any portion of First Lien Incremental Equivalent Debt, in the form of (x) Other First Lien Term Loans or Other First Lien Term Commitments or (y) Other Revolving Loans or Other Revolving Commitments, as the case may be, in each case pursuant to a Refinancing Amendment;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such Credit Agreement Refinancing Indebtedness (i) will be unsecured or will be secured by the Collateral on a </w:t>
      </w:r>
      <w:r>
        <w:rPr>
          <w:rFonts w:ascii="Times New Roman;sans-serif" w:hAnsi="Times New Roman;sans-serif"/>
          <w:b w:val="false"/>
          <w:color w:val="000000"/>
          <w:sz w:val="20"/>
          <w:u w:val="single"/>
        </w:rPr>
        <w:t>pari passu</w:t>
      </w:r>
      <w:r>
        <w:rPr>
          <w:color w:val="000000"/>
        </w:rPr>
        <w:t xml:space="preserve"> </w:t>
      </w:r>
      <w:r>
        <w:rPr>
          <w:rFonts w:ascii="Times New Roman;sans-serif" w:hAnsi="Times New Roman;sans-serif"/>
          <w:b w:val="false"/>
          <w:color w:val="000000"/>
          <w:sz w:val="20"/>
        </w:rPr>
        <w:t xml:space="preserve">or junior basis with the Secured Obligations (and if secured, subject to the terms of the First/Second Lien Intercreditor Agreement and/or a Customary Intercreditor Agreement, as applicable), (ii) will have such pricing and optional prepayment terms as may be agreed by the Borrower and the Lenders thereof, and (iii) the Net Proceeds of such Credit Agreement Refinancing Indebtedness shall be applied, substantially concurrently with the incurrence thereof, to the prepayment of outstanding Term Loans or reduction of Revolving Commitments being so refinanced or the prepayment, satisfaction and discharge or redemption of outstanding First Lien Incremental Equivalent Debt, as the case may be. The effectiveness of any Refinancing Amendment shall be subject to the satisfaction on the date thereof of the conditions as agreed between the lenders providing such Credit Agreement Refinancing Indebtedness and the Borrower and, to the extent reasonably requested by the First Lien Administrative Agent, receipt by the First Lien Administrative Agent of legal opinions, board resolutions, officers’ certificates and/or reaffirmation agreements consistent with those delivered on the Effective Date under Section 4.01 (other than changes to such legal opinions resulting from a change in law, change in fact or change to counsel’s form of opinion reasonably satisfactory to the First Lien Administrative Agent). Each Class of Credit Agreement Refinancing Indebtedness incurred under this Section 2.21 shall be in an aggregate principal amount that is (x) not less than $10,000,000 in the case of Other Term Loans or $10,000,000 in the case of Other Revolving Loans and (y) an integral multiple of $1,000,000 in excess thereof (in each case unless the Borrower and the First Lien Administrative Agent otherwise agree). Any Refinancing Amendment may provide for the issuance of Letters of Credit for the account of the Borrower, or the provision to the Borrower of Swingline Loans, pursuant to any Other Revolving Commitments established thereby, in each case on terms substantially equivalent to the terms applicable to Letters of Credit and Swingline Loans under the Revolving Commitments;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no Issuing Bank or Swingline Lender shall be required to act as “issuing bank” or “swingline lender” under any such Refinancing Amendment without its written consent. The First Lien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First Lien Term Loans, Other Revolving Loans, Other Revolving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51155"/>
                <wp:effectExtent l="0" t="0" r="0" b="0"/>
                <wp:wrapNone/>
                <wp:docPr id="193" name="Frame19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 xml:space="preserve">Commitments and/or Other First Lien Term Commitments). Any Refinancing Amendment may, without the consent of any other Lenders, effect such amendments to this Agreement and the other First Lien Loan Documents as may be necessary or appropriate, in the reasonable opinion of the First Lien Administrative Agent and the Borrower, to effect the provisions of this Section 2.21 (including, in connection with an Incremental Revolving Commitment Increase or Additional/Replacement Revolving Commitments, to reallocate Revolving Exposure on a pro rata basis among the relevant Revolving Lenders).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pStyle w:val="TextBody"/>
        <w:bidi w:val="0"/>
        <w:spacing w:before="0" w:after="0"/>
        <w:jc w:val="both"/>
        <w:rPr/>
      </w:pPr>
      <w:r>
        <w:rPr/>
      </w:r>
    </w:p>
    <w:p>
      <w:pPr>
        <w:pStyle w:val="TextBody"/>
        <w:bidi w:val="0"/>
        <w:spacing w:lineRule="auto" w:line="288" w:before="60" w:after="283"/>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(b)This Section 2.21 shall supersede any provisions in Section 2.18 or Section 9.02 to the</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contrary.</w:t>
      </w:r>
    </w:p>
    <w:p>
      <w:pPr>
        <w:pStyle w:val="TextBody"/>
        <w:bidi w:val="0"/>
        <w:spacing w:before="1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2.22    </w:t>
      </w:r>
      <w:r>
        <w:rPr>
          <w:rFonts w:ascii="Times New Roman;sans-serif" w:hAnsi="Times New Roman;sans-serif"/>
          <w:b w:val="false"/>
          <w:color w:val="000000"/>
          <w:sz w:val="20"/>
          <w:u w:val="single"/>
        </w:rPr>
        <w:t>Defaulting Lenders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Adjustments</w:t>
      </w:r>
      <w:r>
        <w:rPr>
          <w:rFonts w:ascii="Times New Roman;sans-serif" w:hAnsi="Times New Roman;sans-serif"/>
          <w:b w:val="false"/>
          <w:color w:val="000000"/>
          <w:sz w:val="20"/>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before="12" w:after="283"/>
        <w:jc w:val="left"/>
        <w:rPr/>
      </w:pPr>
      <w:r>
        <w:rPr/>
      </w:r>
    </w:p>
    <w:p>
      <w:pPr>
        <w:pStyle w:val="TextBody"/>
        <w:bidi w:val="0"/>
        <w:spacing w:lineRule="auto" w:line="288" w:before="0" w:after="0"/>
        <w:ind w:left="0" w:right="0" w:firstLine="818"/>
        <w:jc w:val="both"/>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Waivers and Amendments</w:t>
      </w:r>
      <w:r>
        <w:rPr>
          <w:rFonts w:ascii="Times New Roman;sans-serif" w:hAnsi="Times New Roman;sans-serif"/>
          <w:b w:val="false"/>
          <w:color w:val="000000"/>
          <w:sz w:val="20"/>
        </w:rPr>
        <w:t>. Such Defaulting Lender’s right to approve or disapprove any amendment, waiver or consent with respect to this Agreement shall be restricted as set forth in Section 9.02.</w:t>
      </w:r>
    </w:p>
    <w:p>
      <w:pPr>
        <w:pStyle w:val="TextBody"/>
        <w:bidi w:val="0"/>
        <w:spacing w:before="10" w:after="283"/>
        <w:jc w:val="left"/>
        <w:rPr/>
      </w:pPr>
      <w:r>
        <w:rPr/>
      </w:r>
    </w:p>
    <w:p>
      <w:pPr>
        <w:pStyle w:val="TextBody"/>
        <w:bidi w:val="0"/>
        <w:spacing w:lineRule="auto" w:line="288" w:before="1" w:after="283"/>
        <w:ind w:left="0" w:right="0" w:firstLine="763"/>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u w:val="single"/>
        </w:rPr>
        <w:t>Reallocation of Payments</w:t>
      </w:r>
      <w:r>
        <w:rPr>
          <w:rFonts w:ascii="Times New Roman;sans-serif" w:hAnsi="Times New Roman;sans-serif"/>
          <w:b w:val="false"/>
          <w:color w:val="000000"/>
          <w:sz w:val="20"/>
        </w:rPr>
        <w:t xml:space="preserve">. Subject to the last sentence of Section 2.11(f), any payment of principal, interest, fees or other amounts received by the First Lien Administrative Agent for the account of that Defaulting Lender (whether voluntary or mandatory, at maturity, pursuant to Article VII or otherwise, and including any amounts made available to the First Lien Administrative Agent by that Defaulting Lender pursuant to Section 9.08), shall be applied at such time or times as may be determined by the First Lien Administrative Agent as follows: </w:t>
      </w:r>
      <w:r>
        <w:rPr>
          <w:rFonts w:ascii="Times New Roman;sans-serif" w:hAnsi="Times New Roman;sans-serif"/>
          <w:b w:val="false"/>
          <w:color w:val="000000"/>
          <w:sz w:val="20"/>
          <w:u w:val="single"/>
        </w:rPr>
        <w:t>first</w:t>
      </w:r>
      <w:r>
        <w:rPr>
          <w:rFonts w:ascii="Times New Roman;sans-serif" w:hAnsi="Times New Roman;sans-serif"/>
          <w:b w:val="false"/>
          <w:color w:val="000000"/>
          <w:sz w:val="20"/>
        </w:rPr>
        <w:t xml:space="preserve">, to the payment of any amounts owing by that Defaulting Lender to the First Lien Administrative Agent hereunder; </w:t>
      </w:r>
      <w:r>
        <w:rPr>
          <w:rFonts w:ascii="Times New Roman;sans-serif" w:hAnsi="Times New Roman;sans-serif"/>
          <w:b w:val="false"/>
          <w:color w:val="000000"/>
          <w:sz w:val="20"/>
          <w:u w:val="single"/>
        </w:rPr>
        <w:t>second</w:t>
      </w:r>
      <w:r>
        <w:rPr>
          <w:rFonts w:ascii="Times New Roman;sans-serif" w:hAnsi="Times New Roman;sans-serif"/>
          <w:b w:val="false"/>
          <w:color w:val="000000"/>
          <w:sz w:val="20"/>
        </w:rPr>
        <w:t xml:space="preserve">, in the case of a Revolving Lender, to the payment on a pro rata basis of any amounts owing by that Defaulting Lender to each Issuing Bank and the Swingline Lender hereunder; </w:t>
      </w:r>
      <w:r>
        <w:rPr>
          <w:rFonts w:ascii="Times New Roman;sans-serif" w:hAnsi="Times New Roman;sans-serif"/>
          <w:b w:val="false"/>
          <w:color w:val="000000"/>
          <w:sz w:val="20"/>
          <w:u w:val="single"/>
        </w:rPr>
        <w:t>third</w:t>
      </w:r>
      <w:r>
        <w:rPr>
          <w:rFonts w:ascii="Times New Roman;sans-serif" w:hAnsi="Times New Roman;sans-serif"/>
          <w:b w:val="false"/>
          <w:color w:val="000000"/>
          <w:sz w:val="20"/>
        </w:rPr>
        <w:t xml:space="preserve">, as the Borrower may request (so long as no Default or Event of Default exists), to the funding of any Loan in respect of which that Defaulting Lender has failed to fund its portion thereof as required by this Agreement, as determined by the First Lien Administrative Agent; </w:t>
      </w:r>
      <w:r>
        <w:rPr>
          <w:rFonts w:ascii="Times New Roman;sans-serif" w:hAnsi="Times New Roman;sans-serif"/>
          <w:b w:val="false"/>
          <w:color w:val="000000"/>
          <w:sz w:val="20"/>
          <w:u w:val="single"/>
        </w:rPr>
        <w:t>fourth</w:t>
      </w:r>
      <w:r>
        <w:rPr>
          <w:rFonts w:ascii="Times New Roman;sans-serif" w:hAnsi="Times New Roman;sans-serif"/>
          <w:b w:val="false"/>
          <w:color w:val="000000"/>
          <w:sz w:val="20"/>
        </w:rPr>
        <w:t xml:space="preserve">, in the case of a Revolving Lender, if so determined by the First Lien Administrative Agent and the Borrower, to be held in a non-interest bearing deposit account and released in order to satisfy obligations of that Defaulting Lender to fund Loans under this Agreement; </w:t>
      </w:r>
      <w:r>
        <w:rPr>
          <w:rFonts w:ascii="Times New Roman;sans-serif" w:hAnsi="Times New Roman;sans-serif"/>
          <w:b w:val="false"/>
          <w:color w:val="000000"/>
          <w:sz w:val="20"/>
          <w:u w:val="single"/>
        </w:rPr>
        <w:t>fifth</w:t>
      </w:r>
      <w:r>
        <w:rPr>
          <w:rFonts w:ascii="Times New Roman;sans-serif" w:hAnsi="Times New Roman;sans-serif"/>
          <w:b w:val="false"/>
          <w:color w:val="000000"/>
          <w:sz w:val="20"/>
        </w:rPr>
        <w:t xml:space="preserve">, to the payment of any amounts owing to the Lenders,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w:t>
      </w:r>
      <w:r>
        <w:rPr>
          <w:rFonts w:ascii="Times New Roman;sans-serif" w:hAnsi="Times New Roman;sans-serif"/>
          <w:b w:val="false"/>
          <w:color w:val="000000"/>
          <w:sz w:val="20"/>
          <w:u w:val="single"/>
        </w:rPr>
        <w:t>sixth</w:t>
      </w:r>
      <w:r>
        <w:rPr>
          <w:rFonts w:ascii="Times New Roman;sans-serif" w:hAnsi="Times New Roman;sans-serif"/>
          <w:b w:val="false"/>
          <w:color w:val="000000"/>
          <w:sz w:val="20"/>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Times New Roman;sans-serif" w:hAnsi="Times New Roman;sans-serif"/>
          <w:b w:val="false"/>
          <w:color w:val="000000"/>
          <w:sz w:val="20"/>
          <w:u w:val="single"/>
        </w:rPr>
        <w:t>seventh</w:t>
      </w:r>
      <w:r>
        <w:rPr>
          <w:rFonts w:ascii="Times New Roman;sans-serif" w:hAnsi="Times New Roman;sans-serif"/>
          <w:b w:val="false"/>
          <w:color w:val="000000"/>
          <w:sz w:val="20"/>
        </w:rPr>
        <w:t xml:space="preserve">, to that Defaulting Lender or as otherwise directed by a court of competent jurisdiction;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such payment is a payment of the principal amount of any Loans or LC Disbursements and such Lender is a Defaulting Lender under clause (a) of the definition thereof, such payment shall be applied solely to pay the relevant Loans of, and LC Disbursements owed to, the relevant non-Defaulting Lenders on a pro rata basis prior to being applied pursuant to Section 2.05(j) or this Section 2.22(a)(ii). Any payments, prepayments or other amounts paid or payable to a Defaulting Lender that are applied (or held) to pay amounts owed by a Defaulting Lender or to post cash collateral pursuant to Section 2.05(j) shall be deemed paid to and redirected by that Defaulting Lender, and each Lender irrevocably consents hereto.</w:t>
      </w:r>
    </w:p>
    <w:p>
      <w:pPr>
        <w:pStyle w:val="TextBody"/>
        <w:bidi w:val="0"/>
        <w:spacing w:before="20" w:after="283"/>
        <w:jc w:val="left"/>
        <w:rPr/>
      </w:pPr>
      <w:r>
        <w:rPr/>
      </w:r>
    </w:p>
    <w:p>
      <w:pPr>
        <w:pStyle w:val="TextBody"/>
        <w:bidi w:val="0"/>
        <w:spacing w:lineRule="auto" w:line="288" w:before="1" w:after="283"/>
        <w:ind w:left="0" w:right="0" w:firstLine="708"/>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u w:val="single"/>
        </w:rPr>
        <w:t>Certain Fees</w:t>
      </w:r>
      <w:r>
        <w:rPr>
          <w:rFonts w:ascii="Times New Roman;sans-serif" w:hAnsi="Times New Roman;sans-serif"/>
          <w:b w:val="false"/>
          <w:color w:val="000000"/>
          <w:sz w:val="20"/>
        </w:rPr>
        <w:t xml:space="preserve">. That Defaulting Lender (x) shall not be entitled to receive or accrue any commitment fee pursuant to Section 2.12(a) for any period during which that Lender is a Defaulting Lender (and the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51155"/>
                <wp:effectExtent l="0" t="0" r="0" b="0"/>
                <wp:wrapNone/>
                <wp:docPr id="194" name="Frame19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shall not be required to pay any such fee that otherwise would have been required to have been paid to that Defaulting Lender) and (y) shall be limited in its right to receive Letter of Credit fees as provided in Section 2.12(b).</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u w:val="single"/>
        </w:rPr>
        <w:t>Reallocation of Applicable Percentages to Reduce Fronting Exposure</w:t>
      </w:r>
      <w:r>
        <w:rPr>
          <w:rFonts w:ascii="Times New Roman;sans-serif" w:hAnsi="Times New Roman;sans-serif"/>
          <w:b w:val="false"/>
          <w:color w:val="000000"/>
          <w:sz w:val="20"/>
        </w:rPr>
        <w:t>. During any period in which there is a Defaulting Lender, for purposes of computing the amount of the obligation of each non-Defaulting Lender to acquire, refinance or fund participations in Swingline Loans and Letters of Credit pursuant to Sections</w:t>
      </w:r>
    </w:p>
    <w:p>
      <w:pPr>
        <w:pStyle w:val="TextBody"/>
        <w:bidi w:val="0"/>
        <w:spacing w:lineRule="auto" w:line="288" w:before="1" w:after="283"/>
        <w:jc w:val="both"/>
        <w:rPr/>
      </w:pPr>
      <w:r>
        <w:rPr>
          <w:rFonts w:ascii="Times New Roman;sans-serif" w:hAnsi="Times New Roman;sans-serif"/>
          <w:b w:val="false"/>
          <w:color w:val="000000"/>
          <w:sz w:val="20"/>
        </w:rPr>
        <w:t xml:space="preserve">2.04 and 2.05 and the payments of participation fees pursuant to Section 2.12(b), the “Applicable Percentage” of each non-Defaulting Lender shall be computed without giving effect to the Revolving Commitment of that Defaulting Lender;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aggregate obligation of each non-Defaulting Lender to acquire, refinance or fund participations in Letters of Credit and Swingline Loans shall not exceed the positive difference, if any, of (1) the Revolving Commitment of that non-Defaulting Lender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(2) the aggregate principal amount of the Revolving Loans of that non-Defaulting Lender.</w:t>
      </w:r>
    </w:p>
    <w:p>
      <w:pPr>
        <w:pStyle w:val="TextBody"/>
        <w:bidi w:val="0"/>
        <w:spacing w:before="0" w:after="0"/>
        <w:jc w:val="both"/>
        <w:rPr/>
      </w:pPr>
      <w:r>
        <w:rPr/>
      </w:r>
    </w:p>
    <w:p>
      <w:pPr>
        <w:pStyle w:val="TextBody"/>
        <w:bidi w:val="0"/>
        <w:spacing w:lineRule="auto" w:line="288" w:before="60" w:after="283"/>
        <w:ind w:left="0" w:right="0" w:firstLine="775"/>
        <w:jc w:val="both"/>
        <w:rPr/>
      </w:pPr>
      <w:r>
        <w:rPr>
          <w:rFonts w:ascii="Times New Roman;sans-serif" w:hAnsi="Times New Roman;sans-serif"/>
          <w:b w:val="false"/>
          <w:color w:val="000000"/>
          <w:sz w:val="20"/>
        </w:rPr>
        <w:t>(v)</w:t>
      </w:r>
      <w:r>
        <w:rPr>
          <w:rFonts w:ascii="Times New Roman;sans-serif" w:hAnsi="Times New Roman;sans-serif"/>
          <w:b w:val="false"/>
          <w:color w:val="000000"/>
          <w:sz w:val="20"/>
          <w:u w:val="single"/>
        </w:rPr>
        <w:t>Cash Collateral, Repayment of Swingline Loans</w:t>
      </w:r>
      <w:r>
        <w:rPr>
          <w:rFonts w:ascii="Times New Roman;sans-serif" w:hAnsi="Times New Roman;sans-serif"/>
          <w:b w:val="false"/>
          <w:color w:val="000000"/>
          <w:sz w:val="20"/>
        </w:rPr>
        <w:t>. If the reallocation described in clause (iv) above cannot, or can only partially, be effected, the Borrower shall, without prejudice to any right or remedy available to it hereunder or under law, (x) first, prepay Swingline Loans in an amount equal to the Swingline Lenders’ Defaulting Lender Fronting Exposure and (y) second, cash collateralize the Issuing Banks’ Applicable Fronting Exposure in accordance with the procedures set forth in Section 2.05(j).</w:t>
      </w:r>
    </w:p>
    <w:p>
      <w:pPr>
        <w:pStyle w:val="TextBody"/>
        <w:bidi w:val="0"/>
        <w:spacing w:before="12"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Defaulting Lender Cure</w:t>
      </w:r>
      <w:r>
        <w:rPr>
          <w:rFonts w:ascii="Times New Roman;sans-serif" w:hAnsi="Times New Roman;sans-serif"/>
          <w:b w:val="false"/>
          <w:color w:val="000000"/>
          <w:sz w:val="20"/>
        </w:rPr>
        <w:t xml:space="preserve">. If the Borrower, the First Lien Administrative Agent, Swingline Lender and each Issuing Bank agree in writing in their sole discretion that a Defaulting Lender should no longer be deemed to be a Defaulting Lender, the First Lien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such Class of the other applicable Lenders or take such other actions as the First Lien Administrative Agent may determine to be necessary to cause the applicable Loans and funded and unfunded participations in Letters of Credit and Swingline Loans of such Class to be held on a pro rata basis by the applicable Lenders of such Class in accordance with their Applicable Percentages (without giving effect to Section 2.22(a)(iv) or the proviso to the definition thereof), whereupon that Lender will cease to be a Defaulting Lender with respect to such Class;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no adjustments will be made retroactively with respect to fees accrued or payments made by or on behalf of the Borrower while that Lender was a Defaulting Lender; and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16" w:after="283"/>
        <w:jc w:val="left"/>
        <w:rPr/>
      </w:pPr>
      <w:r>
        <w:rPr/>
      </w:r>
    </w:p>
    <w:p>
      <w:pPr>
        <w:pStyle w:val="TextBody"/>
        <w:bidi w:val="0"/>
        <w:spacing w:lineRule="auto" w:line="288" w:before="1" w:after="283"/>
        <w:jc w:val="left"/>
        <w:rPr/>
      </w:pPr>
      <w:r>
        <w:rPr>
          <w:rFonts w:ascii="Times New Roman;sans-serif" w:hAnsi="Times New Roman;sans-serif"/>
          <w:b w:val="false"/>
          <w:color w:val="000000"/>
          <w:sz w:val="20"/>
        </w:rPr>
        <w:t>SECTION 2.23    </w:t>
      </w:r>
      <w:r>
        <w:rPr>
          <w:rFonts w:ascii="Times New Roman;sans-serif" w:hAnsi="Times New Roman;sans-serif"/>
          <w:b w:val="false"/>
          <w:color w:val="000000"/>
          <w:sz w:val="20"/>
          <w:u w:val="single"/>
        </w:rPr>
        <w:t>Illegality</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any Lender determines that any law has made it unlawful, or that any Governmental Authority has asserted that it is unlawful, for any Lender to make, maintain or fund Loans whose interest is determined by reference to the Term Benchmark Rate or RFR Rate (whether denominated in Dollars or an Alternative Currency), or to determine or charge interest rates based upon the Term Benchmark Rate or RFR Rate, then, on notice thereof by such Lender to Borrower through the First Lien Administrative Agent, (i) any obligation of such Lender to make or continue Term Benchmark Loans or RFR Loans in the affected currency or currencies or to convert ABR Loans to Term Benchmark Loans or RFR Loans in the affected currency or currencies shall be suspended, and (ii) if such notice asserts the illegality of such Lender making or maintaining ABR Loans the interest rate on which is determined by reference to the Adjusted Term SOFR Rate component of the Alternate Base Rate or the Adjusted Term CORRA Rate component of the Canadian Base Rate, the interest rate on such ABR Loans of such Lender shall, if necessary to avoid such illegality, be determined by the First Lien Administrative Agent without reference to the Adjusted Term SOFR Rate component of the Alternate Base Rate or the Adjusted Term CORRA Rate component of the Canadian Base Rate, as applicable, in each case until such Lender notifies the First Lien Administrative Agent and the Borrower that the circumstances giving rise to such determination no longer exist. Upon receipt of such notice, (x) the Borrower shall, upon three Business Days’ notice from such Lender (with a copy to the First Lien Administrative Agent), prepay or (I) if applicable and such Loans are denominated in Dollars or Canadian Dollars, convert all Term Benchmark Loans denominated in Dollars or Canadian Dollars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51155"/>
                <wp:effectExtent l="0" t="0" r="0" b="0"/>
                <wp:wrapNone/>
                <wp:docPr id="195" name="Frame19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20"/>
        </w:rPr>
        <w:t xml:space="preserve">Lender to ABR Loans (the interest rate on which ABR Loans of such Lender shall, if necessary to avoid such illegality, be determined by the First Lien Administrative Agent without reference to the Adjusted Term SOFR Rate component of the Alternate Base Rate or the Adjusted Term CORRA Rate component of the Canadian Base Rate, as applicable), either on the last day of the Interest Period therefor, if such Lender may lawfully continue to maintain such Term Benchmark Loans and/or RFR Loans to such day, or immediately, if such Lender may not lawfully continue to maintain such Term Benchmark Loans and/or RFR Loans, or (II) if applicable and such Loans are denominated in an Alternative Currency (other than Canadian Dollars), to the extent the Borrower and the applicable Lenders agree, convert such Loans to Loans bearing interest at an alternative rate mutually acceptable to the Borrower and all of the applicable Lenders, in each case, either on the last day of the Interest Period therefor, if such Lender may lawfully continue to maintain such Term Benchmark Loans and/or RFR Loans to such day, or immediately, if such Lender may not lawfully continue to maintain such Term Benchmark Loans and/or RFR Loans;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if the Borrower and the applicable Lender cannot agree within a reasonable time on an alternative rate for such Loans denominated in an Alternative Currency (other than Canadian Dollars), the Borrower may, at its discretion, either (i) prepay such Loans or (ii) maintain such Loans outstanding, in which case, the interest rate payable to the applicable Lender on such Loans will be the rate determined by such Lender as its cost of funds to fund a Borrowing of such Loans with maturities comparable to the Interest Period applicable thereto plus the Applicable Rate unless the maintenance of such Loans outstanding on such basis would not stop the conditions described in the first sentence of this Section 2.23 from existing (in which case the Borrower shall be required to prepay such Loans), and (y) if such notice asserts the illegality of such Lender determining or charging interest rates based upon the Adjusted Term SOFR Rate or the Adjusted Term CORRA Rate, the First Lien Administrative Agent shall during the period of such suspension compute the Alternate Base Rate or the Canadian Base Rate, as applicable, applicable to such Lender without reference to the Adjusted Term SOFR Rate component, or the Adjusted Term CORRA Rate component, as applicable, thereof until the First Lien Administrative Agent is advised in writing by such Lender that it is no longer illegal for such Lender to determine or charge interest rates based upon the Adjusted Term SOFR Rate or the Adjusted Term CORRA Rate, as applicable. Each Lender agrees to notify the First Lien Administrative Agent and the Borrower in writing promptly upon becoming aware that it is no longer illegal for such Lender to determine or charge interest rates based upon the applicable Term Benchmark Rate or RFR Rate, as applicable. Upon any such prepayment or conversion, the Borrower shall also pay accrued interest on the amount so prepaid or converted.</w:t>
      </w:r>
    </w:p>
    <w:p>
      <w:pPr>
        <w:pStyle w:val="TextBody"/>
        <w:bidi w:val="0"/>
        <w:spacing w:before="17"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2.24    </w:t>
      </w:r>
      <w:r>
        <w:rPr>
          <w:rFonts w:ascii="Times New Roman;sans-serif" w:hAnsi="Times New Roman;sans-serif"/>
          <w:b w:val="false"/>
          <w:color w:val="000000"/>
          <w:sz w:val="20"/>
          <w:u w:val="single"/>
        </w:rPr>
        <w:t>Loan Modification Offers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(a)At any time after the Effective Date, the Borrower may on one or more occasions, by written notice to the First Lien Administrative Agent, make one or more offers (each, a “</w:t>
      </w:r>
      <w:r>
        <w:rPr>
          <w:rFonts w:ascii="Times New Roman;sans-serif" w:hAnsi="Times New Roman;sans-serif"/>
          <w:b w:val="false"/>
          <w:color w:val="000000"/>
          <w:sz w:val="20"/>
          <w:u w:val="single"/>
        </w:rPr>
        <w:t>Loan Modification Offer</w:t>
      </w:r>
      <w:r>
        <w:rPr>
          <w:color w:val="000000"/>
        </w:rPr>
        <w:t>”</w:t>
      </w:r>
      <w:r>
        <w:rPr>
          <w:rFonts w:ascii="Times New Roman;sans-serif" w:hAnsi="Times New Roman;sans-serif"/>
          <w:b w:val="false"/>
          <w:color w:val="000000"/>
          <w:sz w:val="20"/>
        </w:rPr>
        <w:t>) to all the Lenders of one or more Classes (each Class subject to such a Loan Modification Offer, an “</w:t>
      </w:r>
      <w:r>
        <w:rPr>
          <w:rFonts w:ascii="Times New Roman;sans-serif" w:hAnsi="Times New Roman;sans-serif"/>
          <w:b w:val="false"/>
          <w:color w:val="000000"/>
          <w:sz w:val="20"/>
          <w:u w:val="single"/>
        </w:rPr>
        <w:t>Affected Class</w:t>
      </w:r>
      <w:r>
        <w:rPr>
          <w:color w:val="000000"/>
        </w:rPr>
        <w:t>”</w:t>
      </w:r>
      <w:r>
        <w:rPr>
          <w:rFonts w:ascii="Times New Roman;sans-serif" w:hAnsi="Times New Roman;sans-serif"/>
          <w:b w:val="false"/>
          <w:color w:val="000000"/>
          <w:sz w:val="20"/>
        </w:rPr>
        <w:t>) to effect one or more Permitted Amendments relating to such Affected Class pursuant to procedures reasonably specified by the First Lien Administrative Agent and reasonably acceptable to the Borrower (including mechanics to permit cashless rollovers and exchanges by Lenders). Such notice shall set forth (i) the terms 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 Lenders, the “</w:t>
      </w:r>
      <w:r>
        <w:rPr>
          <w:rFonts w:ascii="Times New Roman;sans-serif" w:hAnsi="Times New Roman;sans-serif"/>
          <w:b w:val="false"/>
          <w:color w:val="000000"/>
          <w:sz w:val="20"/>
          <w:u w:val="single"/>
        </w:rPr>
        <w:t>Accepting Lenders</w:t>
      </w:r>
      <w:r>
        <w:rPr>
          <w:color w:val="000000"/>
        </w:rPr>
        <w:t>”</w:t>
      </w:r>
      <w:r>
        <w:rPr>
          <w:rFonts w:ascii="Times New Roman;sans-serif" w:hAnsi="Times New Roman;sans-serif"/>
          <w:b w:val="false"/>
          <w:color w:val="000000"/>
          <w:sz w:val="20"/>
        </w:rPr>
        <w:t>) and, in the case of any Accepting Lender, only with respect to such Lender’s Loans and Commitments of such Affected Class as to which such Lender’s acceptance has been made.</w:t>
      </w:r>
    </w:p>
    <w:p>
      <w:pPr>
        <w:pStyle w:val="TextBody"/>
        <w:bidi w:val="0"/>
        <w:spacing w:before="15" w:after="283"/>
        <w:jc w:val="left"/>
        <w:rPr/>
      </w:pPr>
      <w:r>
        <w:rPr/>
      </w:r>
    </w:p>
    <w:p>
      <w:pPr>
        <w:pStyle w:val="TextBody"/>
        <w:bidi w:val="0"/>
        <w:spacing w:lineRule="auto" w:line="288"/>
        <w:ind w:left="0" w:right="0" w:firstLine="1440"/>
        <w:jc w:val="both"/>
        <w:rPr/>
      </w:pPr>
      <w:r>
        <w:rPr>
          <w:rFonts w:ascii="Times New Roman;sans-serif" w:hAnsi="Times New Roman;sans-serif"/>
          <w:b w:val="false"/>
          <w:color w:val="000000"/>
          <w:sz w:val="20"/>
        </w:rPr>
        <w:t xml:space="preserve">(b)A Permitted Amendment shall be effected pursuant to a Loan Modification Agreement executed and delivered by Holdings, the Borrower, each applicable Accepting Lender and the First Lien Administrative Agent;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no Permitted Amendment shall become effective unless Holdings and the Borrower shall have delivered to the First Lien Administrative Agent such legal opinions, board resolutions, secretary’s certificates, officer’s certificates and other documents as shall be reasonably requested by the First Lien Administrative Agent in connection therewith. The First Lien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First Lien Loan Documents as may be necessary or appropriate, in the opinion of the First Lien Administrative Agent, to give effect to the provisions of this Section 2.24, including any amendments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51155"/>
                <wp:effectExtent l="0" t="0" r="0" b="0"/>
                <wp:wrapNone/>
                <wp:docPr id="196" name="Frame19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necessary to treat the applicable Loans and/or Commitments of the Accepting Lenders as a new “Class” of loans and/or commitments hereunder.</w:t>
      </w:r>
    </w:p>
    <w:p>
      <w:pPr>
        <w:pStyle w:val="TextBody"/>
        <w:bidi w:val="0"/>
        <w:spacing w:before="15"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(c)If, in connection with any proposed Loan Modification Offer, any Lender declines to consent to such Loan Modification Offer on the terms and by the deadline set forth in such Loan Modification Offer (each such Lender, a “</w:t>
      </w:r>
      <w:r>
        <w:rPr>
          <w:rFonts w:ascii="Times New Roman;sans-serif" w:hAnsi="Times New Roman;sans-serif"/>
          <w:b w:val="false"/>
          <w:color w:val="000000"/>
          <w:sz w:val="20"/>
          <w:u w:val="single"/>
        </w:rPr>
        <w:t>Non-Accepting Lender</w:t>
      </w:r>
      <w:r>
        <w:rPr>
          <w:color w:val="000000"/>
        </w:rPr>
        <w:t>”</w:t>
      </w:r>
      <w:r>
        <w:rPr>
          <w:rFonts w:ascii="Times New Roman;sans-serif" w:hAnsi="Times New Roman;sans-serif"/>
          <w:b w:val="false"/>
          <w:color w:val="000000"/>
          <w:sz w:val="20"/>
        </w:rPr>
        <w:t>) then the Borrower may, on notice to the First Lien Administrative Agent and the Non-Accepting Lender, (i) replace such Non-Accepting Lender in whole or in part by causing such Lender to (and such Lender shall be obligated to) assign and delegate, without recourse (in accordance with and subject to the restrictions contained in Section 9.04) all or any part of its interests, rights and obligations under this Agreement in respect of the Loans and Commitments of the Affected Class to one or more Eligible Assignees (which Eligible Assignee may be another Lender, if a Lender accepts such assignment); provided that neither the First Lien Administrative Agent nor any Lender shall have any obligation to the Borrower to find a replacement Lender; provided, further, that (a) the applicable assignee shall have agreed to provide Loans and/or Commitments on the terms set forth in the applicable Permitted Amendment, (b) such Non-Accepting Lender shall have received payment of an amount equal to the outstanding principal of the Loans of the Affected Class assigned by it pursuant to this Section 2.24(c), accrued interest thereon, accrued fees and all other amounts (including any amounts under Section 2.11(a)(i)) payable to it hereunder from the Eligible Assignee (to the extent of such outstanding principal and accrued interest and fees) and (c) unless waived, the Borrower or such Eligible Assignee shall have paid to the First Lien Administrative Agent the processing and recordation fee specified in Section 9.04(b).</w:t>
      </w:r>
    </w:p>
    <w:p>
      <w:pPr>
        <w:pStyle w:val="TextBody"/>
        <w:bidi w:val="0"/>
        <w:spacing w:before="13"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(d)Notwithstanding anything to the contrary, this Section 2.24 shall supersede any provisions in Section 2.18 or Section 9.02 to the contrary.</w:t>
      </w:r>
    </w:p>
    <w:p>
      <w:pPr>
        <w:pStyle w:val="TextBody"/>
        <w:bidi w:val="0"/>
        <w:spacing w:before="0" w:after="0"/>
        <w:jc w:val="left"/>
        <w:rPr/>
      </w:pPr>
      <w:r>
        <w:rPr/>
      </w:r>
    </w:p>
    <w:p>
      <w:pPr>
        <w:pStyle w:val="TextBody"/>
        <w:bidi w:val="0"/>
        <w:spacing w:before="0" w:after="0"/>
        <w:jc w:val="left"/>
        <w:rPr/>
      </w:pPr>
      <w:r>
        <w:rPr/>
      </w:r>
    </w:p>
    <w:p>
      <w:pPr>
        <w:pStyle w:val="TextBody"/>
        <w:bidi w:val="0"/>
        <w:spacing w:before="21" w:after="283"/>
        <w:jc w:val="left"/>
        <w:rPr/>
      </w:pPr>
      <w:r>
        <w:rPr/>
      </w:r>
    </w:p>
    <w:p>
      <w:pPr>
        <w:pStyle w:val="TextBody"/>
        <w:bidi w:val="0"/>
        <w:spacing w:lineRule="auto" w:line="556" w:before="0" w:after="0"/>
        <w:ind w:left="0" w:right="0" w:firstLine="1298"/>
        <w:jc w:val="left"/>
        <w:rPr/>
      </w:pPr>
      <w:r>
        <w:rPr>
          <w:rFonts w:ascii="Times New Roman;sans-serif" w:hAnsi="Times New Roman;sans-serif"/>
          <w:b w:val="false"/>
          <w:color w:val="000000"/>
          <w:sz w:val="20"/>
        </w:rPr>
        <w:t xml:space="preserve">ARTICLE III </w:t>
      </w:r>
      <w:r>
        <w:rPr>
          <w:rFonts w:ascii="Times New Roman;sans-serif" w:hAnsi="Times New Roman;sans-serif"/>
          <w:b w:val="false"/>
          <w:color w:val="000000"/>
          <w:sz w:val="20"/>
          <w:u w:val="single"/>
        </w:rPr>
        <w:t>REPRESENTATIONS AND WARRANTIES</w:t>
      </w:r>
    </w:p>
    <w:p>
      <w:pPr>
        <w:pStyle w:val="TextBody"/>
        <w:bidi w:val="0"/>
        <w:spacing w:before="11" w:after="283"/>
        <w:jc w:val="left"/>
        <w:rPr/>
      </w:pPr>
      <w:r>
        <w:rPr/>
      </w:r>
    </w:p>
    <w:p>
      <w:pPr>
        <w:pStyle w:val="TextBody"/>
        <w:bidi w:val="0"/>
        <w:spacing w:lineRule="auto" w:line="568" w:before="11" w:after="283"/>
        <w:jc w:val="left"/>
        <w:rPr/>
      </w:pPr>
      <w:r>
        <w:rPr>
          <w:rFonts w:ascii="Times New Roman;sans-serif" w:hAnsi="Times New Roman;sans-serif"/>
          <w:b w:val="false"/>
          <w:color w:val="000000"/>
          <w:sz w:val="20"/>
        </w:rPr>
        <w:t>Each of Holdings and the Borrower represents and warrants to the Lenders that: SECTION 3.01    </w:t>
      </w:r>
      <w:r>
        <w:rPr>
          <w:rFonts w:ascii="Times New Roman;sans-serif" w:hAnsi="Times New Roman;sans-serif"/>
          <w:b w:val="false"/>
          <w:color w:val="000000"/>
          <w:sz w:val="20"/>
          <w:u w:val="single"/>
        </w:rPr>
        <w:t>Organization; Powers</w:t>
      </w:r>
      <w:r>
        <w:rPr>
          <w:rFonts w:ascii="Times New Roman;sans-serif" w:hAnsi="Times New Roman;sans-serif"/>
          <w:b w:val="false"/>
          <w:color w:val="000000"/>
          <w:sz w:val="20"/>
        </w:rPr>
        <w:t>.</w:t>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Each of Holdings, any Intermediate Parent, the Borrower and its Restricted Subsidiaries is (a) duly organized or incorporated, validly existing and in good standing (to the extent such concept exists in the relevant jurisdictions) under the laws of the jurisdiction of its organization, (b) has the corporate or other organizational power and authority to carry on its business as now conducted and to execute, deliver and perform its obligations under each First Lien Loan Document to which it is a party and (c) is qualified to do business in, and is in good standing in, every jurisdiction where such qualification is required, except in the cases of clause (a) (other than with respect to the Borrower), clause (b) and clause (c), where the failure to do so, individually or in the aggregate, could not reasonably be expected to result in a Material Adverse Effect.</w:t>
      </w:r>
    </w:p>
    <w:p>
      <w:pPr>
        <w:pStyle w:val="TextBody"/>
        <w:bidi w:val="0"/>
        <w:spacing w:before="11" w:after="283"/>
        <w:jc w:val="left"/>
        <w:rPr/>
      </w:pPr>
      <w:r>
        <w:rPr/>
      </w:r>
    </w:p>
    <w:p>
      <w:pPr>
        <w:pStyle w:val="TextBody"/>
        <w:bidi w:val="0"/>
        <w:spacing w:lineRule="auto" w:line="288" w:before="1" w:after="283"/>
        <w:jc w:val="left"/>
        <w:rPr/>
      </w:pPr>
      <w:r>
        <w:rPr>
          <w:rFonts w:ascii="Times New Roman;sans-serif" w:hAnsi="Times New Roman;sans-serif"/>
          <w:b w:val="false"/>
          <w:color w:val="000000"/>
          <w:sz w:val="20"/>
        </w:rPr>
        <w:t>SECTION 3.02    </w:t>
      </w:r>
      <w:r>
        <w:rPr>
          <w:rFonts w:ascii="Times New Roman;sans-serif" w:hAnsi="Times New Roman;sans-serif"/>
          <w:b w:val="false"/>
          <w:color w:val="000000"/>
          <w:sz w:val="20"/>
          <w:u w:val="single"/>
        </w:rPr>
        <w:t>Authorization; Enforceability</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This Agreement has been duly authorized, executed and delivered by each of Holdings and the Borrower and constitutes, and each other First Lien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12" w:after="283"/>
        <w:jc w:val="left"/>
        <w:rPr/>
      </w:pPr>
      <w:r>
        <w:rPr/>
      </w:r>
    </w:p>
    <w:p>
      <w:pPr>
        <w:pStyle w:val="TextBody"/>
        <w:bidi w:val="0"/>
        <w:spacing w:lineRule="auto" w:line="288" w:before="1" w:after="283"/>
        <w:jc w:val="left"/>
        <w:rPr/>
      </w:pPr>
      <w:r>
        <w:rPr>
          <w:rFonts w:ascii="Times New Roman;sans-serif" w:hAnsi="Times New Roman;sans-serif"/>
          <w:b w:val="false"/>
          <w:color w:val="000000"/>
          <w:sz w:val="20"/>
        </w:rPr>
        <w:t>SECTION 3.03    </w:t>
      </w:r>
      <w:r>
        <w:rPr>
          <w:rFonts w:ascii="Times New Roman;sans-serif" w:hAnsi="Times New Roman;sans-serif"/>
          <w:b w:val="false"/>
          <w:color w:val="000000"/>
          <w:sz w:val="20"/>
          <w:u w:val="single"/>
        </w:rPr>
        <w:t>Governmental Approvals; No Conflicts</w:t>
      </w:r>
      <w:r>
        <w:rPr>
          <w:rFonts w:ascii="Times New Roman;sans-serif" w:hAnsi="Times New Roman;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51155"/>
                <wp:effectExtent l="0" t="0" r="0" b="0"/>
                <wp:wrapNone/>
                <wp:docPr id="197" name="Frame19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p>
                      <w:pPr>
                        <w:pStyle w:val="TextBody"/>
                        <w:bidi w:val="0"/>
                        <w:spacing w:before="0" w:after="0"/>
                        <w:jc w:val="left"/>
                        <w:rPr/>
                      </w:pPr>
                      <w:r>
                        <w:rPr/>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Except as set forth on Schedule 3.03, the First Lien Financing Transactions (a) do not require any consent or approval of, registration or filing with, or any other action by, any Governmental Authority, except such as have been obtained or made and are in full force and effect and except filings necessary to perfect Liens created under the First Lien Loan Documents, (b) will not violate (i) the Organizational Documents of, or (ii) any Requirements of Law applicable to, Holdings, any Intermediate Parent, the Borrower or any Restricted Subsidiary,</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(c)will not violate or result in a default under any indenture or other agreement or instrument binding upon Holdings, any Intermediate Parent, the Borrower or any Restricted Subsidiary or their respective assets, or give rise to a right thereunder to require any payment, repurchase or redemption to be made by Holdings, any Intermediate Parent, the Borrower or any Restricted Subsidiary, or give rise to a right of, or result in, termination, cancellation or acceleration of any obligation thereunder and (d) will not result in the creation or imposition of any Lien on any asset of Holdings, any Intermediate Parent, the Borrower or any Restricted Subsidiary(other than Liens created under the First Lien Loan Documents) except (in the case of each of clauses (a), (b)(ii) and (c)) to the extent that the failure to obtain or make such consent, approval, registration, filing or action, or such violation, default or right, as the case may be, individually or in the aggregate, would not reasonably be expected to have a Material Adverse Effect.</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3.04    </w:t>
      </w:r>
      <w:r>
        <w:rPr>
          <w:rFonts w:ascii="Times New Roman;sans-serif" w:hAnsi="Times New Roman;sans-serif"/>
          <w:b w:val="false"/>
          <w:color w:val="000000"/>
          <w:sz w:val="20"/>
          <w:u w:val="single"/>
        </w:rPr>
        <w:t>Financial Condition; No Material Adverse Effect</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(a)The Audited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respective dates thereof and their results of operations and cash flows for the period covered thereby in accordance with GAAP consistently applied throughout the period covered thereby, except as otherwise expressly noted therein.</w:t>
      </w:r>
    </w:p>
    <w:p>
      <w:pPr>
        <w:pStyle w:val="TextBody"/>
        <w:bidi w:val="0"/>
        <w:spacing w:before="12" w:after="283"/>
        <w:jc w:val="left"/>
        <w:rPr/>
      </w:pPr>
      <w:r>
        <w:rPr/>
      </w:r>
    </w:p>
    <w:p>
      <w:pPr>
        <w:pStyle w:val="TextBody"/>
        <w:bidi w:val="0"/>
        <w:spacing w:lineRule="auto" w:line="288" w:before="1" w:after="283"/>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(b)Since the Effective Date, there has been no Material Adverse Effect.</w:t>
      </w:r>
    </w:p>
    <w:p>
      <w:pPr>
        <w:pStyle w:val="TextBody"/>
        <w:bidi w:val="0"/>
        <w:spacing w:before="1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3.05    </w:t>
      </w:r>
      <w:r>
        <w:rPr>
          <w:rFonts w:ascii="Times New Roman;sans-serif" w:hAnsi="Times New Roman;sans-serif"/>
          <w:b w:val="false"/>
          <w:color w:val="000000"/>
          <w:sz w:val="20"/>
          <w:u w:val="single"/>
        </w:rPr>
        <w:t>Properties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Each of Holdings, each Intermediate Parent, the Borrower and the Restricted Subsidiaries has good fee simple, or the equivalent in foreign jurisdictions, title to, or valid leasehold (or license or similar) interests in or other limited property interests in, all its real and personal property material to its business, if any (including all of the Mortgaged Properties), (i) free and clear of all Liens except for Liens permitted by Section 6.02 and (ii) except for minor defects in title or interest that do not interfere with its ability to conduct its business as currently conducted or as proposed to be conducted or to utilize such properties for their intended purposes, in each case, except where the failure to do so would not reasonably be expected to have, individually or in the aggregate, a Material Adverse Effect.</w:t>
      </w:r>
    </w:p>
    <w:p>
      <w:pPr>
        <w:pStyle w:val="TextBody"/>
        <w:bidi w:val="0"/>
        <w:spacing w:before="14"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3.06    </w:t>
      </w:r>
      <w:r>
        <w:rPr>
          <w:rFonts w:ascii="Times New Roman;sans-serif" w:hAnsi="Times New Roman;sans-serif"/>
          <w:b w:val="false"/>
          <w:color w:val="000000"/>
          <w:sz w:val="20"/>
          <w:u w:val="single"/>
        </w:rPr>
        <w:t>Litigation and Environmental Matters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(a)Except as set forth on Schedule 3.06, there are no actions, suits or proceedings by or before any arbitrator or Governmental Authority pending against or, to the knowledge of Holdings or the Borrower, threatened in writing against or affecting Holdings, any Intermediate Parent, the Borrower or any Restricted Subsidiary that would reasonably be expected, individually or in the aggregate, to result in a Material Adverse Effect.</w:t>
      </w:r>
    </w:p>
    <w:p>
      <w:pPr>
        <w:pStyle w:val="TextBody"/>
        <w:bidi w:val="0"/>
        <w:spacing w:before="12"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(b)Except as set forth on Schedule 3.06, and except with respect to any other matters that, individually or in the aggregate, would not reasonably be expected to result in a Material Adverse Effect, none of Holdings, any Intermediate Parent, the Borrower or any Restricted Subsidiary (i) is not in compliance with any Environmental Law or permit, license or approval required under any Environmental Law, (ii) has, to the knowledge of Holdings or the Borrower, become subject to any Environmental Liability or (iii) has received written notice of any claim with respect to any Environmental Liability.</w:t>
      </w:r>
    </w:p>
    <w:p>
      <w:pPr>
        <w:pStyle w:val="TextBody"/>
        <w:bidi w:val="0"/>
        <w:spacing w:before="13" w:after="283"/>
        <w:jc w:val="left"/>
        <w:rPr/>
      </w:pPr>
      <w:r>
        <w:rPr/>
      </w:r>
    </w:p>
    <w:p>
      <w:pPr>
        <w:pStyle w:val="TextBody"/>
        <w:bidi w:val="0"/>
        <w:spacing w:lineRule="auto" w:line="288"/>
        <w:jc w:val="left"/>
        <w:rPr/>
      </w:pPr>
      <w:r>
        <w:rPr>
          <w:rFonts w:ascii="Times New Roman;sans-serif" w:hAnsi="Times New Roman;sans-serif"/>
          <w:b w:val="false"/>
          <w:color w:val="000000"/>
          <w:sz w:val="20"/>
        </w:rPr>
        <w:t>SECTION 3.07    </w:t>
      </w:r>
      <w:r>
        <w:rPr>
          <w:rFonts w:ascii="Times New Roman;sans-serif" w:hAnsi="Times New Roman;sans-serif"/>
          <w:b w:val="false"/>
          <w:color w:val="000000"/>
          <w:sz w:val="20"/>
          <w:u w:val="single"/>
        </w:rPr>
        <w:t>Compliance with Laws and Agreements</w:t>
      </w:r>
      <w:r>
        <w:rPr>
          <w:rFonts w:ascii="Times New Roman;sans-serif" w:hAnsi="Times New Roman;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51155"/>
                <wp:effectExtent l="0" t="0" r="0" b="0"/>
                <wp:wrapNone/>
                <wp:docPr id="198" name="Frame19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p>
                      <w:pPr>
                        <w:pStyle w:val="TextBody"/>
                        <w:bidi w:val="0"/>
                        <w:spacing w:before="0" w:after="0"/>
                        <w:jc w:val="left"/>
                        <w:rPr/>
                      </w:pPr>
                      <w:r>
                        <w:rPr/>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Each of Holdings, each Intermediate Parent, the Borrower and its Restricted Subsidiaries is in compliance with (a) its Organizational Documents, (b) all Requirements of Law applicable to it or its property and</w:t>
      </w:r>
    </w:p>
    <w:p>
      <w:pPr>
        <w:pStyle w:val="TextBody"/>
        <w:bidi w:val="0"/>
        <w:spacing w:lineRule="auto" w:line="288" w:before="1" w:after="283"/>
        <w:ind w:left="0" w:right="0" w:hanging="274"/>
        <w:jc w:val="left"/>
        <w:rPr>
          <w:rFonts w:ascii="Times New Roman;sans-serif" w:hAnsi="Times New Roman;sans-serif"/>
          <w:b w:val="false"/>
          <w:color w:val="000000"/>
          <w:sz w:val="20"/>
        </w:rPr>
      </w:pPr>
      <w:r>
        <w:rPr>
          <w:rFonts w:ascii="Times New Roman;sans-serif" w:hAnsi="Times New Roman;sans-serif"/>
          <w:b w:val="false"/>
          <w:color w:val="000000"/>
          <w:sz w:val="20"/>
        </w:rPr>
        <w:t>(c)all indentures and other agreements and instruments binding upon it or its property, except, in the case of clauses</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and (c) of this Section 3.07, where the failure to do so, individually or in the aggregate, would not reasonably be expected to result in a Material Adverse Effect.</w:t>
      </w:r>
    </w:p>
    <w:p>
      <w:pPr>
        <w:pStyle w:val="TextBody"/>
        <w:bidi w:val="0"/>
        <w:spacing w:before="1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3.08    </w:t>
      </w:r>
      <w:r>
        <w:rPr>
          <w:rFonts w:ascii="Times New Roman;sans-serif" w:hAnsi="Times New Roman;sans-serif"/>
          <w:b w:val="false"/>
          <w:color w:val="000000"/>
          <w:sz w:val="20"/>
          <w:u w:val="single"/>
        </w:rPr>
        <w:t>Investment Company Status</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Loan Parties is required to register as an “investment company” under the Investment Company Act of 1940, as amended from time to time.</w:t>
      </w:r>
    </w:p>
    <w:p>
      <w:pPr>
        <w:pStyle w:val="TextBody"/>
        <w:bidi w:val="0"/>
        <w:spacing w:before="0" w:after="0"/>
        <w:jc w:val="left"/>
        <w:rPr/>
      </w:pPr>
      <w:r>
        <w:rPr/>
      </w:r>
    </w:p>
    <w:p>
      <w:pPr>
        <w:pStyle w:val="TextBody"/>
        <w:bidi w:val="0"/>
        <w:spacing w:lineRule="auto" w:line="288" w:before="60" w:after="283"/>
        <w:jc w:val="left"/>
        <w:rPr/>
      </w:pPr>
      <w:r>
        <w:rPr>
          <w:rFonts w:ascii="Times New Roman;sans-serif" w:hAnsi="Times New Roman;sans-serif"/>
          <w:b w:val="false"/>
          <w:color w:val="000000"/>
          <w:sz w:val="20"/>
        </w:rPr>
        <w:t>SECTION 3.09    </w:t>
      </w:r>
      <w:r>
        <w:rPr>
          <w:rFonts w:ascii="Times New Roman;sans-serif" w:hAnsi="Times New Roman;sans-serif"/>
          <w:b w:val="false"/>
          <w:color w:val="000000"/>
          <w:sz w:val="20"/>
          <w:u w:val="single"/>
        </w:rPr>
        <w:t>Taxes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0"/>
        </w:rPr>
        <w:t xml:space="preserve">Except as would not, individually or in the aggregate, reasonably be expected to have a Material Adverse Effect, Holdings, each Intermediate Parent, the Borrower and each Restricted Subsidiary (a) have timely filed or caused to be filed all Tax returns and reports required to have been filed and (b) have paid or caused to be paid all Taxes levied or imposed on their properties, income or assets (whether or not shown on a Tax return) including in their capacity as tax withholding agents, except any Taxes that are being contested in good faith by appropriate proceedings,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Holdings, the Borrower or such Intermediate Parent or Restricted Subsidiary, as the case may be, has set aside on its books adequate reserves therefor in accordance with GAAP. There is no proposed Tax assessment, deficiency or other claim against Holdings, any Intermediate Parent, the Borrower or any Restricted Subsidiary that would reasonably be expected to, individually or in the aggregate, have a Material Adverse Effect.</w:t>
      </w:r>
    </w:p>
    <w:p>
      <w:pPr>
        <w:pStyle w:val="TextBody"/>
        <w:bidi w:val="0"/>
        <w:spacing w:before="14"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3.10    </w:t>
      </w:r>
      <w:r>
        <w:rPr>
          <w:rFonts w:ascii="Times New Roman;sans-serif" w:hAnsi="Times New Roman;sans-serif"/>
          <w:b w:val="false"/>
          <w:color w:val="000000"/>
          <w:sz w:val="20"/>
          <w:u w:val="single"/>
        </w:rPr>
        <w:t>ERISA</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(a)Except as would not, individually or in the aggregate, reasonably be expected to result in a Material Adverse Effect, each Plan sponsored by a Loan Party is in compliance with the applicable provisions of ERISA, the Code and other federal or state laws.</w:t>
      </w:r>
    </w:p>
    <w:p>
      <w:pPr>
        <w:pStyle w:val="TextBody"/>
        <w:bidi w:val="0"/>
        <w:spacing w:before="11"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(b)Except as would not reasonably be expected, individually or in the aggregate, to result in a Material Adverse Effect, (i) no ERISA Event has occurred during the six year period prior to the date on which this representation is made or deemed made or is reasonably expected to occur and (ii) neither any Loan Party nor, to the knowledge of Holdings and the Borrower, any ERISA Affiliate has engaged in a transaction that would reasonably be expected to be subject to Section 4069 or 4212(c) of ERISA.</w:t>
      </w:r>
    </w:p>
    <w:p>
      <w:pPr>
        <w:pStyle w:val="TextBody"/>
        <w:bidi w:val="0"/>
        <w:spacing w:before="11"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(c)Except as would not reasonably be expected, individually or in the aggregate, to result in a Material Adverse Effect, (i) each employee benefit plan (as defined in Section 3(2) of ERISA) sponsored by a Loan Party that is intended to meet the requirements of a “qualified plan” under Section 401(a) of the Code has either received a favorable determination letter from the Internal Revenue Service to the effect that the form of such plan is qualified under Section 401(a) of the Code or is in the form of a prototype or volume submitter plan that has received a favorable opinion letter, in each case from the Internal Revenue Service as to such plan’s qualified status and the trust related thereto has been determined by the Internal Revenue Service to be exempt from federal income tax under Section 501(a) of the Code, or an application for such a letter is currently being processed by the Internal Revenue Service; (ii) to the knowledge of Holdings and the Borrower, no fact or event has occurred that could adversely affect the qualified status of any such employee benefit plan or the exempt status of any such trust; and</w:t>
      </w:r>
    </w:p>
    <w:p>
      <w:pPr>
        <w:pStyle w:val="TextBody"/>
        <w:bidi w:val="0"/>
        <w:spacing w:lineRule="auto" w:line="288" w:before="4" w:after="283"/>
        <w:jc w:val="both"/>
        <w:rPr>
          <w:rFonts w:ascii="Times New Roman;sans-serif" w:hAnsi="Times New Roman;sans-serif"/>
          <w:b w:val="false"/>
          <w:color w:val="000000"/>
          <w:sz w:val="20"/>
        </w:rPr>
      </w:pPr>
      <w:r>
        <w:rPr>
          <w:rFonts w:ascii="Times New Roman;sans-serif" w:hAnsi="Times New Roman;sans-serif"/>
          <w:b w:val="false"/>
          <w:color w:val="000000"/>
          <w:sz w:val="20"/>
        </w:rPr>
        <w:t>(iii) there are no pending or, to the knowledge of Holdings and the Borrower, threatened (in writing) claims, actions or lawsuits, or action by any Governmental Authority, with respect to any such plan.</w:t>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3.11    </w:t>
      </w:r>
      <w:r>
        <w:rPr>
          <w:rFonts w:ascii="Times New Roman;sans-serif" w:hAnsi="Times New Roman;sans-serif"/>
          <w:b w:val="false"/>
          <w:color w:val="000000"/>
          <w:sz w:val="20"/>
          <w:u w:val="single"/>
        </w:rPr>
        <w:t>Disclosure</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51155"/>
                <wp:effectExtent l="0" t="0" r="0" b="0"/>
                <wp:wrapNone/>
                <wp:docPr id="199" name="Frame19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ind w:left="0" w:right="0" w:firstLine="1440"/>
        <w:jc w:val="both"/>
        <w:rPr/>
      </w:pPr>
      <w:r>
        <w:rPr>
          <w:rFonts w:ascii="Times New Roman;sans-serif" w:hAnsi="Times New Roman;sans-serif"/>
          <w:b w:val="false"/>
          <w:color w:val="000000"/>
          <w:sz w:val="20"/>
        </w:rPr>
        <w:t xml:space="preserve">As of the Effective Date, all written factual information and written factual data (other than projections the Borrower and its Subsidiaries and information of a general economic or industry specific nature) furnished by or on behalf of any of Holdings, the Borrower and its Restricted Subsidiaries to the First Lien Administrative Agent, any Joint Lead Arranger or any Lender in connection with the Transactions, when taken as a whole after giving effect to all supplements and updates provided thereto, is correct in all material respects and does not contain any untrue statement of a material fact or omit to state any material fact necessary to make the statements therein not materially misleading in the light of the circumstances under which they were made;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with respect to the projections, Holdings and the Borrower represent only that such projections, when taken as a whole, were prepared in good faith based upon assumptions believed by them to be reasonable at the time delivered, it being understood that (i) such projections are merely a prediction as to future events and are not to be viewed as facts, (ii) such projections are subject to significant uncertainties and contingencies, many of which are beyond the control of the Borrower or any of its Subsidiaries and (iii) no assurance can be given that any particular projections will be realized and that actual results during the period or periods covered by any such projections may differ significantly from the projected results and such differences may be material.</w:t>
      </w:r>
    </w:p>
    <w:p>
      <w:pPr>
        <w:pStyle w:val="TextBody"/>
        <w:bidi w:val="0"/>
        <w:spacing w:before="10" w:after="283"/>
        <w:jc w:val="left"/>
        <w:rPr/>
      </w:pPr>
      <w:r>
        <w:rPr/>
      </w:r>
    </w:p>
    <w:p>
      <w:pPr>
        <w:pStyle w:val="TextBody"/>
        <w:bidi w:val="0"/>
        <w:spacing w:lineRule="auto" w:line="288" w:before="1" w:after="283"/>
        <w:jc w:val="left"/>
        <w:rPr/>
      </w:pPr>
      <w:r>
        <w:rPr>
          <w:rFonts w:ascii="Times New Roman;sans-serif" w:hAnsi="Times New Roman;sans-serif"/>
          <w:b w:val="false"/>
          <w:color w:val="000000"/>
          <w:sz w:val="20"/>
        </w:rPr>
        <w:t>SECTION 3.12    </w:t>
      </w:r>
      <w:r>
        <w:rPr>
          <w:rFonts w:ascii="Times New Roman;sans-serif" w:hAnsi="Times New Roman;sans-serif"/>
          <w:b w:val="false"/>
          <w:color w:val="000000"/>
          <w:sz w:val="20"/>
          <w:u w:val="single"/>
        </w:rPr>
        <w:t>Subsidiaries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As of the Effective Date, Schedule 3.12 sets forth the name of, and the ownership interest of Holdings and each of its Subsidiaries in, each Subsidiary of Holdings.</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3.13    </w:t>
      </w:r>
      <w:r>
        <w:rPr>
          <w:rFonts w:ascii="Times New Roman;sans-serif" w:hAnsi="Times New Roman;sans-serif"/>
          <w:b w:val="false"/>
          <w:color w:val="000000"/>
          <w:sz w:val="20"/>
          <w:u w:val="single"/>
        </w:rPr>
        <w:t>Intellectual Property; Licenses, Etc.</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Except as would not reasonably be expected to have a Material Adverse Effect, each of Holdings, each Intermediate Parent, the Borrower and its Restricted Subsidiaries owns, licenses or possesses the right to use all Intellectual Property that is reasonably necessary for the operation of its business substantially as currently conducted. To the knowledge of Holdings and the Borrower, no Intellectual Property used by Holdings, any Intermediate Parent, the Borrower or any Restricted Subsidiary in the operation of its business as currently conducted infringes upon the Intellectual Property of any Person except for such infringements that would not reasonably be expected to have, individually or in the aggregate, a Material Adverse Effect. No claim or litigation regarding any of the Intellectual Property is pending or, to the knowledge of Holdings and the Borrower, threatened in writing against Holdings, any Intermediate Parent, the Borrower or any Restricted Subsidiary, which, individually or in the aggregate, would reasonably be expected to have a Material Adverse Effect.</w:t>
      </w:r>
    </w:p>
    <w:p>
      <w:pPr>
        <w:pStyle w:val="TextBody"/>
        <w:bidi w:val="0"/>
        <w:spacing w:before="14" w:after="283"/>
        <w:jc w:val="left"/>
        <w:rPr/>
      </w:pPr>
      <w:r>
        <w:rPr/>
      </w:r>
    </w:p>
    <w:p>
      <w:pPr>
        <w:pStyle w:val="TextBody"/>
        <w:bidi w:val="0"/>
        <w:spacing w:lineRule="auto" w:line="288" w:before="1" w:after="283"/>
        <w:jc w:val="left"/>
        <w:rPr/>
      </w:pPr>
      <w:r>
        <w:rPr>
          <w:rFonts w:ascii="Times New Roman;sans-serif" w:hAnsi="Times New Roman;sans-serif"/>
          <w:b w:val="false"/>
          <w:color w:val="000000"/>
          <w:sz w:val="20"/>
        </w:rPr>
        <w:t>SECTION 3.14    </w:t>
      </w:r>
      <w:r>
        <w:rPr>
          <w:rFonts w:ascii="Times New Roman;sans-serif" w:hAnsi="Times New Roman;sans-serif"/>
          <w:b w:val="false"/>
          <w:color w:val="000000"/>
          <w:sz w:val="20"/>
          <w:u w:val="single"/>
        </w:rPr>
        <w:t>Solvency</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after the consummation of each of the Transactions to occur on the Effective Date, after taking into account all applicable rights of indemnity and contribution, (a) the sum of the debt (including contingent liabilities) of the Borrower and its subsidiaries, on a consolidated basis, does not exceed the present fair saleable value of the present assets of the Borrower and its Subsidiaries, on a consolidated basis, (b) the capital of the Borrower and its Subsidiaries, on a consolidated basis, is not unreasonably small in relation to their business as contemplated on the Effective Date, (c) the Borrower and its Subsidiaries, on a consolidated basis, have not incurred and do not intend to incur, or believe that they will incur, debts including current obligations, beyond their ability to pay such debts as they become due (whether at maturity or otherwise), and (d) the Borrower and its Subsidiaries, on a consolidated basis, are “solvent” within the meaning given to that term and similar terms under applicable laws relating to fraudulent transfers and conveyances. For purposes of this Section 3.14, the amount of any contingent liability at any time shall be computed as the amount that, in the light of all of the facts and circumstances existing at such time, represents the amount that would reasonably be expected to become an actual or matured liability (irrespective of whether such contingent liabilities meet the criteria for accrual pursuant to Financial Accounting Standards Board Statement No. 5).</w:t>
      </w:r>
    </w:p>
    <w:p>
      <w:pPr>
        <w:pStyle w:val="TextBody"/>
        <w:bidi w:val="0"/>
        <w:spacing w:before="16"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3.15    </w:t>
      </w:r>
      <w:r>
        <w:rPr>
          <w:rFonts w:ascii="Times New Roman;sans-serif" w:hAnsi="Times New Roman;sans-serif"/>
          <w:b w:val="false"/>
          <w:color w:val="000000"/>
          <w:sz w:val="20"/>
          <w:u w:val="single"/>
        </w:rPr>
        <w:t>Federal Reserve Regulations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of Holdings, any Intermediate Parent, the Borrower or any Restricted Subsidiary is engaged or will engage, principally or as one of its important activities, in the business of purchasing or carrying margin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51155"/>
                <wp:effectExtent l="0" t="0" r="0" b="0"/>
                <wp:wrapNone/>
                <wp:docPr id="200" name="Frame19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 (within the meaning of Regulation U of the Board of Governors), or extending credit for the purpose of purchasing or carrying margin stock. No part of the proceeds of the Loans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w:t>
      </w:r>
    </w:p>
    <w:p>
      <w:pPr>
        <w:pStyle w:val="TextBody"/>
        <w:bidi w:val="0"/>
        <w:spacing w:before="13"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3.16    </w:t>
      </w:r>
      <w:r>
        <w:rPr>
          <w:rFonts w:ascii="Times New Roman;sans-serif" w:hAnsi="Times New Roman;sans-serif"/>
          <w:b w:val="false"/>
          <w:color w:val="000000"/>
          <w:sz w:val="20"/>
          <w:u w:val="single"/>
        </w:rPr>
        <w:t>Use of Proceeds</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The Borrower will use the proceeds of the (a) Term Loans made on the Amendment No. 4 Effective Date to directly or indirectly finance the Amendment No. 4 Transactions and otherwise for general corporate purposes, including capital expenditures, to fund Permitted Acquisitions, Permitted Investments, Restricted payments and other transactions not prohibited by this Agreement and (b) the Revolving Loans and Swingline Loans made, and Letters of Credit issued, after the Effective Date for general corporate purposes, including capital expenditures, to fund Permitted Acquisitions, Permitted Investments, Restricted payments and other transactions not prohibited by this Agreement; provided that up to $25,000,000 of Revolving Loans made on the Effective Date may be used to finance the Transactions and pay Transaction Costs, (c) First Lien Incremental Term Facilities, directly or indirectly, on or after the Effective Date, for general corporate purposes including capital expenditures, to fund Permitted Acquisitions, Permitted Investments, Restricted payments and other transactions not prohibited by this Agreement.</w:t>
      </w:r>
    </w:p>
    <w:p>
      <w:pPr>
        <w:pStyle w:val="TextBody"/>
        <w:bidi w:val="0"/>
        <w:spacing w:before="13"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3.17    </w:t>
      </w:r>
      <w:r>
        <w:rPr>
          <w:rFonts w:ascii="Times New Roman;sans-serif" w:hAnsi="Times New Roman;sans-serif"/>
          <w:b w:val="false"/>
          <w:color w:val="000000"/>
          <w:sz w:val="20"/>
          <w:u w:val="single"/>
        </w:rPr>
        <w:t>Patriot Act; OFAC and FCPA</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(a)The Borrower will not knowingly use the proceeds of the Loans, or otherwise make available such proceeds to any Person subject to Sanctions for the purpose of funding the activities of any Person subject to Sanctions in any manner that would result in a violation of applicable Sanctions by such Person. The Borrower will not use the proceeds of the Loans for any payments to any governmental official or employee, political party, official of a political party, candidate for political office, or anyone else acting in an official capacity on behalf of a government, in order to obtain, retain or direct business or obtain any improper advantage, in each case in violation of the United States Foreign Corrupt Practices Act of 1977, as amended (the “</w:t>
      </w:r>
      <w:r>
        <w:rPr>
          <w:rFonts w:ascii="Times New Roman;sans-serif" w:hAnsi="Times New Roman;sans-serif"/>
          <w:b w:val="false"/>
          <w:color w:val="000000"/>
          <w:sz w:val="20"/>
          <w:u w:val="single"/>
        </w:rPr>
        <w:t>FCPA</w:t>
      </w:r>
      <w:r>
        <w:rPr>
          <w:color w:val="000000"/>
        </w:rPr>
        <w:t>”</w:t>
      </w:r>
      <w:r>
        <w:rPr>
          <w:rFonts w:ascii="Times New Roman;sans-serif" w:hAnsi="Times New Roman;sans-serif"/>
          <w:b w:val="false"/>
          <w:color w:val="000000"/>
          <w:sz w:val="20"/>
        </w:rPr>
        <w:t>).</w:t>
      </w:r>
    </w:p>
    <w:p>
      <w:pPr>
        <w:pStyle w:val="TextBody"/>
        <w:bidi w:val="0"/>
        <w:spacing w:before="13"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(b)To the knowledge of Holdings, each of Holdings, the Borrower and the Restricted Subsidiaries is in compliance in all material respects with (i) applicable regulations of the United States Department of the Treasury’s Office of Foreign Assets Control (“</w:t>
      </w:r>
      <w:r>
        <w:rPr>
          <w:rFonts w:ascii="Times New Roman;sans-serif" w:hAnsi="Times New Roman;sans-serif"/>
          <w:b w:val="false"/>
          <w:color w:val="000000"/>
          <w:sz w:val="20"/>
          <w:u w:val="single"/>
        </w:rPr>
        <w:t>OFAC</w:t>
      </w:r>
      <w:r>
        <w:rPr>
          <w:color w:val="000000"/>
        </w:rPr>
        <w:t>”</w:t>
      </w:r>
      <w:r>
        <w:rPr>
          <w:rFonts w:ascii="Times New Roman;sans-serif" w:hAnsi="Times New Roman;sans-serif"/>
          <w:b w:val="false"/>
          <w:color w:val="000000"/>
          <w:sz w:val="20"/>
        </w:rPr>
        <w:t>), (ii) Title III of the USA Patriot Act and (iii) the FCPA.</w:t>
      </w:r>
    </w:p>
    <w:p>
      <w:pPr>
        <w:pStyle w:val="TextBody"/>
        <w:bidi w:val="0"/>
        <w:spacing w:before="12"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(c)None of Holdings, any Intermediate Parent, the Borrower, any of the Restricted Subsidiaries or, to the knowledge of the Borrower, any director or officer thereof, is an individual or entity that is currently identified on OFAC’s list of Specially Designated Nationals and Blocked Persons, nor is Holdings, any Intermediate Parent, the Borrower or any Restricted Subsidiary located, organized or resident in a Sanctioned Country.</w:t>
      </w:r>
    </w:p>
    <w:p>
      <w:pPr>
        <w:pStyle w:val="TextBody"/>
        <w:bidi w:val="0"/>
        <w:spacing w:before="12" w:after="283"/>
        <w:jc w:val="left"/>
        <w:rPr/>
      </w:pPr>
      <w:r>
        <w:rPr/>
      </w:r>
    </w:p>
    <w:p>
      <w:pPr>
        <w:pStyle w:val="TextBody"/>
        <w:bidi w:val="0"/>
        <w:spacing w:lineRule="auto" w:line="556" w:before="0" w:after="0"/>
        <w:ind w:left="0" w:right="0" w:hanging="5"/>
        <w:jc w:val="center"/>
        <w:rPr/>
      </w:pPr>
      <w:r>
        <w:rPr>
          <w:rFonts w:ascii="Times New Roman;sans-serif" w:hAnsi="Times New Roman;sans-serif"/>
          <w:b w:val="false"/>
          <w:color w:val="000000"/>
          <w:sz w:val="20"/>
        </w:rPr>
        <w:t xml:space="preserve">ARTICLE IV </w:t>
      </w:r>
      <w:r>
        <w:rPr>
          <w:rFonts w:ascii="Times New Roman;sans-serif" w:hAnsi="Times New Roman;sans-serif"/>
          <w:b w:val="false"/>
          <w:color w:val="000000"/>
          <w:sz w:val="20"/>
          <w:u w:val="single"/>
        </w:rPr>
        <w:t>CONDITIONS</w:t>
      </w:r>
    </w:p>
    <w:p>
      <w:pPr>
        <w:pStyle w:val="TextBody"/>
        <w:bidi w:val="0"/>
        <w:spacing w:lineRule="auto" w:line="288" w:before="11" w:after="283"/>
        <w:jc w:val="left"/>
        <w:rPr/>
      </w:pPr>
      <w:r>
        <w:rPr>
          <w:rFonts w:ascii="Times New Roman;sans-serif" w:hAnsi="Times New Roman;sans-serif"/>
          <w:b w:val="false"/>
          <w:color w:val="000000"/>
          <w:sz w:val="20"/>
        </w:rPr>
        <w:t>SECTION 4.01    </w:t>
      </w:r>
      <w:r>
        <w:rPr>
          <w:rFonts w:ascii="Times New Roman;sans-serif" w:hAnsi="Times New Roman;sans-serif"/>
          <w:b w:val="false"/>
          <w:color w:val="000000"/>
          <w:sz w:val="20"/>
          <w:u w:val="single"/>
        </w:rPr>
        <w:t>Effective Date</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 of each Lender to make Loans and the obligations of each Issuing Bank to issue Letters of Credit hereunder on the Effective Date shall be subject to satisfaction of the following conditions (or waiver thereof in accordance with Section 9.02):</w:t>
      </w:r>
    </w:p>
    <w:p>
      <w:pPr>
        <w:pStyle w:val="TextBody"/>
        <w:bidi w:val="0"/>
        <w:spacing w:before="11"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First Lien Administrative Agent (or its counsel) shall have received from each party hereto either (i) a counterpart of this Agreement signed on behalf of such party or (ii) otherwise written evidence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51155"/>
                <wp:effectExtent l="0" t="0" r="0" b="0"/>
                <wp:wrapNone/>
                <wp:docPr id="201" name="Frame20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satisfactory to the First Lien Administrative Agent (which may include facsimile or other electronic transmission of a signed counterpart of this Agreement) that such party has signed a counterpart of this Agreement.</w:t>
      </w:r>
    </w:p>
    <w:p>
      <w:pPr>
        <w:pStyle w:val="TextBody"/>
        <w:bidi w:val="0"/>
        <w:spacing w:before="11"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(b)The First Lien Administrative Agent shall have received a written opinion (addressed to the First Lien Administrative Agent, the Lenders and the Issuing Banks and dated the Effective Date) of (i) Cleary Gottlieb Steen &amp; Hamilton LLP, New York counsel for the Loan Parties and (ii) Richards, Layton &amp; Finger, P.A., Delaware counsel for the Loan Parties, in each case in form and substance reasonably satisfactory to the First Lien Administrative Agent. Each of Holdings and the Borrower hereby requests such counsel to deliver such opinions.</w:t>
      </w:r>
    </w:p>
    <w:p>
      <w:pPr>
        <w:pStyle w:val="TextBody"/>
        <w:bidi w:val="0"/>
        <w:spacing w:before="12"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(c)The First Lien Administrative Agent shall have received a certificate of each Loan Party, dated the Effective Date, in form and substance reasonably satisfactory to the First Lien Administrative Agent, executed by any Responsible Officer of such Loan Party, and including or attaching the documents referred to in paragraph (d) of this Section 4.01.</w:t>
      </w:r>
    </w:p>
    <w:p>
      <w:pPr>
        <w:pStyle w:val="TextBody"/>
        <w:bidi w:val="0"/>
        <w:spacing w:before="0" w:after="0"/>
        <w:jc w:val="both"/>
        <w:rPr/>
      </w:pPr>
      <w:r>
        <w:rPr/>
      </w:r>
    </w:p>
    <w:p>
      <w:pPr>
        <w:pStyle w:val="TextBody"/>
        <w:bidi w:val="0"/>
        <w:spacing w:lineRule="auto" w:line="288" w:before="6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(d)The First Lien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First Lien Loan Documents to which it is a party, (iii) copies of resolutions of the Board of Directors of each Loan Party approving and authorizing the execution, delivery and performance of First Lien Loan Documents to which it is a party, certified as of the Effective Date by a secretary, an assistant secretary or a Responsible Officer of such Loan Party as being in full force and effect without modification or amendment and (iv) a good standing certificate (to the extent such concept exists) from the applicable Governmental Authority of each Loan Party’s jurisdiction of incorporation, organization or formation.</w:t>
      </w:r>
    </w:p>
    <w:p>
      <w:pPr>
        <w:pStyle w:val="TextBody"/>
        <w:bidi w:val="0"/>
        <w:spacing w:before="14"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(e)The First Lien Administrative Agent shall have received (or substantially simultaneously with the initial funding of Loans on the Effective Date, shall receive) all fees and other amounts previously agreed in writing by the Joint Lead Arrangers and the Borrower to be due and payable on or prior to the Effective Date, including, to the extent invoiced at least three (3) Business Days prior to the Effective Date, reimbursement or payment of all reasonable and documented out-of-pocket expenses (including reasonable fees, charges and disbursements of counsel) required to be reimbursed or paid by any Loan Party under any First Lien Loan Document.</w:t>
      </w:r>
    </w:p>
    <w:p>
      <w:pPr>
        <w:pStyle w:val="TextBody"/>
        <w:bidi w:val="0"/>
        <w:spacing w:before="13"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(f)The Collateral and Guarantee Requirement (in each case other than in accordance with Section 5.14) shall have been satisfied and the First Lien Administrative Agent shall have received a completed Perfection Certificate dated the Effective Date and signed by a Responsible Officer of Holdings and the Borrower, together with all attachments contemplated thereby.</w:t>
      </w:r>
    </w:p>
    <w:p>
      <w:pPr>
        <w:pStyle w:val="TextBody"/>
        <w:bidi w:val="0"/>
        <w:spacing w:before="11"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(g)The representations and warranties set forth in Article III shall be true and correct in all material respects on and as of the Effective Date.</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(h)The Refinancing shall have been consummated, or substantially concurrently with the initial funding of Loans on the Effective Date, shall be consummated.</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(i)The First Lien Administrative Agent shall have received a request for Borrowing that complies with the requirements set forth in Section 2.03.</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(j)The First Lien Administrative Agent shall have received evidence reasonably satisfactory to the First Lien Administrative Agent that the Second Lien Debt Documents shall have been executed and delivered by all of the loan parties stated to be party thereto.</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(k)The Joint Lead Arrangers and the Lenders shall have received a certificate from the chief financial officer of the Borrower certifying as to the solvency of the Borrower and its Subsidiaries on a consolidated basis after giving effect to the Transactions, substantially the form of Exhibit P.</w:t>
      </w:r>
    </w:p>
    <w:p>
      <w:pPr>
        <w:pStyle w:val="TextBody"/>
        <w:bidi w:val="0"/>
        <w:spacing w:before="12"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51155"/>
                <wp:effectExtent l="0" t="0" r="0" b="0"/>
                <wp:wrapNone/>
                <wp:docPr id="202" name="Frame20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(l)The First Lien Administrative Agent and the Joint Lead Arrangers shall have received, at least three (3) Business Days prior to the Effective Date, (A) all documentation and other information about the Loan Parties as shall have been reasonably requested in writing at least ten (10) Business Days prior to the Effective Date by the First Lien Administrative Agent or the Joint Lead Arrangers that they shall have reasonably determined is required by regulatory authorities under applicable “know your customer” and anti-money laundering rules and regulations, including without limitation the USA PATRIOT Act, and (B) to the extent the Borrower qualifies as a “legal entity customer” under the Beneficial Ownership Regulation, and to the extent requested in writing at least ten</w:t>
      </w:r>
    </w:p>
    <w:p>
      <w:pPr>
        <w:pStyle w:val="TextBody"/>
        <w:bidi w:val="0"/>
        <w:spacing w:lineRule="auto" w:line="288" w:before="3"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 Business Days prior to the Effective Date, a beneficial ownership certificate in the form of Exhibit X.</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the obligations of the Lenders to make Loans and of the Issuing Banks to issue Letters of Credit hereunder shall not become effective unless each of the foregoing conditions shall have been satisfied (or waived pursuant to Section 9.02) at or prior to 11:59 p.m., New York City time, on the Effective Date (and, in the event such conditions are not so satisfied or waived, the Commitments shall terminate at such time).</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determining whether the conditions set forth in this Section 4.01 have been satisfied, by releasing its signature page hereto or to an Assignment and Assumption, the First Lien Administrative Agent and each Lender party hereto shall be deemed to have consented to, approved, accepted or be satisfied with each document or other matter required hereunder to be consented to or approved by, or acceptable or satisfactory to, the First Lien Administrative Agent or such Lender, as the case may be.</w:t>
      </w:r>
    </w:p>
    <w:p>
      <w:pPr>
        <w:pStyle w:val="TextBody"/>
        <w:bidi w:val="0"/>
        <w:spacing w:before="12"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4.02    </w:t>
      </w:r>
      <w:r>
        <w:rPr>
          <w:rFonts w:ascii="Times New Roman;sans-serif" w:hAnsi="Times New Roman;sans-serif"/>
          <w:b w:val="false"/>
          <w:color w:val="000000"/>
          <w:sz w:val="20"/>
          <w:u w:val="single"/>
        </w:rPr>
        <w:t>Each Credit Event</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After the Effective Date, the obligation of each Lender to make a Loan on the occasion of any Borrowing, and of each Issuing Bank to issue, amend, renew or extend any Letter of Credit (other than any initial Borrowing under any First Lien Incremental Facility, is subject to receipt of the request therefor in accordance herewith to the satisfaction of the following conditions (other than in the case of any Borrowing the proceeds of which are used to finance a Limited Condition Transaction as to which an LCT Election has been made, which shall be subject to such conditions as of the LCT Test Date as provided in Section 1.06):</w:t>
      </w:r>
    </w:p>
    <w:p>
      <w:pPr>
        <w:pStyle w:val="TextBody"/>
        <w:bidi w:val="0"/>
        <w:spacing w:before="12"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(a)The representations and warranties of each Loan Party set forth in the First Lien Loan Documents (or in the case of any Borrowing the proceeds of which are used to finance a Limited Condition Transaction, customary specified representations) shall be true and correct in all material respects on and as of the date of such Borrowing or the date of issuance, amendment, renewal or extension of such Letter of Credit, as the case may be;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in each case, to the extent that such representations and warranties specifically refer to an earlier date, they shall be true and correct in all material respects as of such earlier date;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that, in each case, any representation and warranty that is qualified as to “materiality,” “Material Adverse Effect” or similar language shall be true and correct in all respects on the date of such credit extension or on such earlier date, as the case may be; and</w:t>
      </w:r>
    </w:p>
    <w:p>
      <w:pPr>
        <w:pStyle w:val="TextBody"/>
        <w:bidi w:val="0"/>
        <w:spacing w:before="14"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(b)At the time of and immediately after giving effect to such Borrowing, or the issuance, amendment, renewal or extension of such Letter of Credit, as the case may be, no Default or Event of Default shall have occurred and be continuing (or, in the case of any Borrowing under any Incremental Facility incurred in connection with a Permitted Acquisition or an Investment not prohibited by Section 6.04, no Specified Event of Default shall have occurred and be continuing).</w:t>
      </w:r>
    </w:p>
    <w:p>
      <w:pPr>
        <w:pStyle w:val="TextBody"/>
        <w:bidi w:val="0"/>
        <w:spacing w:before="12" w:after="283"/>
        <w:jc w:val="left"/>
        <w:rPr/>
      </w:pPr>
      <w:r>
        <w:rPr/>
      </w:r>
    </w:p>
    <w:p>
      <w:pPr>
        <w:pStyle w:val="TextBody"/>
        <w:bidi w:val="0"/>
        <w:spacing w:lineRule="auto" w:line="288"/>
        <w:jc w:val="both"/>
        <w:rPr/>
      </w:pPr>
      <w:r>
        <w:rPr>
          <w:rFonts w:ascii="Times New Roman;sans-serif" w:hAnsi="Times New Roman;sans-serif"/>
          <w:b w:val="false"/>
          <w:color w:val="000000"/>
          <w:sz w:val="20"/>
        </w:rPr>
        <w:t>Each Borrowing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 conversion or a continuation of a Borrowing shall not constitute a “Borrowing” for purposes of this Section 4.02), other than a Borrowing under any First Lien Incremental Facility, and each issuance, amendment, renewal or extension of a Letter of Credit (other than any issuance, amendment, renewal or extension of a Letter of Credit on the Effective Date) shall be deemed to constitute a representation and warranty by Holdings and the Borrower on the date thereof as to the matters specified in paragraphs (a) and (b) of this Section 4.02 (which deemed representation, in the case of any Borrowing the proceeds of which are used to finance a Limited Condition Transaction as to which an LCT Election has been made, shall be as of the LCT Test Date).</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51155"/>
                <wp:effectExtent l="0" t="0" r="0" b="0"/>
                <wp:wrapNone/>
                <wp:docPr id="203" name="Frame20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p>
                      <w:pPr>
                        <w:pStyle w:val="TextBody"/>
                        <w:bidi w:val="0"/>
                        <w:spacing w:before="0" w:after="0"/>
                        <w:jc w:val="left"/>
                        <w:rPr/>
                      </w:pPr>
                      <w:r>
                        <w:rPr/>
                      </w:r>
                    </w:p>
                  </w:txbxContent>
                </v:textbox>
                <w10:wrap type="none"/>
              </v:rect>
            </w:pict>
          </mc:Fallback>
        </mc:AlternateContent>
      </w:r>
    </w:p>
    <w:p>
      <w:pPr>
        <w:pStyle w:val="TextBody"/>
        <w:bidi w:val="0"/>
        <w:spacing w:before="13" w:after="283"/>
        <w:jc w:val="left"/>
        <w:rPr/>
      </w:pPr>
      <w:r>
        <w:rPr/>
      </w:r>
    </w:p>
    <w:p>
      <w:pPr>
        <w:pStyle w:val="TextBody"/>
        <w:bidi w:val="0"/>
        <w:spacing w:lineRule="auto" w:line="556" w:before="0" w:after="0"/>
        <w:ind w:left="0" w:right="0" w:firstLine="780"/>
        <w:jc w:val="left"/>
        <w:rPr/>
      </w:pPr>
      <w:r>
        <w:rPr>
          <w:rFonts w:ascii="Times New Roman;sans-serif" w:hAnsi="Times New Roman;sans-serif"/>
          <w:b w:val="false"/>
          <w:color w:val="000000"/>
          <w:sz w:val="20"/>
        </w:rPr>
        <w:t xml:space="preserve">ARTICLE V </w:t>
      </w:r>
      <w:r>
        <w:rPr>
          <w:rFonts w:ascii="Times New Roman;sans-serif" w:hAnsi="Times New Roman;sans-serif"/>
          <w:b w:val="false"/>
          <w:color w:val="000000"/>
          <w:sz w:val="20"/>
          <w:u w:val="single"/>
        </w:rPr>
        <w:t>AFFIRMATIVE COVENANTS</w:t>
      </w:r>
    </w:p>
    <w:p>
      <w:pPr>
        <w:pStyle w:val="TextBody"/>
        <w:bidi w:val="0"/>
        <w:spacing w:lineRule="auto" w:line="288" w:before="11" w:after="283"/>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From and after the Effective Date and until the Termination Date, each of Holdings and the Borrower covenants and agrees with the Lenders that:</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5.01    </w:t>
      </w:r>
      <w:r>
        <w:rPr>
          <w:rFonts w:ascii="Times New Roman;sans-serif" w:hAnsi="Times New Roman;sans-serif"/>
          <w:b w:val="false"/>
          <w:color w:val="000000"/>
          <w:sz w:val="20"/>
          <w:u w:val="single"/>
        </w:rPr>
        <w:t>Financial Statements and Other Information</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Borrower will furnish to the First Lien Administrative Agent, on behalf of each Lender:</w:t>
      </w:r>
    </w:p>
    <w:p>
      <w:pPr>
        <w:pStyle w:val="TextBody"/>
        <w:bidi w:val="0"/>
        <w:spacing w:before="1" w:after="283"/>
        <w:jc w:val="left"/>
        <w:rPr/>
      </w:pPr>
      <w:r>
        <w:rPr/>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(a)commencing with the financial statements for the fiscal year ended December 31, 2019, on or before the date that is one hundred and twenty-five (125) days after the end of each fiscal year of the Borrower, audited consolidated balance sheet and audited consolidated statements of operations and comprehensive income, shareholders’ equity and cash flows of the Borrower and its Subsidiaries as of the end of and for such year, and related notes thereto,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(other than any exception or explanatory paragraph, but not a qualification, that is expressly and solely with respect to, or expressly and solely resulting from,</w:t>
      </w:r>
    </w:p>
    <w:p>
      <w:pPr>
        <w:pStyle w:val="TextBody"/>
        <w:bidi w:val="0"/>
        <w:spacing w:lineRule="auto" w:line="288" w:before="4"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the Term Maturity Date or the Revolving Maturity Date occurring within one year from the time such opinion is delivered or (B) any actual failure to satisfy the Financial Performance Covenant or potential inability to satisfy the Financial Performance Covenant on a future date or in a future period)) to the effect that such consolidated financial statements present fairly in all material respects the financial condition as of the end of and for such year and results of operations and cash flows of the Borrower and its Subsidiaries on a consolidated basis in accordance with GAAP consistently applied;</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(b)commencing with the financial statements for the fiscal quarter ended March 31, 2020, on or before the date that is sixty (60) days after the end of each of the first three fiscal quarters of each fiscal year of the Borrower, unaudited consolidated balance sheet and unaudited consolidated statements of operations and comprehensive income, shareholders’ equity and cash flows of the Borrower (and/or its predecessor, as applicable) and its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the Borrower (and/or its predecessor, as applicable) and its Subsidiaries on a consolidated basis in accordance with GAAP consistently applied, subject to normal year-end audit adjustments and the absence of footnotes;</w:t>
      </w:r>
    </w:p>
    <w:p>
      <w:pPr>
        <w:pStyle w:val="TextBody"/>
        <w:bidi w:val="0"/>
        <w:spacing w:before="15"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(c)simultaneously with the delivery of each set of consolidated financial statements referred to in clauses (a) and (b) above, the related unaudited consolidating financial information reflecting adjustments necessary to eliminate the accounts of Unrestricted Subsidiaries (if any) from such consolidated financial statements;</w:t>
      </w:r>
    </w:p>
    <w:p>
      <w:pPr>
        <w:pStyle w:val="TextBody"/>
        <w:bidi w:val="0"/>
        <w:spacing w:before="11" w:after="283"/>
        <w:jc w:val="left"/>
        <w:rPr/>
      </w:pPr>
      <w:r>
        <w:rPr/>
      </w:r>
    </w:p>
    <w:p>
      <w:pPr>
        <w:pStyle w:val="TextBody"/>
        <w:bidi w:val="0"/>
        <w:spacing w:lineRule="auto" w:line="288" w:before="0" w:after="0"/>
        <w:ind w:left="0" w:right="0" w:hanging="718"/>
        <w:jc w:val="both"/>
        <w:rPr>
          <w:rFonts w:ascii="Times New Roman;sans-serif" w:hAnsi="Times New Roman;sans-serif"/>
          <w:b w:val="false"/>
          <w:color w:val="000000"/>
          <w:sz w:val="20"/>
        </w:rPr>
      </w:pPr>
      <w:r>
        <w:rPr>
          <w:rFonts w:ascii="Times New Roman;sans-serif" w:hAnsi="Times New Roman;sans-serif"/>
          <w:b w:val="false"/>
          <w:color w:val="000000"/>
          <w:sz w:val="20"/>
        </w:rPr>
        <w:t>(d)not later than five days after any delivery of financial statements under paragraph (a) or</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above, a certificate of a Financial Officer (i) certifying as to whether a Default then exists and, if a Default does then exist, specifying the details thereof and any action taken or proposed to be taken with respect thereto, (ii) setting forth reasonably detailed calculations (A) demonstrating compliance with the Financial Performance Covenant, if applicable and (B) in the case of financial statements delivered under paragraph (a) above and only to the extent the Borrower would be required to prepay Term Borrowings pursuant to Section 2.11(d), beginning with the financial statements for the fiscal year of the Borrower ending December 31, 2020, of Excess Cash Flow for such fiscal year and (iii) in the case of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51155"/>
                <wp:effectExtent l="0" t="0" r="0" b="0"/>
                <wp:wrapNone/>
                <wp:docPr id="204" name="Frame20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statements delivered under paragraph (a) above, setting forth a reasonably detailed calculation of the Net Proceeds received during the applicable period by or on behalf of the Borrower or any of its Restricted Subsidiary in respect of any event described in clause (a) of the definition of the term “Prepayment Event” and the portion of such Net Proceeds that has been invested or are intended to be reinvested in accordance with the proviso in Section 2.11(c);</w:t>
      </w:r>
    </w:p>
    <w:p>
      <w:pPr>
        <w:pStyle w:val="TextBody"/>
        <w:bidi w:val="0"/>
        <w:spacing w:before="15" w:after="283"/>
        <w:jc w:val="left"/>
        <w:rPr/>
      </w:pPr>
      <w:r>
        <w:rPr/>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 xml:space="preserve">(e)not later than one-hundred and twenty-five (125) days after the commencement of each fiscal year of the Borrower after December 31, 2015 (or, in the case of the fiscal year commencing on January 1, 2016, on or before the date that is one-hundred and fifty (150) days after the commencement of such fiscal year), a detailed consolidated budget for the Borrower and its Subsidiaries for such fiscal year (including a projected consolidated balance sheet and consolidated statements of projected operations, comprehensive income and cash flows as of the end of and for such fiscal year and setting forth the material assumptions used for purposes of preparing such budget);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obligations of this paragraph shall be suspended upon and following the filing for an IPO;</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First Lien Administrative Agent), exhibits to any registration statement and, if applicable, any registration statement on Form S-8) filed by Holdings, any Intermediate Parent, the Borrower or any Restricted Subsidiary with the SEC or with any national securities exchange;</w:t>
      </w:r>
    </w:p>
    <w:p>
      <w:pPr>
        <w:pStyle w:val="TextBody"/>
        <w:bidi w:val="0"/>
        <w:spacing w:before="12"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(g)promptly following any request therefor, such other information regarding the operations, business affairs and financial condition of Holdings, any Intermediate Parent, the Borrower or any Restricted Subsidiary, or compliance with the terms of any First Lien Loan Document, as the First Lien Administrative Agent on its own behalf or on behalf of any Lender may reasonably request in writing; and</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(h)at the request of the First Lien Administrative Agent (which shall be no more than quarterly), and following the delivery of each set of consolidated financial statements referred to in clauses</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and (b) above, the Borrower shall use commercially reasonable efforts to hold a conference call for the Lenders at a time reasonably acceptable to the Borrower, which conference call shall be accompanied by related presentation materials prepared by the Borrower.</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Notwithstanding the foregoing, the obligations in paragraphs (a), (b) and (f) of this Section 5.01 may be satisfied with respect to financial information of the Borrower and its Subsidiaries by furnishing (A) the Form 10-K, 10-Q, 8-K (or other filing), as applicable, of the Borrower (or a parent company thereof) filed with the SEC within the applicable time periods required by applicable law and regulations (including any extended deadlines available thereunder in connection with an IPO) and the public filing of such report with the SEC shall constitute delivery under Section 5.01(a), 5.01(b) and 5.01(f) or (B) the applicable financial statements of Holdings (or any Intermediate Parent or any direct or indirect parent of Holdings);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 to the extent such information relates to a parent of the Borrower, if and so long as such parent will have Independent Assets or Operations, such information is accompanied by consolidating information which may be unaudited, that explains in reasonable detail the differences between the information relating to such parent and its Independent Assets or Operations, on the one hand, and the information relating to the Borrower and its Subsidiaries on a standalone basis, on the other hand, (ii) to the extent such information is in lieu of information required to be provided under Section 5.01(a), such materials are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any exception or explanatory paragraph, but not a qualification, that is expressly and solely with respect to, or expressly and solely resulting from,</w:t>
      </w:r>
    </w:p>
    <w:p>
      <w:pPr>
        <w:pStyle w:val="TextBody"/>
        <w:bidi w:val="0"/>
        <w:spacing w:lineRule="auto" w:line="288" w:before="8"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the Term Maturity Date or the Revolving Maturity Date occurring within one year from the time such opinion is delivered or (B) any actual failure to satisfy or potential inability to satisfy the Financial Performance Covenant on a future date or in a future period) and (iii) such documents required to be delivered pursuant to Section 5.01(a), (b) or</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51155"/>
                <wp:effectExtent l="0" t="0" r="0" b="0"/>
                <wp:wrapNone/>
                <wp:docPr id="205" name="Frame20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(f) may be delivered electronically and if so delivered, shall be deemed to have been delivered on the date (unless such documents are included in materials otherwise filed with the SEC, in which case such SEC public filing shall constitute delivery) (x) on which the Borrower posts such documents, or provides a link thereto on the Borrower’s website on the Internet at the website address listed on Schedule 9.01 (or otherwise notified pursuant to Section 9.01(d)) or (y) on which such documents are posted on the Borrower’s behalf on an Internet or intranet website, if any, to which each Lender and the First Lien Administrative Agent have access (whether a commercial, third-party website or whether sponsored by the First Lien Administrative Agent).</w:t>
      </w:r>
    </w:p>
    <w:p>
      <w:pPr>
        <w:pStyle w:val="TextBody"/>
        <w:bidi w:val="0"/>
        <w:spacing w:before="13"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to the contrary herein, neither the Borrower nor any Subsidiary shall be required to deliver, disclose, permit the inspection, examination or making of copies of or excerpts from, or any discussion of, any document, information, or other matter (i) that constitutes trade secrets or proprietary information,</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(ii) in respect of which disclosure to the First Lien Administrative Agent (or any Lender (or their respective representatives or contractors)) is prohibited by applicable law, (iii) that is subject to attorney-client or similar privilege or constitutes attorney work product, (iv) with respect to which any Loan Party owes confidentiality obligations (to the extent not created in contemplation of such Loan Party’s obligations under this Section 5.01) to any third party, after such Loan Party’s use of commercially reasonable efforts to obtain the consent of such third party (to the extent commercially feasible) or (v) that relates to any investigation by any Governmental Authority to the extent (x) such information is identifiable to a particular individual and the Borrower in good faith determines such information should remain confidential or (y) the information requested is not factual in nature.</w:t>
      </w:r>
    </w:p>
    <w:p>
      <w:pPr>
        <w:pStyle w:val="TextBody"/>
        <w:bidi w:val="0"/>
        <w:spacing w:before="13" w:after="283"/>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The Borrower hereby acknowledges that (a) the First Lien Administrative Agent and/or the Joint Lead Arrangers will make available to the Lenders and the Issuing Bank materials and/or information provided by or on behalf of the Borrower hereunder (collectively, “</w:t>
      </w:r>
      <w:r>
        <w:rPr>
          <w:rFonts w:ascii="Times New Roman;sans-serif" w:hAnsi="Times New Roman;sans-serif"/>
          <w:b w:val="false"/>
          <w:color w:val="000000"/>
          <w:sz w:val="20"/>
          <w:u w:val="single"/>
        </w:rPr>
        <w:t>Borrower Materials</w:t>
      </w:r>
      <w:r>
        <w:rPr>
          <w:color w:val="000000"/>
        </w:rPr>
        <w:t>”</w:t>
      </w:r>
      <w:r>
        <w:rPr>
          <w:rFonts w:ascii="Times New Roman;sans-serif" w:hAnsi="Times New Roman;sans-serif"/>
          <w:b w:val="false"/>
          <w:color w:val="000000"/>
          <w:sz w:val="20"/>
        </w:rPr>
        <w:t>) by posting the Borrower Materials on IntraLinks or another similar electronic system (the “</w:t>
      </w:r>
      <w:r>
        <w:rPr>
          <w:rFonts w:ascii="Times New Roman;sans-serif" w:hAnsi="Times New Roman;sans-serif"/>
          <w:b w:val="false"/>
          <w:color w:val="000000"/>
          <w:sz w:val="20"/>
          <w:u w:val="single"/>
        </w:rPr>
        <w:t>Platform</w:t>
      </w:r>
      <w:r>
        <w:rPr>
          <w:color w:val="000000"/>
        </w:rPr>
        <w:t>”</w:t>
      </w:r>
      <w:r>
        <w:rPr>
          <w:rFonts w:ascii="Times New Roman;sans-serif" w:hAnsi="Times New Roman;sans-serif"/>
          <w:b w:val="false"/>
          <w:color w:val="000000"/>
          <w:sz w:val="20"/>
        </w:rPr>
        <w:t>) and (b) certain of the Lenders (each, a “</w:t>
      </w:r>
      <w:r>
        <w:rPr>
          <w:rFonts w:ascii="Times New Roman;sans-serif" w:hAnsi="Times New Roman;sans-serif"/>
          <w:b w:val="false"/>
          <w:color w:val="000000"/>
          <w:sz w:val="20"/>
          <w:u w:val="single"/>
        </w:rPr>
        <w:t>Public Lender</w:t>
      </w:r>
      <w:r>
        <w:rPr>
          <w:color w:val="000000"/>
        </w:rPr>
        <w:t>”</w:t>
      </w:r>
      <w:r>
        <w:rPr>
          <w:rFonts w:ascii="Times New Roman;sans-serif" w:hAnsi="Times New Roman;sans-serif"/>
          <w:b w:val="false"/>
          <w:color w:val="000000"/>
          <w:sz w:val="20"/>
        </w:rPr>
        <w:t>) may have personnel who do not wish to receive Material Non-Public Information and who may be engaged in investment and other market-related activities with respect to the Borrower’s or their Affiliates’ securities. The Borrower hereby agrees that they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First Lien Administrative Agent, the Joint Lead Arrangers, the Issuing Bank and the Lenders to treat such Borrower Materials as not containing any Material Non-Public Information (although it may be sensitive and proprietary)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to the extent such Borrower Materials constitute Information, they shall be treated as set forth in Section 9.12); (y) all Borrower Materials marked “PUBLIC” are permitted to be made available through a portion of the Platform designated “Public Side Information”; and (z) the First Lien Administrative Agent and the Joint Lead Arrangers shall be entitled to treat the Borrower Materials that are not marked “PUBLIC” as being suitable only for posting on a portion of the Platform not designated “Public Side Information” provided that the Borrower’s failure to comply with this sentence shall not constitute a Default or an Event of Default under This Agreement or the First Lien Loan Documents. Notwithstanding the foregoing, the Borrower shall be under no obligation to mark any Borrower Materials as “PUBLIC”. Each Loan Party hereby acknowledges and agrees that, unless the Borrower notifies the First Lien Administrative Agent in advance, all financial statements and certificates furnished pursuant to Sections 5.01(a), (b), (c) and (d) above are hereby deemed to be suitable for distribution, and to be made available, to all Lenders and may be treated by the First Lien Administrative Agent and the Lenders as not containing any Material Non-Public Information.</w:t>
      </w:r>
    </w:p>
    <w:p>
      <w:pPr>
        <w:pStyle w:val="TextBody"/>
        <w:bidi w:val="0"/>
        <w:spacing w:before="2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5.02    </w:t>
      </w:r>
      <w:r>
        <w:rPr>
          <w:rFonts w:ascii="Times New Roman;sans-serif" w:hAnsi="Times New Roman;sans-serif"/>
          <w:b w:val="false"/>
          <w:color w:val="000000"/>
          <w:sz w:val="20"/>
          <w:u w:val="single"/>
        </w:rPr>
        <w:t>Notices of Material Events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Promptly after any Responsible Officer of Holdings or the Borrower obtains actual knowledge thereof, Holdings or the Borrower will furnish to the First Lien Administrative Agent (for distribution to each Lender through the First Lien Administrative Agent) written notice of the following:</w:t>
      </w:r>
    </w:p>
    <w:p>
      <w:pPr>
        <w:pStyle w:val="TextBody"/>
        <w:bidi w:val="0"/>
        <w:spacing w:before="11" w:after="283"/>
        <w:jc w:val="left"/>
        <w:rPr/>
      </w:pPr>
      <w:r>
        <w:rPr/>
      </w:r>
    </w:p>
    <w:p>
      <w:pPr>
        <w:pStyle w:val="TextBody"/>
        <w:bidi w:val="0"/>
        <w:spacing w:lineRule="auto" w:line="288" w:before="1"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(a)the occurrence of any Default;</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51155"/>
                <wp:effectExtent l="0" t="0" r="0" b="0"/>
                <wp:wrapNone/>
                <wp:docPr id="206" name="Frame20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(b)the filing or commencement of any action, suit or proceeding by or before any arbitrator or Governmental Authority against or, to the knowledge of a Financial Officer or another executive officer of Holdings, any Intermediate Parent, the Borrower or any Subsidiary, affecting Holdings, any Intermediate Parent, the Borrower or any Subsidiary or the receipt of a written notice of Environmental Liability, in each case that would reasonably be expected to result in a Material Adverse Effect; and</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(c)the occurrence of any ERISA Event that would reasonably be expected, individually or in the aggregate, to result in a Material Adverse Effect.</w:t>
      </w:r>
    </w:p>
    <w:p>
      <w:pPr>
        <w:pStyle w:val="TextBody"/>
        <w:bidi w:val="0"/>
        <w:spacing w:before="11"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notice delivered under this Section 5.02 shall be accompanied by a written statement of a Responsible Officer of Holdings or the Borrower setting forth the details of the event or development requiring such notice and any action taken or proposed to be taken with respect thereto.</w:t>
      </w:r>
    </w:p>
    <w:p>
      <w:pPr>
        <w:pStyle w:val="TextBody"/>
        <w:bidi w:val="0"/>
        <w:spacing w:before="60" w:after="283"/>
        <w:jc w:val="left"/>
        <w:rPr/>
      </w:pPr>
      <w:r>
        <w:rPr/>
      </w:r>
    </w:p>
    <w:p>
      <w:pPr>
        <w:pStyle w:val="TextBody"/>
        <w:bidi w:val="0"/>
        <w:spacing w:lineRule="auto" w:line="288" w:before="60" w:after="283"/>
        <w:jc w:val="left"/>
        <w:rPr/>
      </w:pPr>
      <w:r>
        <w:rPr>
          <w:rFonts w:ascii="Times New Roman;sans-serif" w:hAnsi="Times New Roman;sans-serif"/>
          <w:b w:val="false"/>
          <w:color w:val="000000"/>
          <w:sz w:val="20"/>
        </w:rPr>
        <w:t>SECTION 5.03    </w:t>
      </w:r>
      <w:r>
        <w:rPr>
          <w:rFonts w:ascii="Times New Roman;sans-serif" w:hAnsi="Times New Roman;sans-serif"/>
          <w:b w:val="false"/>
          <w:color w:val="000000"/>
          <w:sz w:val="20"/>
          <w:u w:val="single"/>
        </w:rPr>
        <w:t>Information Regarding Collateral</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(a)Holdings or the Borrower will furnish to the First Lien Administrative Agent prompt (and in any event within thirty (30) days or such longer period as reasonably agreed to by the First Lien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w:t>
      </w:r>
    </w:p>
    <w:p>
      <w:pPr>
        <w:pStyle w:val="TextBody"/>
        <w:bidi w:val="0"/>
        <w:spacing w:before="12"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(b)Not later than five Business Days after financial statements are required to be delivered pursuant to Section 5.01(a), Holdings or the Borrower shall deliver to the First Lien Administrative Agent a certificate executed by a Responsible Officer of Holdings or the Borrower (i) setting forth the information required pursuant to Paragraphs 1, 7, 8, 9, 10 and 11 of the Perfection Certificate or confirming that there has been no change in such information since the later of (x) the date of the Perfection Certificate delivered on the Effective Date or (y) the date of the most recent certificate delivered pursuant to this Section 5.03, (ii) identifying any (x) new Intermediate Parent or (y) Wholly Owned Restricted Subsidiary that has become, or ceased to be, a Material Subsidiary or an Excluded Subsidiary during the most recently ended fiscal year and (iii) certifying that all notices required to be given prior to the date of such certificate by Section 5.03 have been given.</w:t>
      </w:r>
    </w:p>
    <w:p>
      <w:pPr>
        <w:pStyle w:val="TextBody"/>
        <w:bidi w:val="0"/>
        <w:spacing w:before="13"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5.04    </w:t>
      </w:r>
      <w:r>
        <w:rPr>
          <w:rFonts w:ascii="Times New Roman;sans-serif" w:hAnsi="Times New Roman;sans-serif"/>
          <w:b w:val="false"/>
          <w:color w:val="000000"/>
          <w:sz w:val="20"/>
          <w:u w:val="single"/>
        </w:rPr>
        <w:t>Existence; Conduct of Business</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Each of Holdings and the Borrower will, and will cause each Restricted Subsidiary and, in the case of Holdings, each Intermediate Parent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the Borrower) that the failure to do so would not reasonably be expected to have a Material Adverse Effect;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foregoing shall not prohibit any merger, amalgamation, consolidation, liquidation or dissolution permitted under Section 6.03 or any Disposition permitted by Section 6.05.</w:t>
      </w:r>
    </w:p>
    <w:p>
      <w:pPr>
        <w:pStyle w:val="TextBody"/>
        <w:bidi w:val="0"/>
        <w:spacing w:before="13"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5.05    </w:t>
      </w:r>
      <w:r>
        <w:rPr>
          <w:rFonts w:ascii="Times New Roman;sans-serif" w:hAnsi="Times New Roman;sans-serif"/>
          <w:b w:val="false"/>
          <w:color w:val="000000"/>
          <w:sz w:val="20"/>
          <w:u w:val="single"/>
        </w:rPr>
        <w:t>Payment of Taxes, etc.</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Each of Holdings and the Borrower will, and will cause each Restricted Subsidiary and, in the case of Holdings, each Intermediate Parent to, pay all Taxes (whether or not shown on a Tax return) imposed upon it or its income or properties or in respect of its property or assets, before the same shall become delinquent or in default, except where (a) the same are being contested in good faith by an appropriate proceeding diligently conducted by Holdings, the Borrower or any of their respective Subsidiaries or (b) the failure to make payment would not reasonably be expected, individually or in the aggregate, to result in a Material Adverse Effect.</w:t>
      </w:r>
    </w:p>
    <w:p>
      <w:pPr>
        <w:pStyle w:val="TextBody"/>
        <w:bidi w:val="0"/>
        <w:spacing w:before="12" w:after="283"/>
        <w:jc w:val="left"/>
        <w:rPr/>
      </w:pPr>
      <w:r>
        <w:rPr/>
      </w:r>
    </w:p>
    <w:p>
      <w:pPr>
        <w:pStyle w:val="TextBody"/>
        <w:bidi w:val="0"/>
        <w:spacing w:lineRule="auto" w:line="288"/>
        <w:jc w:val="left"/>
        <w:rPr/>
      </w:pPr>
      <w:r>
        <w:rPr>
          <w:rFonts w:ascii="Times New Roman;sans-serif" w:hAnsi="Times New Roman;sans-serif"/>
          <w:b w:val="false"/>
          <w:color w:val="000000"/>
          <w:sz w:val="20"/>
        </w:rPr>
        <w:t>SECTION 5.06    </w:t>
      </w:r>
      <w:r>
        <w:rPr>
          <w:rFonts w:ascii="Times New Roman;sans-serif" w:hAnsi="Times New Roman;sans-serif"/>
          <w:b w:val="false"/>
          <w:color w:val="000000"/>
          <w:sz w:val="20"/>
          <w:u w:val="single"/>
        </w:rPr>
        <w:t>Maintenance of Properties</w:t>
      </w:r>
      <w:r>
        <w:rPr>
          <w:rFonts w:ascii="Times New Roman;sans-serif" w:hAnsi="Times New Roman;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51155"/>
                <wp:effectExtent l="0" t="0" r="0" b="0"/>
                <wp:wrapNone/>
                <wp:docPr id="207" name="Frame20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p>
                      <w:pPr>
                        <w:pStyle w:val="TextBody"/>
                        <w:bidi w:val="0"/>
                        <w:spacing w:before="0" w:after="0"/>
                        <w:jc w:val="left"/>
                        <w:rPr/>
                      </w:pPr>
                      <w:r>
                        <w:rPr/>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Each of Holdings and the Borrower will, and will cause each Restricted Subsidiary and, in the case of Holdings, each Intermediate Parent to, keep and maintain all tangible property material to the conduct of its business in good working order and condition (casualty, condemnation and ordinary wear and tear excepted), except where the failure to do so would not reasonably be expected to have, individually or in the aggregate, a Material Adverse Effect.</w:t>
      </w:r>
    </w:p>
    <w:p>
      <w:pPr>
        <w:pStyle w:val="TextBody"/>
        <w:bidi w:val="0"/>
        <w:spacing w:before="12"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5.07    </w:t>
      </w:r>
      <w:r>
        <w:rPr>
          <w:rFonts w:ascii="Times New Roman;sans-serif" w:hAnsi="Times New Roman;sans-serif"/>
          <w:b w:val="false"/>
          <w:color w:val="000000"/>
          <w:sz w:val="20"/>
          <w:u w:val="single"/>
        </w:rPr>
        <w:t>Insurance</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6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(a)Each of Holdings and the Borrower will, and will cause each Restricted Subsidiary and, in the case of Holdings, each Intermediate Parent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Lenders, upon written request from the First Lien Collateral Agent, information presented in reasonable detail as to the insurance so carried. The Borrower shall, and shall cause each Restricted Subsidiary organized or existing under the laws of a Covered Jurisdiction to (i) name the First Lien Collateral Agent, on behalf of the Secured Parties, as an additional insured as its interests may appear on each such general liability policy of insurance and each casualty insurance policy belonging to or insuring such Restricted Subsidiary (other than directors and officers policies, workers compensation policies and business interruption insurance) and (ii) in the case of each property insurance policy belonging to or insuring a Restricted Subsidiary organized or existing under the laws of a Covered Jurisdiction, include a loss payable clause or mortgagee endorsement, as applicable that names the First Lien Collateral Agent, on behalf of the Secured Parties, as the loss payee or mortgagee, as applicable, thereunder.</w:t>
      </w:r>
    </w:p>
    <w:p>
      <w:pPr>
        <w:pStyle w:val="TextBody"/>
        <w:bidi w:val="0"/>
        <w:spacing w:before="15"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(b)If any portion of a building or other improvement included in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under any successor statute thereto), then the Borrower shall, or shall cause each Loan Party to (i) maintain, or cause to be maintained, with insurance companies that Holdings believes (in the good faith judgment of the management of Holdings) are financially sound and responsible at the time the relevant coverage is placed or renewed, flood insurance in an amount and otherwise sufficient to comply with all applicable rules and regulations promulgated pursuant to the Flood Insurance Laws and (ii) furnish to the Lenders, upon written request from the First Lien Collateral Agent, information presented in reasonable detail as to the flood insurance so carried.</w:t>
      </w:r>
    </w:p>
    <w:p>
      <w:pPr>
        <w:pStyle w:val="TextBody"/>
        <w:bidi w:val="0"/>
        <w:spacing w:before="14"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5.08    </w:t>
      </w:r>
      <w:r>
        <w:rPr>
          <w:rFonts w:ascii="Times New Roman;sans-serif" w:hAnsi="Times New Roman;sans-serif"/>
          <w:b w:val="false"/>
          <w:color w:val="000000"/>
          <w:sz w:val="20"/>
          <w:u w:val="single"/>
        </w:rPr>
        <w:t>Books and Records; Inspection and Audit Rights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ind w:left="0" w:right="0" w:firstLine="1440"/>
        <w:jc w:val="both"/>
        <w:rPr/>
      </w:pPr>
      <w:r>
        <w:rPr>
          <w:rFonts w:ascii="Times New Roman;sans-serif" w:hAnsi="Times New Roman;sans-serif"/>
          <w:b w:val="false"/>
          <w:color w:val="000000"/>
          <w:sz w:val="20"/>
        </w:rPr>
        <w:t xml:space="preserve">Each of Holdings and the Borrower will, and will cause each Restricted Subsidiary and, in the case of Holdings, each Intermediate Parent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any Intermediate Parent, the Borrower or its Restricted Subsidiaries, as the case may be. Each of Holdings and the Borrower will, and will cause each Restricted Subsidiary and, in the case of Holdings, each Intermediate Parent to, permit any representatives designated by the First Lien Administrative Agent or any Lender, upon reasonable prior notice, to visit and inspect its tangible properties, to examine and make extracts from its books and records, and to discuss its affairs, finances and condition with its officers and independent accountants, all at such reasonable times and as often as reasonably requested;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 such representative shall us commercially reasonable efforts to avoid interruption of the normal business operations of the Borrower and its Subsidiaries and (ii) excluding any such visits and inspections during the continuation of an Event of Default, only the First Lien Administrative Agent on behalf of the Lenders may exercise visitation and inspection rights of the First Lien Administrative Agent and the Lenders under this Section 5.08 and the First Lien Administrative Agent shall not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51155"/>
                <wp:effectExtent l="0" t="0" r="0" b="0"/>
                <wp:wrapNone/>
                <wp:docPr id="208" name="Frame20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 xml:space="preserve">exercise such rights more often than one time during any calendar year absent the existence of an Event of Default and such time shall be at the Borrower’s expense;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that (a) when an Event of Default exists, the First Lien Administrative Agent or any Lender (or any of their respective representatives or independent contractors) may do any of the foregoing at the expense of the Borrower at any time during normal business hours and upon reasonable advance notice and (b) the First Lien Administrative Agent and the Lenders shall give Holdings and the Borrower the opportunity to participate in any discussions with Holdings’ or the Borrower’s independent public accountants.</w:t>
      </w:r>
    </w:p>
    <w:p>
      <w:pPr>
        <w:pStyle w:val="TextBody"/>
        <w:bidi w:val="0"/>
        <w:spacing w:before="19"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5.09    </w:t>
      </w:r>
      <w:r>
        <w:rPr>
          <w:rFonts w:ascii="Times New Roman;sans-serif" w:hAnsi="Times New Roman;sans-serif"/>
          <w:b w:val="false"/>
          <w:color w:val="000000"/>
          <w:sz w:val="20"/>
          <w:u w:val="single"/>
        </w:rPr>
        <w:t>Compliance with Laws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Each of Holdings and the Borrower will, and will cause each Restricted Subsidiary and, in the case of Holdings, each Intermediate Parent to, comply with all Requirements of Law (including Environmental Laws and the USA PATRIOT Act) with respect to it, its property and operations, except where the failure to do so, individually or in the aggregate, would not reasonably be expected to result in a Material Adverse Effect.</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5.10    </w:t>
      </w:r>
      <w:r>
        <w:rPr>
          <w:rFonts w:ascii="Times New Roman;sans-serif" w:hAnsi="Times New Roman;sans-serif"/>
          <w:b w:val="false"/>
          <w:color w:val="000000"/>
          <w:sz w:val="20"/>
          <w:u w:val="single"/>
        </w:rPr>
        <w:t>Use of Proceeds and Letters of Credit</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The Borrower will use the proceeds of the Term Loans, the Revolving Loans, the Swingline Loans and the Letters of Credit solely in accordance with Section 3.16.</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5.11    </w:t>
      </w:r>
      <w:r>
        <w:rPr>
          <w:rFonts w:ascii="Times New Roman;sans-serif" w:hAnsi="Times New Roman;sans-serif"/>
          <w:b w:val="false"/>
          <w:color w:val="000000"/>
          <w:sz w:val="20"/>
          <w:u w:val="single"/>
        </w:rPr>
        <w:t>Additional Subsidiaries</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(a)If (i) any additional Restricted Subsidiary that is not an Excluded Subsidiary, or any Intermediate Parent, in each case, organized in a Covered Jurisdiction, is formed or acquired after the Effective Date, (ii) any Restricted Subsidiary ceases to be an Excluded Subsidiary (other than any Immaterial Subsidiary that becomes a Material Subsidiary, which shall be subject to Section 5.11(b)) or (iii) the Borrower, at its option, elects to cause a Subsidiary organized in a Covered Jurisdiction, or to the extent reasonably acceptable to the First Lien Administrative Agent, a subsidiary that is otherwise an Excluded Subsidiary (including any Subsidiary that is not a Wholly Owned Subsidiary or any consolidated Affiliate in which the Borrower and its Subsidiaries own no Equity Interest or that is organized in a non-Covered Jurisdiction) to become a Subsidiary Loan Party, then in each case if (i), (ii) and (iii) Holdings or the Borrower will, within 30 days (or such longer period as may be agreed to by the First Lien Administrative Agent in its reasonable discretion) after (x) such newly formed or acquired Restricted Subsidiary or Intermediate Parent is formed or acquired, (y) such Restricted Subsidiary ceases to be an Excluded Subsidiary or (z) the Borrower has made such election, notify the First Lien Administrative Agent thereof, and will cause such Restricted Subsidiary (unless such Restricted Subsidiary is an Excluded Subsidiary) or Intermediate Parent to satisfy the Collateral and Guarantee Requirement with respect to such Restricted Subsidiary or Intermediate Parent and with respect to any Equity Interest in or Indebtedness of such Restricted Subsidiary or Intermediate Parent owned by or on behalf of any Loan Party within 30 days after such notice (or such longer period as the First Lien Administrative Agent shall reasonably agree). The Borrower shall deliver to the First Lien Administrative Agent a completed Perfection Certificate (or supplement thereof) with respect to such Restricted Subsidiary or Intermediate Parent signed by a Responsible Officer of Holdings or of such applicable Restricted Subsidiary, together with all attachments contemplated thereby concurrently with the satisfaction of the Collateral and Guarantee Requirement with respect to such Restricted Subsidiary or Intermediate Parent.</w:t>
      </w:r>
    </w:p>
    <w:p>
      <w:pPr>
        <w:pStyle w:val="TextBody"/>
        <w:bidi w:val="0"/>
        <w:spacing w:before="18"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(b)Within 45 days (or such longer period as otherwise provided in this Agreement or as the First Lien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 to the extent not already satisfied pursuant to Section 5.11(a).</w:t>
      </w:r>
    </w:p>
    <w:p>
      <w:pPr>
        <w:pStyle w:val="TextBody"/>
        <w:bidi w:val="0"/>
        <w:spacing w:before="12"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(c)Notwithstanding the foregoing, in the event any Material Real Property would be required to be mortgaged pursuant to this Section 5.11, the applicable Loan Party shall be required to comply with the “Collateral and Guarantee Requirement” as it relates to such Material Real Property within 90 days, following the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51155"/>
                <wp:effectExtent l="0" t="0" r="0" b="0"/>
                <wp:wrapNone/>
                <wp:docPr id="209" name="Frame20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latter of the date such Subsidiary becomes a Loan Party and the acquisition of such Material Real Property, or such longer time period as agreed by the First Lien Administrative Agent in its reasonable discretion;.</w:t>
      </w:r>
    </w:p>
    <w:p>
      <w:pPr>
        <w:pStyle w:val="TextBody"/>
        <w:bidi w:val="0"/>
        <w:spacing w:before="12"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5.12    </w:t>
      </w:r>
      <w:r>
        <w:rPr>
          <w:rFonts w:ascii="Times New Roman;sans-serif" w:hAnsi="Times New Roman;sans-serif"/>
          <w:b w:val="false"/>
          <w:color w:val="000000"/>
          <w:sz w:val="20"/>
          <w:u w:val="single"/>
        </w:rPr>
        <w:t>Further Assurances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(a)Subject to last paragraph of the definition of “Collateral and Guarantee Requirement”, 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First Lien Administrative Agent or the Required Lenders may reasonably request, to cause the Collateral and Guarantee Requirement to be and remain satisfied, all at the expense of the Loan Parties.</w:t>
      </w:r>
    </w:p>
    <w:p>
      <w:pPr>
        <w:pStyle w:val="TextBody"/>
        <w:bidi w:val="0"/>
        <w:spacing w:before="0" w:after="0"/>
        <w:jc w:val="both"/>
        <w:rPr/>
      </w:pPr>
      <w:r>
        <w:rPr/>
      </w:r>
    </w:p>
    <w:p>
      <w:pPr>
        <w:pStyle w:val="TextBody"/>
        <w:bidi w:val="0"/>
        <w:spacing w:lineRule="auto" w:line="288" w:before="6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(b)If, after the Effective Date, any material assets (other than Excluded Assets), including any Material Real Property,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First Lien Administrative Agent thereof, and, if requested by the First Lien Administrative Agent, the Borrower will cause such assets to be subjected to a Lien securing the Secured Obligations and will take and cause the other Loan Parties to take, such actions as shall be necessary and reasonably requested by the First Lien Administrative Agent to grant and perfect such Liens, including actions described in paragraph (a) of this Section and as required pursuant to the “Collateral and Guarantee Requirement,” all at the expense of the Loan Parties and subject to the last paragraph of the definition of the term “Collateral and Guarantee Requirement.” In the event any Material Real Property is mortgaged pursuant to this Section 5.12(b), the Borrower or such other Loan Party, as applicable, shall be required to comply with the “Collateral and Guarantee Requirement” and paragraph (a) of this Section 5.12 within 90 days following the acquisition of such Material Real Property or such longer time period as agreed by the First Lien Administrative Agent in its reasonable discretion.</w:t>
      </w:r>
    </w:p>
    <w:p>
      <w:pPr>
        <w:pStyle w:val="TextBody"/>
        <w:bidi w:val="0"/>
        <w:spacing w:before="16"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5.13    </w:t>
      </w:r>
      <w:r>
        <w:rPr>
          <w:rFonts w:ascii="Times New Roman;sans-serif" w:hAnsi="Times New Roman;sans-serif"/>
          <w:b w:val="false"/>
          <w:color w:val="000000"/>
          <w:sz w:val="20"/>
          <w:u w:val="single"/>
        </w:rPr>
        <w:t>Designation of Subsidiaries</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The Borrower may at any time after the Effective Date designate any Restricted Subsidiary as an Unrestricted Subsidiary or any Unrestricted Subsidiary as a Restricted Subsidiary;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(i) that immediately after such designation on a Pro Forma Basis, no Event of Default shall have occurred and be continuing, (ii) immediately after giving effect to such designation, on a Pro Forma Basis, the Total Net Leverage Ratio shall not exceed 7.50 to 1.00 for the most recently ended Test Period and (iii) no Subsidiary may be designated as an Unrestricted Subsidiary or continue as an Unrestricted Subsidiary if it is a “Restricted Subsidiary” for the purpose of any Material Indebtedness of Holdings or the Borrower. The designation of any Subsidiary as an Unrestricted Subsidiary after the Effective Date shall constitute an Investment by the Borrower therein at the date of designation in an amount equal to the Fair Market Value of the Borrower’s or their respective subsidiaries’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 Borrower’s or its Subsidiaries’ (as applicable) Investment in such Subsidiary.</w:t>
      </w:r>
    </w:p>
    <w:p>
      <w:pPr>
        <w:pStyle w:val="TextBody"/>
        <w:bidi w:val="0"/>
        <w:spacing w:before="16"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5.14    </w:t>
      </w:r>
      <w:r>
        <w:rPr>
          <w:rFonts w:ascii="Times New Roman;sans-serif" w:hAnsi="Times New Roman;sans-serif"/>
          <w:b w:val="false"/>
          <w:color w:val="000000"/>
          <w:sz w:val="20"/>
          <w:u w:val="single"/>
        </w:rPr>
        <w:t>Certain Post-Closing Obligations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promptly as practicable, and in any event within the time periods after the Effective Date specified in Schedule 5.14 or such later date as the First Lien Administrative Agent agrees to in writing, including to reasonably accommodate circumstances unforeseen on the Effective Date, Holdings, the Borrower and each other Loan Party shall deliver the documents or take the actions specified on Schedule 5.14 that would have been required to be delivered or taken on the Effective Date, in each case except to the extent otherwise agreed by the First Lien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51155"/>
                <wp:effectExtent l="0" t="0" r="0" b="0"/>
                <wp:wrapNone/>
                <wp:docPr id="210" name="Frame20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Administrative Agent pursuant to its authority as set forth in the definition of the term “Collateral and Guarantee Requirement.”</w:t>
      </w:r>
    </w:p>
    <w:p>
      <w:pPr>
        <w:pStyle w:val="TextBody"/>
        <w:bidi w:val="0"/>
        <w:spacing w:before="13"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5.15    </w:t>
      </w:r>
      <w:r>
        <w:rPr>
          <w:rFonts w:ascii="Times New Roman;sans-serif" w:hAnsi="Times New Roman;sans-serif"/>
          <w:b w:val="false"/>
          <w:color w:val="000000"/>
          <w:sz w:val="20"/>
          <w:u w:val="single"/>
        </w:rPr>
        <w:t>Maintenance of Rating of Borrower and the Facilities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The Loan Parties shall use commercially reasonable efforts to maintain (i) a public corporate credit rating (but not any particular rating) from S&amp;P and a public corporate family rating (but not any particular rating) from Moody’s, in each case in respect of the Borrower and (ii) a public rating (but not any particular rating) in respect of the Loans from each of S&amp;P and Moody’s.</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5.16    </w:t>
      </w:r>
      <w:r>
        <w:rPr>
          <w:rFonts w:ascii="Times New Roman;sans-serif" w:hAnsi="Times New Roman;sans-serif"/>
          <w:b w:val="false"/>
          <w:color w:val="000000"/>
          <w:sz w:val="20"/>
          <w:u w:val="single"/>
        </w:rPr>
        <w:t>Lines of Business.</w:t>
      </w:r>
    </w:p>
    <w:p>
      <w:pPr>
        <w:pStyle w:val="TextBody"/>
        <w:bidi w:val="0"/>
        <w:spacing w:before="11"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The Borrower and its Restricted Subsidiaries, taken as a whole, will not fundamentally and substantively alter the character of their business, taken as a whole, from the business conducted by them on the Effective Date and other business activities which are extensions thereof or otherwise incidental, reasonably related or ancillary to any of the foregoing.</w:t>
      </w:r>
    </w:p>
    <w:p>
      <w:pPr>
        <w:pStyle w:val="TextBody"/>
        <w:bidi w:val="0"/>
        <w:spacing w:before="11" w:after="283"/>
        <w:jc w:val="left"/>
        <w:rPr/>
      </w:pPr>
      <w:r>
        <w:rPr/>
      </w:r>
    </w:p>
    <w:p>
      <w:pPr>
        <w:pStyle w:val="TextBody"/>
        <w:bidi w:val="0"/>
        <w:spacing w:lineRule="auto" w:line="556" w:before="0" w:after="0"/>
        <w:ind w:left="0" w:right="0" w:firstLine="580"/>
        <w:jc w:val="left"/>
        <w:rPr/>
      </w:pPr>
      <w:r>
        <w:rPr>
          <w:rFonts w:ascii="Times New Roman;sans-serif" w:hAnsi="Times New Roman;sans-serif"/>
          <w:b w:val="false"/>
          <w:color w:val="000000"/>
          <w:sz w:val="20"/>
        </w:rPr>
        <w:t xml:space="preserve">ARTICLE VI </w:t>
      </w:r>
      <w:r>
        <w:rPr>
          <w:rFonts w:ascii="Times New Roman;sans-serif" w:hAnsi="Times New Roman;sans-serif"/>
          <w:b w:val="false"/>
          <w:color w:val="000000"/>
          <w:sz w:val="20"/>
          <w:u w:val="single"/>
        </w:rPr>
        <w:t>NEGATIVE COVENANTS</w:t>
      </w:r>
    </w:p>
    <w:p>
      <w:pPr>
        <w:pStyle w:val="TextBody"/>
        <w:bidi w:val="0"/>
        <w:spacing w:lineRule="auto" w:line="288" w:before="11" w:after="283"/>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From and after the Effective Date and until the Termination Date, each of Holdings (with respect to Section 6.03(b) and (c) only) and the Borrower covenants and agrees with the Lenders that:</w:t>
      </w:r>
    </w:p>
    <w:p>
      <w:pPr>
        <w:pStyle w:val="TextBody"/>
        <w:bidi w:val="0"/>
        <w:spacing w:before="11"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SECTION 6.01    Indebtedness; Certain Equity Securities.</w:t>
      </w:r>
    </w:p>
    <w:p>
      <w:pPr>
        <w:pStyle w:val="TextBody"/>
        <w:bidi w:val="0"/>
        <w:spacing w:before="0" w:after="0"/>
        <w:jc w:val="left"/>
        <w:rPr/>
      </w:pPr>
      <w:r>
        <w:rPr/>
      </w:r>
    </w:p>
    <w:p>
      <w:pPr>
        <w:pStyle w:val="TextBody"/>
        <w:bidi w:val="0"/>
        <w:spacing w:lineRule="auto" w:line="288" w:before="221" w:after="283"/>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(a)The Borrower will not, and will not permit any Restricted Subsidiary to, create, incur, assume or permit to exist any Indebtedness, except:</w:t>
      </w:r>
    </w:p>
    <w:p>
      <w:pPr>
        <w:pStyle w:val="TextBody"/>
        <w:bidi w:val="0"/>
        <w:spacing w:before="10" w:after="283"/>
        <w:jc w:val="left"/>
        <w:rPr/>
      </w:pPr>
      <w:r>
        <w:rPr/>
      </w:r>
    </w:p>
    <w:p>
      <w:pPr>
        <w:pStyle w:val="TextBody"/>
        <w:bidi w:val="0"/>
        <w:spacing w:lineRule="auto" w:line="288" w:before="0" w:after="0"/>
        <w:ind w:left="0" w:right="0" w:firstLine="818"/>
        <w:jc w:val="left"/>
        <w:rPr>
          <w:rFonts w:ascii="Times New Roman;sans-serif" w:hAnsi="Times New Roman;sans-serif"/>
          <w:b w:val="false"/>
          <w:color w:val="000000"/>
          <w:sz w:val="20"/>
        </w:rPr>
      </w:pPr>
      <w:r>
        <w:rPr>
          <w:rFonts w:ascii="Times New Roman;sans-serif" w:hAnsi="Times New Roman;sans-serif"/>
          <w:b w:val="false"/>
          <w:color w:val="000000"/>
          <w:sz w:val="20"/>
        </w:rPr>
        <w:t>(i)Indebtedness of the Borrower and any of the Restricted Subsidiaries under the First Lien Loan Documents (including any Indebtedness incurred pursuant to Section 2.20 or 2.21);</w:t>
      </w:r>
    </w:p>
    <w:p>
      <w:pPr>
        <w:pStyle w:val="TextBody"/>
        <w:bidi w:val="0"/>
        <w:spacing w:before="11" w:after="283"/>
        <w:jc w:val="left"/>
        <w:rPr/>
      </w:pPr>
      <w:r>
        <w:rPr/>
      </w:r>
    </w:p>
    <w:p>
      <w:pPr>
        <w:pStyle w:val="TextBody"/>
        <w:bidi w:val="0"/>
        <w:spacing w:lineRule="auto" w:line="288" w:before="0" w:after="0"/>
        <w:ind w:left="0" w:right="0" w:firstLine="763"/>
        <w:jc w:val="left"/>
        <w:rPr>
          <w:rFonts w:ascii="Times New Roman;sans-serif" w:hAnsi="Times New Roman;sans-serif"/>
          <w:b w:val="false"/>
          <w:color w:val="000000"/>
          <w:sz w:val="20"/>
        </w:rPr>
      </w:pPr>
      <w:r>
        <w:rPr>
          <w:rFonts w:ascii="Times New Roman;sans-serif" w:hAnsi="Times New Roman;sans-serif"/>
          <w:b w:val="false"/>
          <w:color w:val="000000"/>
          <w:sz w:val="20"/>
        </w:rPr>
        <w:t>(ii)Indebtedness, including intercompany Indebtedness, outstanding on the Amendment No. 4 Effective Date and listed on Schedule 6.01, and any Permitted Refinancing thereof;</w:t>
      </w:r>
    </w:p>
    <w:p>
      <w:pPr>
        <w:pStyle w:val="TextBody"/>
        <w:bidi w:val="0"/>
        <w:spacing w:before="11" w:after="283"/>
        <w:jc w:val="left"/>
        <w:rPr/>
      </w:pPr>
      <w:r>
        <w:rPr/>
      </w:r>
    </w:p>
    <w:p>
      <w:pPr>
        <w:pStyle w:val="TextBody"/>
        <w:bidi w:val="0"/>
        <w:spacing w:lineRule="auto" w:line="288" w:before="0" w:after="0"/>
        <w:ind w:left="0" w:right="0" w:firstLine="708"/>
        <w:jc w:val="both"/>
        <w:rPr>
          <w:rFonts w:ascii="Times New Roman;sans-serif" w:hAnsi="Times New Roman;sans-serif"/>
          <w:b w:val="false"/>
          <w:color w:val="000000"/>
          <w:sz w:val="20"/>
        </w:rPr>
      </w:pPr>
      <w:r>
        <w:rPr>
          <w:rFonts w:ascii="Times New Roman;sans-serif" w:hAnsi="Times New Roman;sans-serif"/>
          <w:b w:val="false"/>
          <w:color w:val="000000"/>
          <w:sz w:val="20"/>
        </w:rPr>
        <w:t>(iii)Guarantees by the Borrower and any of the Restricted Subsidiaries in respect of Indebtedness of the Borrower or any Restricted Subsidiary otherwise permitted hereunder; provided that (A) such Guarantee is otherwise permitted by Section 6.04, (B) no Guarantee by any Restricted Subsidiary of any Junior Financing shall be permitted unless such Restricted Subsidiary shall have also provided a Guarantee of the First Lien Loan Document Obligations pursuant to the First Lien Guarantee Agreement, and (C) if the Indebtedness being Guaranteed is subordinated to the First Lien Loan Document Obligations, such Guarantee shall be subordinated to the Guarantee of the First Lien Loan Document Obligations on terms at least as favorable to the Lenders as those contained in the subordination of such Indebtedness;</w:t>
      </w:r>
    </w:p>
    <w:p>
      <w:pPr>
        <w:pStyle w:val="TextBody"/>
        <w:bidi w:val="0"/>
        <w:spacing w:before="13"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000000"/>
          <w:sz w:val="20"/>
        </w:rPr>
        <w:t xml:space="preserve">(iv)Indebtedness of the Borrower owing to any Restricted Subsidiary or of any Restricted Subsidiary owing to any other Restricted Subsidiary or the Borrower, to the extent permitted by Section 6.04;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all such Indebtedness of any Loan Party owing to any Restricted Subsidiary that is not a Loan Party shall be subordinated to the First Lien Loan Document Obligations (to the extent any such Indebtedness is outstanding at any time after the date that is thirty (30) days after the Effective Date or such later date as the First Lien Administrative Agent may reasonably agree) (but only to the extent permitted by applicable law and not giving rise to adverse tax consequences) on terms (i) at least as favorable to the Lenders as those set forth in the form of intercompany note attached as Exhibit F or (ii) otherwise reasonably satisfactory to the First Lien Administrative Agent;</w:t>
      </w:r>
    </w:p>
    <w:p>
      <w:pPr>
        <w:pStyle w:val="TextBody"/>
        <w:bidi w:val="0"/>
        <w:spacing w:before="13"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51155"/>
                <wp:effectExtent l="0" t="0" r="0" b="0"/>
                <wp:wrapNone/>
                <wp:docPr id="211" name="Frame2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75"/>
        <w:jc w:val="both"/>
        <w:rPr/>
      </w:pPr>
      <w:r>
        <w:rPr>
          <w:rFonts w:ascii="Times New Roman;sans-serif" w:hAnsi="Times New Roman;sans-serif"/>
          <w:b w:val="false"/>
          <w:color w:val="000000"/>
          <w:sz w:val="20"/>
        </w:rPr>
        <w:t xml:space="preserve">(v)(A) Indebtedness (including Capital Lease Obligations and purchase money Indebtedness) incurred, issued or assumed by the Borrower or any Restricted Subsidiary to finance the acquisition, purchase, lease, construction, repair, replacement or improvement of fixed or capital property, equipment or other assets;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such Indebtedness is incurred concurrently with or within 270 days after the applicable acquisition, purchase, lease, construction, repair, replacement or improvement, and (B) any Permitted Refinancing of any Indebtedness set forth in the immediately preceding clause (A) (or successive Permitted Refinancings thereof);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that, at the time of any such incurrence of Indebtedness and after giving Pro Forma Effect thereto and the use of the proceeds thereof, the aggregate principal amount of Indebtedness that is outstanding in reliance on this clause (v) shall not exceed the greater of (A) $190,000,000 and (B) 35% of Consolidated EBITDA for the most recently ended Test Period as of such time;</w:t>
      </w:r>
    </w:p>
    <w:p>
      <w:pPr>
        <w:pStyle w:val="TextBody"/>
        <w:bidi w:val="0"/>
        <w:spacing w:before="14"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(vi)Indebtedness in respect of Swap Agreements incurred in the ordinary course of business and not for speculative purposes;</w:t>
      </w:r>
    </w:p>
    <w:p>
      <w:pPr>
        <w:pStyle w:val="TextBody"/>
        <w:bidi w:val="0"/>
        <w:spacing w:before="0" w:after="0"/>
        <w:ind w:left="0" w:right="0" w:firstLine="720"/>
        <w:jc w:val="both"/>
        <w:rPr/>
      </w:pPr>
      <w:r>
        <w:rPr/>
      </w:r>
    </w:p>
    <w:p>
      <w:pPr>
        <w:pStyle w:val="TextBody"/>
        <w:bidi w:val="0"/>
        <w:spacing w:lineRule="auto" w:line="288" w:before="60" w:after="283"/>
        <w:ind w:left="0" w:right="0" w:firstLine="664"/>
        <w:jc w:val="both"/>
        <w:rPr>
          <w:rFonts w:ascii="Times New Roman;sans-serif" w:hAnsi="Times New Roman;sans-serif"/>
          <w:b w:val="false"/>
          <w:color w:val="000000"/>
          <w:sz w:val="20"/>
        </w:rPr>
      </w:pPr>
      <w:r>
        <w:rPr>
          <w:rFonts w:ascii="Times New Roman;sans-serif" w:hAnsi="Times New Roman;sans-serif"/>
          <w:b w:val="false"/>
          <w:color w:val="000000"/>
          <w:sz w:val="20"/>
        </w:rPr>
        <w:t>(vii)(A)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pari passu basis with the Secured Obligations, (ii) after giving effect to each such incurrence, issuance and/or assumption of such Indebtedness on a Pro Forma Basis, (I) the Senior Secured First Lien Net Leverage Ratio as of such time is less than or equal to, at the Borrower’s option, either</w:t>
      </w:r>
    </w:p>
    <w:p>
      <w:pPr>
        <w:pStyle w:val="TextBody"/>
        <w:bidi w:val="0"/>
        <w:spacing w:lineRule="auto" w:line="288" w:before="4" w:after="283"/>
        <w:jc w:val="both"/>
        <w:rPr>
          <w:rFonts w:ascii="Times New Roman;sans-serif" w:hAnsi="Times New Roman;sans-serif"/>
          <w:b w:val="false"/>
          <w:color w:val="000000"/>
          <w:sz w:val="20"/>
        </w:rPr>
      </w:pPr>
      <w:r>
        <w:rPr>
          <w:rFonts w:ascii="Times New Roman;sans-serif" w:hAnsi="Times New Roman;sans-serif"/>
          <w:b w:val="false"/>
          <w:color w:val="000000"/>
          <w:sz w:val="20"/>
        </w:rPr>
        <w:t>(x) 5.50 to 1.00 for the most recently ended Test Period or (y) the Senior Secured First Lien Net Leverage Ratio immediately prior to such Permitted Acquisition or Investment (and related issuance and/or incurrence of Consolidated Senior Secured First Lien Net Indebtedness), (II) the Borrower shall be in Pro Forma Compliance with the Financial Performance Covenant for the most recently ended Test Period (regardless of whether such Financial Performance Covenant is applicable at such time) and (III) no Specified Event of Default shall exist or result therefrom (at the time of execution of a binding agreement in respect thereof),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remaining Term Loans (except in the case of customary bridge loans which, subject to customary conditions (including no payment or bankruptcy event of default), would either automatically be converted into or required to be exchanged for permanent refinancing Indebtedness that does not have a shorter Weighted Average Life to Maturity than such remaining Term Loans) and (3) [reserved]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(vii)(A)(a) or (vii)(B) (solely with respect to any Permitted Refinancing of any Indebtedness incurred pursuant to clause (vii)(A)(a)) (together with the aggregate principal amount of Indebtedness of which the primary obligor or a guarantor is a Restricted Subsidiary that is not a Loan Party outstanding in reliance on Sections 6.01(a)(viii) and 6.01(a)(ix)) shall not exceed, at the time of incurrence thereof and after giving Pro Forma Effect thereto, the greater of $108,400,000 and 20% of Consolidated EBITDA for the most recently ended Test Period as of such time;</w:t>
      </w:r>
    </w:p>
    <w:p>
      <w:pPr>
        <w:pStyle w:val="TextBody"/>
        <w:bidi w:val="0"/>
        <w:spacing w:before="19" w:after="283"/>
        <w:jc w:val="left"/>
        <w:rPr/>
      </w:pPr>
      <w:r>
        <w:rPr/>
      </w:r>
    </w:p>
    <w:p>
      <w:pPr>
        <w:pStyle w:val="TextBody"/>
        <w:bidi w:val="0"/>
        <w:spacing w:lineRule="auto" w:line="288" w:before="0" w:after="0"/>
        <w:ind w:left="0" w:right="0" w:firstLine="609"/>
        <w:jc w:val="both"/>
        <w:rPr>
          <w:rFonts w:ascii="Times New Roman;sans-serif" w:hAnsi="Times New Roman;sans-serif"/>
          <w:b w:val="false"/>
          <w:color w:val="000000"/>
          <w:sz w:val="20"/>
        </w:rPr>
      </w:pPr>
      <w:r>
        <w:rPr>
          <w:rFonts w:ascii="Times New Roman;sans-serif" w:hAnsi="Times New Roman;sans-serif"/>
          <w:b w:val="false"/>
          <w:color w:val="000000"/>
          <w:sz w:val="20"/>
        </w:rPr>
        <w:t>(viii)(A)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junior or subordinated basis to the Secured Obligations,</w:t>
      </w:r>
    </w:p>
    <w:p>
      <w:pPr>
        <w:pStyle w:val="TextBody"/>
        <w:bidi w:val="0"/>
        <w:spacing w:lineRule="auto" w:line="288" w:before="3"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after giving effect to each such incurrence and/or issuance of such Indebtedness on a Pro Forma Basis, the Senior Secured Net Leverage Ratio as of such time is less than or equal to, at the Borrower’s option, either (x) 7.50 to 1.00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51155"/>
                <wp:effectExtent l="0" t="0" r="0" b="0"/>
                <wp:wrapNone/>
                <wp:docPr id="212" name="Frame2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3"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most recently ended Test Period or (y) the Senior Secured Net Leverage Ratio immediately prior to such Permitted Acquisition or Investment (and related incurrence and/or issuance of Indebtedness)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remaining Term Loans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the remaining Term Loans), (3) the other terms and conditions of such Indebtedness shall be as determined by the Borrower and the lenders providing such Indebtedness (subject to the restrictions and exceptions set forth above) and (4) with respect to clause (b) above, such Indebtedness is and remains the obligation of the Person and/or such Person’s subsidiaries that are acquired and such Indebtedness was not incurred in anticipation of such Permitted Acquisition or Investment;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(viii)(A)(a) or (viii)(B) (solely with respect to any Permitted Refinancing of any Indebtedness incurred pursuant to clause (viii)(A)(a)) (together with the aggregate principal amount of Indebtedness of which the primary obligor or a guarantor is a Restricted Subsidiary that is not a Loan Party outstanding in reliance Sections 6.01(a)(vii) and 6.01(a)(ix)) shall not exceed, at the time of incurrence thereof and after giving Pro Forma Effect thereto, the greater of (A) $108,400,000 and (B) 20% of Consolidated EBITDA for the most recently ended Test Period as of such time;</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(ix)(A)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(i) such Indebtedness is unsecured, (ii) after giving effect to each such incurrence, issuance and/or assumption of such Indebtedness (X) on a Pro Forma Basis, at the Borrower’s option, either (1) the Total Net Leverage Ratio as of such time is less than or equal to either (x) 7.50 to 1.00 for the most recently ended Test Period or (y) the Total Net Leverage Ratio immediately prior to such Permitted Acquisition or Investment (and related incurrence and/or issuance of Indebtedness) or (2) the Interest Coverage Ratio as of such time is not less than either (x) 2.00 to 1.00 for the most recently ended Test Period or (y) the Interest Coverage Ratio immediately prior to such Permitted Acquisition or Investment (and related incurrence and/or issuance of Indebtedness), (Y) the Borrower shall be in Pro Forma Compliance with the Financial Performance Covenant for the most recently ended Test Period (regardless of whether such Financial Performance Covenant is applicable at such time) and (Z) no Specified Event of Default shall exist or result therefrom,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and (2) [reserved];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(ix)(A)(a) or (ix)(B) (solely with respect to any Permitted Refinancing of any Indebtedness incurred pursuant to clause (ix)(A)(a)) (together with the aggregate principal amount of Indebtedness of which the primary obligor or a guarantor is a Restricted Subsidiary that is not a Loan Party outstanding in reliance Sections 6.01(a)(vii) and 6.01(a)(viii)) shall not exceed, at the time of incurrence thereof and after giving Pro Forma Effect thereto, the greater of $108,400,000 and 20% of Consolidated EBITDA for the most recently ended Test Period as of such time;</w:t>
      </w:r>
    </w:p>
    <w:p>
      <w:pPr>
        <w:pStyle w:val="TextBody"/>
        <w:bidi w:val="0"/>
        <w:spacing w:before="20" w:after="283"/>
        <w:jc w:val="left"/>
        <w:rPr/>
      </w:pPr>
      <w:r>
        <w:rPr/>
      </w:r>
    </w:p>
    <w:p>
      <w:pPr>
        <w:pStyle w:val="TextBody"/>
        <w:bidi w:val="0"/>
        <w:spacing w:lineRule="auto" w:line="288" w:before="0" w:after="0"/>
        <w:ind w:left="0" w:right="0" w:firstLine="775"/>
        <w:jc w:val="both"/>
        <w:rPr>
          <w:rFonts w:ascii="Times New Roman;sans-serif" w:hAnsi="Times New Roman;sans-serif"/>
          <w:b w:val="false"/>
          <w:color w:val="000000"/>
          <w:sz w:val="20"/>
        </w:rPr>
      </w:pPr>
      <w:r>
        <w:rPr>
          <w:rFonts w:ascii="Times New Roman;sans-serif" w:hAnsi="Times New Roman;sans-serif"/>
          <w:b w:val="false"/>
          <w:color w:val="000000"/>
          <w:sz w:val="20"/>
        </w:rPr>
        <w:t>(x)Indebtedness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non-recourse basis;</w:t>
      </w:r>
    </w:p>
    <w:p>
      <w:pPr>
        <w:pStyle w:val="TextBody"/>
        <w:bidi w:val="0"/>
        <w:spacing w:before="12"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51155"/>
                <wp:effectExtent l="0" t="0" r="0" b="0"/>
                <wp:wrapNone/>
                <wp:docPr id="213" name="Frame2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151"/>
        <w:jc w:val="left"/>
        <w:rPr>
          <w:rFonts w:ascii="Times New Roman;sans-serif" w:hAnsi="Times New Roman;sans-serif"/>
          <w:b w:val="false"/>
          <w:color w:val="000000"/>
          <w:sz w:val="20"/>
        </w:rPr>
      </w:pPr>
      <w:r>
        <w:rPr>
          <w:rFonts w:ascii="Times New Roman;sans-serif" w:hAnsi="Times New Roman;sans-serif"/>
          <w:b w:val="false"/>
          <w:color w:val="000000"/>
          <w:sz w:val="20"/>
        </w:rPr>
        <w:t>(xi)Settlement Indebtedness;</w:t>
      </w:r>
    </w:p>
    <w:p>
      <w:pPr>
        <w:pStyle w:val="TextBody"/>
        <w:bidi w:val="0"/>
        <w:spacing w:before="10" w:after="283"/>
        <w:jc w:val="left"/>
        <w:rPr/>
      </w:pPr>
      <w:r>
        <w:rPr/>
      </w:r>
    </w:p>
    <w:p>
      <w:pPr>
        <w:pStyle w:val="TextBody"/>
        <w:bidi w:val="0"/>
        <w:spacing w:lineRule="auto" w:line="288" w:before="1" w:after="283"/>
        <w:ind w:left="0" w:right="0" w:firstLine="664"/>
        <w:jc w:val="both"/>
        <w:rPr>
          <w:rFonts w:ascii="Times New Roman;sans-serif" w:hAnsi="Times New Roman;sans-serif"/>
          <w:b w:val="false"/>
          <w:color w:val="000000"/>
          <w:sz w:val="20"/>
        </w:rPr>
      </w:pPr>
      <w:r>
        <w:rPr>
          <w:rFonts w:ascii="Times New Roman;sans-serif" w:hAnsi="Times New Roman;sans-serif"/>
          <w:b w:val="false"/>
          <w:color w:val="000000"/>
          <w:sz w:val="20"/>
        </w:rPr>
        <w:t>(xii)Indebtedness in respect of Cash Management Obligations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w:t>
      </w:r>
    </w:p>
    <w:p>
      <w:pPr>
        <w:pStyle w:val="TextBody"/>
        <w:bidi w:val="0"/>
        <w:spacing w:before="11" w:after="283"/>
        <w:jc w:val="left"/>
        <w:rPr/>
      </w:pPr>
      <w:r>
        <w:rPr/>
      </w:r>
    </w:p>
    <w:p>
      <w:pPr>
        <w:pStyle w:val="TextBody"/>
        <w:bidi w:val="0"/>
        <w:spacing w:lineRule="auto" w:line="288" w:before="0" w:after="0"/>
        <w:ind w:left="0" w:right="0" w:firstLine="609"/>
        <w:jc w:val="both"/>
        <w:rPr>
          <w:rFonts w:ascii="Times New Roman;sans-serif" w:hAnsi="Times New Roman;sans-serif"/>
          <w:b w:val="false"/>
          <w:color w:val="000000"/>
          <w:sz w:val="20"/>
        </w:rPr>
      </w:pPr>
      <w:r>
        <w:rPr>
          <w:rFonts w:ascii="Times New Roman;sans-serif" w:hAnsi="Times New Roman;sans-serif"/>
          <w:b w:val="false"/>
          <w:color w:val="000000"/>
          <w:sz w:val="20"/>
        </w:rPr>
        <w:t>(xiii)Indebtedness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any Permitted Acquisition, any other Investment or any Disposition, in each case, permitted under this Agreement;</w:t>
      </w:r>
    </w:p>
    <w:p>
      <w:pPr>
        <w:pStyle w:val="TextBody"/>
        <w:bidi w:val="0"/>
        <w:spacing w:before="0" w:after="0"/>
        <w:ind w:left="0" w:right="0" w:firstLine="720"/>
        <w:jc w:val="both"/>
        <w:rPr/>
      </w:pPr>
      <w:r>
        <w:rPr/>
      </w:r>
    </w:p>
    <w:p>
      <w:pPr>
        <w:pStyle w:val="TextBody"/>
        <w:bidi w:val="0"/>
        <w:spacing w:lineRule="auto" w:line="288" w:before="60" w:after="283"/>
        <w:ind w:left="0" w:right="0" w:firstLine="621"/>
        <w:jc w:val="both"/>
        <w:rPr/>
      </w:pPr>
      <w:r>
        <w:rPr>
          <w:rFonts w:ascii="Times New Roman;sans-serif" w:hAnsi="Times New Roman;sans-serif"/>
          <w:b w:val="false"/>
          <w:color w:val="000000"/>
          <w:sz w:val="20"/>
        </w:rPr>
        <w:t xml:space="preserve">(xiv)Indebtedness of the Borrower or any Restricted Subsidiary or any Person that becomes a Restricted Subsidiary after the Effective Date (or of any Person not previously a Restricted Subsidiary that is merged, amalgamated or consolidated with or into the Borrower or any Restricted Subsidiary) which Indebtedness is either (A) unsecured or (B) (x) if the issuer or any guarantor of such Indebtedness is a Loan Party and such Indebtedness is secured, then such Indebtedness is secured on a junior basis to the Secured Obligations and the agent for the holders of which have entered into the First/Second Lien Intercreditor Agreement or (y) if neither the issuer of such Indebtedness nor any guarantor of such Indebtedness is a Loan Party, secured;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at the time of the incurrence thereof and after giving Pro Forma Effect thereto, the aggregate principal amount of Indebtedness outstanding in reliance on this clause (xiv) shall not exceed the greater of (A) $271,000,000 and (B) 50% of Consolidated EBITDA for the most recently ended Test Period as of such time;</w:t>
      </w:r>
    </w:p>
    <w:p>
      <w:pPr>
        <w:pStyle w:val="TextBody"/>
        <w:bidi w:val="0"/>
        <w:spacing w:before="14" w:after="283"/>
        <w:jc w:val="left"/>
        <w:rPr/>
      </w:pPr>
      <w:r>
        <w:rPr/>
      </w:r>
    </w:p>
    <w:p>
      <w:pPr>
        <w:pStyle w:val="TextBody"/>
        <w:bidi w:val="0"/>
        <w:spacing w:lineRule="auto" w:line="288" w:before="0" w:after="0"/>
        <w:ind w:left="0" w:right="0" w:firstLine="676"/>
        <w:jc w:val="both"/>
        <w:rPr/>
      </w:pPr>
      <w:r>
        <w:rPr>
          <w:rFonts w:ascii="Times New Roman;sans-serif" w:hAnsi="Times New Roman;sans-serif"/>
          <w:b w:val="false"/>
          <w:color w:val="000000"/>
          <w:sz w:val="20"/>
        </w:rPr>
        <w:t xml:space="preserve">(xv)(A) Indebtedness of the Borrower or any of the Restricted Subsidiaries or any Person that becomes a Restricted Subsidiary after the Effective Date (or of any Person not previously a Restricted Subsidiary that is merged, amalgamated or consolidated with or into the Borrower or a Restricted Subsidiary);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(1)</w:t>
      </w:r>
    </w:p>
    <w:p>
      <w:pPr>
        <w:pStyle w:val="TextBody"/>
        <w:bidi w:val="0"/>
        <w:spacing w:lineRule="auto" w:line="288" w:before="2" w:after="283"/>
        <w:jc w:val="both"/>
        <w:rPr/>
      </w:pPr>
      <w:r>
        <w:rPr>
          <w:rFonts w:ascii="Times New Roman;sans-serif" w:hAnsi="Times New Roman;sans-serif"/>
          <w:b w:val="false"/>
          <w:color w:val="000000"/>
          <w:sz w:val="20"/>
        </w:rPr>
        <w:t xml:space="preserve">(x) if such Indebtedness is secured by the Collateral on a </w:t>
      </w:r>
      <w:r>
        <w:rPr>
          <w:rFonts w:ascii="Times New Roman;sans-serif" w:hAnsi="Times New Roman;sans-serif"/>
          <w:b w:val="false"/>
          <w:color w:val="000000"/>
          <w:sz w:val="20"/>
          <w:u w:val="single"/>
        </w:rPr>
        <w:t>pari passu</w:t>
      </w:r>
      <w:r>
        <w:rPr>
          <w:color w:val="000000"/>
        </w:rPr>
        <w:t xml:space="preserve"> </w:t>
      </w:r>
      <w:r>
        <w:rPr>
          <w:rFonts w:ascii="Times New Roman;sans-serif" w:hAnsi="Times New Roman;sans-serif"/>
          <w:b w:val="false"/>
          <w:color w:val="000000"/>
          <w:sz w:val="20"/>
        </w:rPr>
        <w:t xml:space="preserve">basis with the Secured Obligations, after giving effect to the incurrence of such Indebtedness on a Pro Forma Basis, the Senior Secured First Lien Net Leverage Ratio as of such time is less than or equal to, at the Borrower’s option, either (I) 5.50 to 1.00 for the most recently ended Test Period, or (II) the Senior Secured First Lien Net Leverage Ratio immediately prior to such Permitted Acquisition or Investment, (y) if such Indebtedness is secured on a junior basis to the Secured Obligations and the agent for such Indebtedness has become a party to the First/Second Lien Intercreditor Agreement;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 after giving effect to such incurrence, issuance and/or assumption of such Indebtedness on a Pro Forma Basis, at the Borrower’s option, the Senior Secured Net Leverage Ratio as of such time is less than or equal to either (I) 7.50 to</w:t>
      </w:r>
    </w:p>
    <w:p>
      <w:pPr>
        <w:pStyle w:val="TextBody"/>
        <w:bidi w:val="0"/>
        <w:spacing w:lineRule="auto" w:line="288" w:before="3" w:after="283"/>
        <w:jc w:val="both"/>
        <w:rPr/>
      </w:pPr>
      <w:r>
        <w:rPr>
          <w:rFonts w:ascii="Times New Roman;sans-serif" w:hAnsi="Times New Roman;sans-serif"/>
          <w:b w:val="false"/>
          <w:color w:val="000000"/>
          <w:sz w:val="20"/>
        </w:rPr>
        <w:t xml:space="preserve">1.00 for the most recently ended Test Period or (II) the Senior Secured Net Leverage Ratio immediately prior to such Permitted Acquisition or Investment and (z) if such Indebtedness is unsecured, after giving effect to the incurrence of such Indebtedness on a Pro Forma Basis, at the Borrower’s option, either (x) the Total Net Leverage Ratio as of such time is less than or equal to (I) 7.50 to 1.00 for the most recently ended Test Period, (II) the Total Net Leverage Ratio immediately prior to such Permitted Acquisition or Investment or (y) the Interest Coverage Ratio as of such time is no less than, at the Borrower’s option, (I) 2.00 to 1.00 for the most recently ended Test Period or (II) the Interest Coverage Ratio immediately prior to such Permitted acquisition or investment, (2)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(3) [reserved]; and (B) any Permitted Refinancing of Indebtedness incurred pursuant to the foregoing subclause (A);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u w:val="single"/>
        </w:rPr>
        <w:t>further</w:t>
      </w:r>
      <w:r>
        <w:rPr>
          <w:color w:val="000000"/>
        </w:rPr>
        <w:t xml:space="preserve"> </w:t>
      </w:r>
      <w:r>
        <w:rPr>
          <w:rFonts w:ascii="Times New Roman;sans-serif" w:hAnsi="Times New Roman;sans-serif"/>
          <w:b w:val="false"/>
          <w:color w:val="000000"/>
          <w:sz w:val="20"/>
        </w:rPr>
        <w:t>that the aggregate principal amount of Indebtedness of which the primary obligor or a guarantor is a Restricted Subsidiary that is not a Loan Party outstanding in reliance on this clause (xv) (together with the aggregate principal amount of Indebtedness incurred in reliance on Section 6.01(a)(xvi) and outstanding of which the primary obligor or a guarantor is a Restricted Subsidiary that is not a Loan Party) shall not exceed, at the time of incurrence thereof and after giving Pro Forma Effect thereto, the greater of (A) $108,400,000 and (B) 20% of Consolidated EBITDA for the most recently ended Test Period;</w:t>
      </w:r>
    </w:p>
    <w:p>
      <w:pPr>
        <w:pStyle w:val="TextBody"/>
        <w:bidi w:val="0"/>
        <w:spacing w:before="17"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51155"/>
                <wp:effectExtent l="0" t="0" r="0" b="0"/>
                <wp:wrapNone/>
                <wp:docPr id="214" name="Frame2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ind w:left="0" w:right="0" w:firstLine="621"/>
        <w:jc w:val="both"/>
        <w:rPr/>
      </w:pPr>
      <w:r>
        <w:rPr>
          <w:rFonts w:ascii="Times New Roman;sans-serif" w:hAnsi="Times New Roman;sans-serif"/>
          <w:b w:val="false"/>
          <w:color w:val="000000"/>
          <w:sz w:val="20"/>
        </w:rPr>
        <w:t xml:space="preserve">(xvi)Indebtedness of the Borrower or any Restricted Subsidiary in an aggregate principal amount not greater than the aggregate amount of cash contributions made to the capital of the Borrower or any Restricted Subsidiary (to the extent Not Otherwise Applied) after the Effective Date;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that the aggregate principal amount of Indebtedness of which the primary obligor or a guarantor is a Restricted Subsidiary that is not a Loan Party outstanding in reliance on this clause (xvi) (together with the aggregate principal amount of Indebtedness incurred in reliance on Section 6.01(a)(xv) and outstanding of which the primary obligor or a guarantor is a Restricted Subsidiary that is not a Loan Party) shall not exceed, at the time of incurrence thereof and after giving Pro Forma Effect thereto, the greater of (A) $108,400,000 and (B) 20% of Consolidated EBITDA for the most recently ended Test Period;</w:t>
      </w:r>
    </w:p>
    <w:p>
      <w:pPr>
        <w:pStyle w:val="TextBody"/>
        <w:bidi w:val="0"/>
        <w:spacing w:before="13" w:after="283"/>
        <w:jc w:val="left"/>
        <w:rPr/>
      </w:pPr>
      <w:r>
        <w:rPr/>
      </w:r>
    </w:p>
    <w:p>
      <w:pPr>
        <w:pStyle w:val="TextBody"/>
        <w:bidi w:val="0"/>
        <w:spacing w:lineRule="auto" w:line="288" w:before="0" w:after="0"/>
        <w:ind w:left="0" w:right="0" w:firstLine="566"/>
        <w:jc w:val="both"/>
        <w:rPr>
          <w:rFonts w:ascii="Times New Roman;sans-serif" w:hAnsi="Times New Roman;sans-serif"/>
          <w:b w:val="false"/>
          <w:color w:val="000000"/>
          <w:sz w:val="20"/>
        </w:rPr>
      </w:pPr>
      <w:r>
        <w:rPr>
          <w:rFonts w:ascii="Times New Roman;sans-serif" w:hAnsi="Times New Roman;sans-serif"/>
          <w:b w:val="false"/>
          <w:color w:val="000000"/>
          <w:sz w:val="20"/>
        </w:rPr>
        <w:t>(xvii)Indebtedness consisting of (A) the financing of insurance premiums or (B) take-or-pay obligations contained in supply arrangements, in each case, in the ordinary course of business;</w:t>
      </w:r>
    </w:p>
    <w:p>
      <w:pPr>
        <w:pStyle w:val="TextBody"/>
        <w:bidi w:val="0"/>
        <w:spacing w:before="0" w:after="0"/>
        <w:jc w:val="both"/>
        <w:rPr/>
      </w:pPr>
      <w:r>
        <w:rPr/>
      </w:r>
    </w:p>
    <w:p>
      <w:pPr>
        <w:pStyle w:val="TextBody"/>
        <w:bidi w:val="0"/>
        <w:spacing w:lineRule="auto" w:line="288" w:before="60" w:after="283"/>
        <w:ind w:left="0" w:right="0" w:firstLine="511"/>
        <w:jc w:val="both"/>
        <w:rPr>
          <w:rFonts w:ascii="Times New Roman;sans-serif" w:hAnsi="Times New Roman;sans-serif"/>
          <w:b w:val="false"/>
          <w:color w:val="000000"/>
          <w:sz w:val="20"/>
        </w:rPr>
      </w:pPr>
      <w:r>
        <w:rPr>
          <w:rFonts w:ascii="Times New Roman;sans-serif" w:hAnsi="Times New Roman;sans-serif"/>
          <w:b w:val="false"/>
          <w:color w:val="000000"/>
          <w:sz w:val="20"/>
        </w:rPr>
        <w:t>(xviii)Indebtedness supported by a Letter of Credit, in a principal amount not to exceed the face amount of such Letter of Credit;</w:t>
      </w:r>
    </w:p>
    <w:p>
      <w:pPr>
        <w:pStyle w:val="TextBody"/>
        <w:bidi w:val="0"/>
        <w:spacing w:before="11" w:after="283"/>
        <w:jc w:val="left"/>
        <w:rPr/>
      </w:pPr>
      <w:r>
        <w:rPr/>
      </w:r>
    </w:p>
    <w:p>
      <w:pPr>
        <w:pStyle w:val="TextBody"/>
        <w:bidi w:val="0"/>
        <w:spacing w:lineRule="auto" w:line="288" w:before="0" w:after="0"/>
        <w:ind w:left="0" w:right="0" w:hanging="1250"/>
        <w:jc w:val="left"/>
        <w:rPr>
          <w:rFonts w:ascii="Times New Roman;sans-serif" w:hAnsi="Times New Roman;sans-serif"/>
          <w:b w:val="false"/>
          <w:color w:val="000000"/>
          <w:sz w:val="20"/>
        </w:rPr>
      </w:pPr>
      <w:r>
        <w:rPr>
          <w:rFonts w:ascii="Times New Roman;sans-serif" w:hAnsi="Times New Roman;sans-serif"/>
          <w:b w:val="false"/>
          <w:color w:val="000000"/>
          <w:sz w:val="20"/>
        </w:rPr>
        <w:t>(xix)Permitted Unsecured Refinancing Debt, and any Permitted Refinancing thereof;</w:t>
      </w:r>
    </w:p>
    <w:p>
      <w:pPr>
        <w:pStyle w:val="TextBody"/>
        <w:bidi w:val="0"/>
        <w:spacing w:before="10" w:after="283"/>
        <w:jc w:val="left"/>
        <w:rPr/>
      </w:pPr>
      <w:r>
        <w:rPr/>
      </w:r>
    </w:p>
    <w:p>
      <w:pPr>
        <w:pStyle w:val="TextBody"/>
        <w:bidi w:val="0"/>
        <w:spacing w:lineRule="auto" w:line="288" w:before="0" w:after="0"/>
        <w:ind w:left="0" w:right="0" w:firstLine="676"/>
        <w:jc w:val="both"/>
        <w:rPr>
          <w:rFonts w:ascii="Times New Roman;sans-serif" w:hAnsi="Times New Roman;sans-serif"/>
          <w:b w:val="false"/>
          <w:color w:val="000000"/>
          <w:sz w:val="20"/>
        </w:rPr>
      </w:pPr>
      <w:r>
        <w:rPr>
          <w:rFonts w:ascii="Times New Roman;sans-serif" w:hAnsi="Times New Roman;sans-serif"/>
          <w:b w:val="false"/>
          <w:color w:val="000000"/>
          <w:sz w:val="20"/>
        </w:rPr>
        <w:t>(xx)Permitted First Priority Refinancing Debt and Permitted Second Priority Refinancing Debt, and any Permitted Refinancing of any of the foregoing;</w:t>
      </w:r>
    </w:p>
    <w:p>
      <w:pPr>
        <w:pStyle w:val="TextBody"/>
        <w:bidi w:val="0"/>
        <w:spacing w:before="11" w:after="283"/>
        <w:jc w:val="left"/>
        <w:rPr/>
      </w:pPr>
      <w:r>
        <w:rPr/>
      </w:r>
    </w:p>
    <w:p>
      <w:pPr>
        <w:pStyle w:val="TextBody"/>
        <w:bidi w:val="0"/>
        <w:spacing w:lineRule="auto" w:line="288" w:before="0" w:after="0"/>
        <w:ind w:left="0" w:right="0" w:firstLine="621"/>
        <w:jc w:val="both"/>
        <w:rPr/>
      </w:pPr>
      <w:r>
        <w:rPr>
          <w:rFonts w:ascii="Times New Roman;sans-serif" w:hAnsi="Times New Roman;sans-serif"/>
          <w:b w:val="false"/>
          <w:color w:val="000000"/>
          <w:sz w:val="20"/>
        </w:rPr>
        <w:t xml:space="preserve">(xxi)(A) Indebtedness of the Borrower or any Subsidiary Loan Party issued in lieu of First Lien Incremental Facilities consisting of (i) one or more series of secured or unsecured loans, bonds, notes or debentures (which loans, bonds, notes or debentures, if secured, may be secured either by Liens </w:t>
      </w:r>
      <w:r>
        <w:rPr>
          <w:rFonts w:ascii="Times New Roman;sans-serif" w:hAnsi="Times New Roman;sans-serif"/>
          <w:b w:val="false"/>
          <w:color w:val="000000"/>
          <w:sz w:val="20"/>
          <w:u w:val="single"/>
        </w:rPr>
        <w:t>pari passu</w:t>
      </w:r>
      <w:r>
        <w:rPr>
          <w:color w:val="000000"/>
        </w:rPr>
        <w:t xml:space="preserve"> </w:t>
      </w:r>
      <w:r>
        <w:rPr>
          <w:rFonts w:ascii="Times New Roman;sans-serif" w:hAnsi="Times New Roman;sans-serif"/>
          <w:b w:val="false"/>
          <w:color w:val="000000"/>
          <w:sz w:val="20"/>
        </w:rPr>
        <w:t>with the Liens on the Collateral securing the Secured Obligations or by Liens having a junior priority relative to the Liens on the Collateral securing the Secured Obligations) (and any Registered Equivalent Notes issued in exchange therefor), (ii) one or more series of secured or unsecured loans, bonds, notes or debentures (which loans, bonds, notes or debentures, if secured, may be secured by Liens having a junior priority relative to the Liens on the Collateral securing the Secured Obligations) or (iii) an ABL Facility (the “</w:t>
      </w:r>
      <w:r>
        <w:rPr>
          <w:rFonts w:ascii="Times New Roman;sans-serif" w:hAnsi="Times New Roman;sans-serif"/>
          <w:b w:val="false"/>
          <w:color w:val="000000"/>
          <w:sz w:val="20"/>
          <w:u w:val="single"/>
        </w:rPr>
        <w:t>First Lien Incremental Equivalent Debt</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(x) the aggregate principal amount of all such Indebtedness incurred pursuant to this clause shall not exceed, at the time of incurrence, the Incremental Cap at such time, (y) such Indebtedness complies with the provisions of the Required Additional Debt Terms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clause (e) of the definition of “Required Additional Debt Terms” shall not apply to such First Lien Incremental Equivalent Debt) and (z) such Indebtedness shall not have a shorter Weighted Average Life to Maturity than the remaining Term Loans and (B) any Permitted Refinancing of Indebtedness incurred pursuant to the foregoing subclause (A);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the condition in clause (z) of the definition of “Required Additional Debt Terms” shall not apply to any First Lien Incremental Equivalent Debt in the form of an ABL Facility;</w:t>
      </w:r>
    </w:p>
    <w:p>
      <w:pPr>
        <w:pStyle w:val="TextBody"/>
        <w:bidi w:val="0"/>
        <w:spacing w:before="17" w:after="283"/>
        <w:jc w:val="left"/>
        <w:rPr/>
      </w:pPr>
      <w:r>
        <w:rPr/>
      </w:r>
    </w:p>
    <w:p>
      <w:pPr>
        <w:pStyle w:val="TextBody"/>
        <w:bidi w:val="0"/>
        <w:spacing w:lineRule="auto" w:line="288" w:before="0" w:after="0"/>
        <w:ind w:left="0" w:right="0" w:firstLine="566"/>
        <w:jc w:val="both"/>
        <w:rPr/>
      </w:pPr>
      <w:r>
        <w:rPr>
          <w:rFonts w:ascii="Times New Roman;sans-serif" w:hAnsi="Times New Roman;sans-serif"/>
          <w:b w:val="false"/>
          <w:color w:val="000000"/>
          <w:sz w:val="20"/>
        </w:rPr>
        <w:t xml:space="preserve">(xxii)Indebtedness of any Restricted Subsidiary that is not a Loan Party;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aggregate principal amount of Indebtedness of which the primary obligor or a guarantor is a Restricted Subsidiary that is not a Loan Party outstanding in reliance of this clause (xxiv) shall not exceed, at the time of incurrence thereof and after giving Pro Forma Effect thereto, the greater of (A) $54,200,000 and (B) 10% of Consolidated EBITDA for the most recently ended Test Period as of such time;</w:t>
      </w:r>
    </w:p>
    <w:p>
      <w:pPr>
        <w:pStyle w:val="TextBody"/>
        <w:bidi w:val="0"/>
        <w:spacing w:before="113" w:after="283"/>
        <w:jc w:val="left"/>
        <w:rPr/>
      </w:pPr>
      <w:r>
        <w:rPr/>
      </w:r>
    </w:p>
    <w:p>
      <w:pPr>
        <w:pStyle w:val="TextBody"/>
        <w:bidi w:val="0"/>
        <w:spacing w:lineRule="auto" w:line="288" w:before="0" w:after="0"/>
        <w:ind w:left="0" w:right="0" w:firstLine="511"/>
        <w:jc w:val="both"/>
        <w:rPr>
          <w:rFonts w:ascii="Times New Roman;sans-serif" w:hAnsi="Times New Roman;sans-serif"/>
          <w:b w:val="false"/>
          <w:color w:val="000000"/>
          <w:sz w:val="20"/>
        </w:rPr>
      </w:pPr>
      <w:r>
        <w:rPr>
          <w:rFonts w:ascii="Times New Roman;sans-serif" w:hAnsi="Times New Roman;sans-serif"/>
          <w:b w:val="false"/>
          <w:color w:val="000000"/>
          <w:sz w:val="20"/>
        </w:rPr>
        <w:t>(xxiii)Indebtedness incurred by the Borrower or any Restricted Subsidiary in respect of letters of credit, bank guarantees, warehouse receipts, bankers’ acceptances or similar instruments issued or created in the ordinary course of business or consistent with past practice, including in respect of workers compensation claims, health, disability or other employee benefits or property, casualty or liability insurance or self-insurance or other reimbursement-type obligations regarding workers compensation claims;</w:t>
      </w:r>
    </w:p>
    <w:p>
      <w:pPr>
        <w:pStyle w:val="TextBody"/>
        <w:bidi w:val="0"/>
        <w:spacing w:before="12" w:after="283"/>
        <w:jc w:val="left"/>
        <w:rPr/>
      </w:pPr>
      <w:r>
        <w:rPr/>
      </w:r>
    </w:p>
    <w:p>
      <w:pPr>
        <w:pStyle w:val="TextBody"/>
        <w:bidi w:val="0"/>
        <w:spacing w:lineRule="auto" w:line="288"/>
        <w:ind w:left="0" w:right="0" w:firstLine="52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(xxiv)Indebtedness and obligations in respect of self-insurance and obligations in respect of performance, bid, appeal and surety bonds and performance and completion guarantees and similar obligations provided by the Borrower or any Restricted Subsidiary or obligations in respect of letters of credit, bank guarantees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51155"/>
                <wp:effectExtent l="0" t="0" r="0" b="0"/>
                <wp:wrapNone/>
                <wp:docPr id="215" name="Frame2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similar instruments related thereto, in each case, in the ordinary course of business or consistent with past practice;</w:t>
      </w:r>
    </w:p>
    <w:p>
      <w:pPr>
        <w:pStyle w:val="TextBody"/>
        <w:bidi w:val="0"/>
        <w:spacing w:before="12" w:after="283"/>
        <w:jc w:val="left"/>
        <w:rPr/>
      </w:pPr>
      <w:r>
        <w:rPr/>
      </w:r>
    </w:p>
    <w:p>
      <w:pPr>
        <w:pStyle w:val="TextBody"/>
        <w:bidi w:val="0"/>
        <w:spacing w:lineRule="auto" w:line="288" w:before="0" w:after="0"/>
        <w:ind w:left="0" w:right="0" w:firstLine="578"/>
        <w:jc w:val="both"/>
        <w:rPr>
          <w:rFonts w:ascii="Times New Roman;sans-serif" w:hAnsi="Times New Roman;sans-serif"/>
          <w:b w:val="false"/>
          <w:color w:val="000000"/>
          <w:sz w:val="20"/>
        </w:rPr>
      </w:pPr>
      <w:r>
        <w:rPr>
          <w:rFonts w:ascii="Times New Roman;sans-serif" w:hAnsi="Times New Roman;sans-serif"/>
          <w:b w:val="false"/>
          <w:color w:val="000000"/>
          <w:sz w:val="20"/>
        </w:rPr>
        <w:t>(xxv)Indebtedness representing deferred compensation or stock-based compensation owed to employees, consultants or independent contractors of Holdings, any Intermediate Parent, the Borrower or the Restricted Subsidiaries incurred in the ordinary course of business or consistent with past practice;</w:t>
      </w:r>
    </w:p>
    <w:p>
      <w:pPr>
        <w:pStyle w:val="TextBody"/>
        <w:bidi w:val="0"/>
        <w:spacing w:before="11" w:after="283"/>
        <w:jc w:val="left"/>
        <w:rPr/>
      </w:pPr>
      <w:r>
        <w:rPr/>
      </w:r>
    </w:p>
    <w:p>
      <w:pPr>
        <w:pStyle w:val="TextBody"/>
        <w:bidi w:val="0"/>
        <w:spacing w:lineRule="auto" w:line="288" w:before="0" w:after="0"/>
        <w:ind w:left="0" w:right="0" w:firstLine="523"/>
        <w:jc w:val="both"/>
        <w:rPr>
          <w:rFonts w:ascii="Times New Roman;sans-serif" w:hAnsi="Times New Roman;sans-serif"/>
          <w:b w:val="false"/>
          <w:color w:val="000000"/>
          <w:sz w:val="20"/>
        </w:rPr>
      </w:pPr>
      <w:r>
        <w:rPr>
          <w:rFonts w:ascii="Times New Roman;sans-serif" w:hAnsi="Times New Roman;sans-serif"/>
          <w:b w:val="false"/>
          <w:color w:val="000000"/>
          <w:sz w:val="20"/>
        </w:rPr>
        <w:t>(xxvi)Indebtedness consisting of unsecured promissory notes issued by the Borrower or any Restricted Subsidiary to future, current or former officers, directors, employees, managers and consultants or their respective estates, spouses or former spouses, successors, executors, administrators, heirs, legatees or distributees, in each case to finance the purchase or redemption of Equity Interests of the Borrower (or any direct or indirect parent thereof) to the extent permitted by Section 6.07(a);</w:t>
      </w:r>
    </w:p>
    <w:p>
      <w:pPr>
        <w:pStyle w:val="TextBody"/>
        <w:bidi w:val="0"/>
        <w:spacing w:before="0" w:after="0"/>
        <w:jc w:val="both"/>
        <w:rPr/>
      </w:pPr>
      <w:r>
        <w:rPr/>
      </w:r>
    </w:p>
    <w:p>
      <w:pPr>
        <w:pStyle w:val="TextBody"/>
        <w:bidi w:val="0"/>
        <w:spacing w:lineRule="auto" w:line="288" w:before="60" w:after="283"/>
        <w:ind w:left="0" w:right="0" w:hanging="1404"/>
        <w:jc w:val="left"/>
        <w:rPr>
          <w:rFonts w:ascii="Times New Roman;sans-serif" w:hAnsi="Times New Roman;sans-serif"/>
          <w:b w:val="false"/>
          <w:color w:val="000000"/>
          <w:sz w:val="20"/>
        </w:rPr>
      </w:pPr>
      <w:r>
        <w:rPr>
          <w:rFonts w:ascii="Times New Roman;sans-serif" w:hAnsi="Times New Roman;sans-serif"/>
          <w:b w:val="false"/>
          <w:color w:val="000000"/>
          <w:sz w:val="20"/>
        </w:rPr>
        <w:t>(xxvii)Indebtedness incurred in connection with a Qualified Securitization Facility;</w:t>
      </w:r>
    </w:p>
    <w:p>
      <w:pPr>
        <w:pStyle w:val="TextBody"/>
        <w:bidi w:val="0"/>
        <w:spacing w:before="10" w:after="283"/>
        <w:jc w:val="left"/>
        <w:rPr/>
      </w:pPr>
      <w:r>
        <w:rPr/>
      </w:r>
    </w:p>
    <w:p>
      <w:pPr>
        <w:pStyle w:val="TextBody"/>
        <w:bidi w:val="0"/>
        <w:spacing w:lineRule="auto" w:line="288" w:before="1" w:after="283"/>
        <w:ind w:left="0" w:right="0" w:firstLine="412"/>
        <w:jc w:val="left"/>
        <w:rPr/>
      </w:pPr>
      <w:r>
        <w:rPr>
          <w:rFonts w:ascii="Times New Roman;sans-serif" w:hAnsi="Times New Roman;sans-serif"/>
          <w:b w:val="false"/>
          <w:color w:val="000000"/>
          <w:sz w:val="20"/>
        </w:rPr>
        <w:t xml:space="preserve">(xxviii)Indebtedness under the Senior Secured Notes and any Permitted Refinancing;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such Indebtedness is subject to a First Lien Pari Passu Intercreditor Agreement;</w:t>
      </w:r>
    </w:p>
    <w:p>
      <w:pPr>
        <w:pStyle w:val="TextBody"/>
        <w:bidi w:val="0"/>
        <w:spacing w:before="10" w:after="283"/>
        <w:jc w:val="left"/>
        <w:rPr/>
      </w:pPr>
      <w:r>
        <w:rPr/>
      </w:r>
    </w:p>
    <w:p>
      <w:pPr>
        <w:pStyle w:val="TextBody"/>
        <w:bidi w:val="0"/>
        <w:spacing w:lineRule="auto" w:line="288" w:before="0" w:after="0"/>
        <w:ind w:left="0" w:right="0" w:firstLine="523"/>
        <w:jc w:val="left"/>
        <w:rPr>
          <w:rFonts w:ascii="Times New Roman;sans-serif" w:hAnsi="Times New Roman;sans-serif"/>
          <w:b w:val="false"/>
          <w:color w:val="000000"/>
          <w:sz w:val="20"/>
        </w:rPr>
      </w:pPr>
      <w:r>
        <w:rPr>
          <w:rFonts w:ascii="Times New Roman;sans-serif" w:hAnsi="Times New Roman;sans-serif"/>
          <w:b w:val="false"/>
          <w:color w:val="000000"/>
          <w:sz w:val="20"/>
        </w:rPr>
        <w:t>(xxix)all premiums (if any), interest (including post-petition interest), fees, expenses, charges and additional or contingent interest on obligations described in clauses (i) through (xxix) above; and</w:t>
      </w:r>
    </w:p>
    <w:p>
      <w:pPr>
        <w:pStyle w:val="TextBody"/>
        <w:bidi w:val="0"/>
        <w:spacing w:before="11" w:after="283"/>
        <w:jc w:val="left"/>
        <w:rPr/>
      </w:pPr>
      <w:r>
        <w:rPr/>
      </w:r>
    </w:p>
    <w:p>
      <w:pPr>
        <w:pStyle w:val="TextBody"/>
        <w:bidi w:val="0"/>
        <w:spacing w:lineRule="auto" w:line="288" w:before="0" w:after="0"/>
        <w:ind w:left="0" w:right="0" w:firstLine="578"/>
        <w:jc w:val="left"/>
        <w:rPr>
          <w:rFonts w:ascii="Times New Roman;sans-serif" w:hAnsi="Times New Roman;sans-serif"/>
          <w:b w:val="false"/>
          <w:color w:val="000000"/>
          <w:sz w:val="20"/>
        </w:rPr>
      </w:pPr>
      <w:r>
        <w:rPr>
          <w:rFonts w:ascii="Times New Roman;sans-serif" w:hAnsi="Times New Roman;sans-serif"/>
          <w:b w:val="false"/>
          <w:color w:val="000000"/>
          <w:sz w:val="20"/>
        </w:rPr>
        <w:t>(xxx)Indebtedness of the Borrower or any of its Restricted Subsidiaries arising pursuant to any Permitted Intercompany Activities and Permitted Tax Restructurings.</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(b)The Borrower will not, and will not permit any Restricted Subsidiary to, issue any preferred Equity Interests or any Disqualified Equity Interests, except (A) in the case of the Borrower, preferred Equity Interests that are Qualified Equity Interests and (B) (x) preferred Equity Interests issued to and held by the Borrower or any Restricted Subsidiary and (y) other preferred Equity Interests issued to and held by joint venture partners after the Effective Date;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in the case of this clause (y) any such issuance of preferred Equity Interests shall be deemed to be incurred Indebtedness and subject to the provisions set forth in Section 6.01(a) and (b).</w:t>
      </w:r>
    </w:p>
    <w:p>
      <w:pPr>
        <w:pStyle w:val="TextBody"/>
        <w:bidi w:val="0"/>
        <w:spacing w:before="13"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For purposes of determining compliance with this Section 6.01, (i) in the event that an item of Indebtedness (or any portion thereof) meets the criteria of more than one of the categories of Indebtedness described in clauses (a)(i) through (a)(xxx) above, the Borrower may, in its sole discretion, at the time of incurrence, divide, classify or reclassify, or at any later time divide, classify or reclassify, such item of Indebtedness (or any portion thereof) and will only be required to include the amount and type of such Indebtedness in one or more of the above clauses;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all Indebtedness outstanding under the First Lien Loan Documents will be deemed to have been incurred in reliance only on the exception in clause (a)(i).</w:t>
      </w:r>
    </w:p>
    <w:p>
      <w:pPr>
        <w:pStyle w:val="TextBody"/>
        <w:bidi w:val="0"/>
        <w:spacing w:before="13"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6.02    </w:t>
      </w:r>
      <w:r>
        <w:rPr>
          <w:rFonts w:ascii="Times New Roman;sans-serif" w:hAnsi="Times New Roman;sans-serif"/>
          <w:b w:val="false"/>
          <w:color w:val="000000"/>
          <w:sz w:val="20"/>
          <w:u w:val="single"/>
        </w:rPr>
        <w:t>Liens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The Borrower will not, and will not permit any Restricted Subsidiary to, create, incur, assume or permit to exist any Lien on any property or asset now owned (but not leased) or hereafter acquired (but not leased) by it, except:</w:t>
      </w:r>
    </w:p>
    <w:p>
      <w:pPr>
        <w:pStyle w:val="TextBody"/>
        <w:bidi w:val="0"/>
        <w:spacing w:before="11" w:after="283"/>
        <w:jc w:val="left"/>
        <w:rPr/>
      </w:pPr>
      <w:r>
        <w:rPr/>
      </w:r>
    </w:p>
    <w:p>
      <w:pPr>
        <w:pStyle w:val="TextBody"/>
        <w:bidi w:val="0"/>
        <w:spacing w:lineRule="auto" w:line="288" w:before="0" w:after="0"/>
        <w:ind w:left="0" w:right="0" w:hanging="1053"/>
        <w:jc w:val="left"/>
        <w:rPr>
          <w:rFonts w:ascii="Times New Roman;sans-serif" w:hAnsi="Times New Roman;sans-serif"/>
          <w:b w:val="false"/>
          <w:color w:val="000000"/>
          <w:sz w:val="20"/>
        </w:rPr>
      </w:pPr>
      <w:r>
        <w:rPr>
          <w:rFonts w:ascii="Times New Roman;sans-serif" w:hAnsi="Times New Roman;sans-serif"/>
          <w:b w:val="false"/>
          <w:color w:val="000000"/>
          <w:sz w:val="20"/>
        </w:rPr>
        <w:t>(i)Liens created under the First Lien Loan Documents;</w:t>
      </w:r>
    </w:p>
    <w:p>
      <w:pPr>
        <w:pStyle w:val="TextBody"/>
        <w:bidi w:val="0"/>
        <w:spacing w:before="10" w:after="283"/>
        <w:jc w:val="left"/>
        <w:rPr/>
      </w:pPr>
      <w:r>
        <w:rPr/>
      </w:r>
    </w:p>
    <w:p>
      <w:pPr>
        <w:pStyle w:val="TextBody"/>
        <w:bidi w:val="0"/>
        <w:spacing w:lineRule="auto" w:line="288" w:before="0" w:after="0"/>
        <w:ind w:left="0" w:right="0" w:hanging="1108"/>
        <w:jc w:val="left"/>
        <w:rPr>
          <w:rFonts w:ascii="Times New Roman;sans-serif" w:hAnsi="Times New Roman;sans-serif"/>
          <w:b w:val="false"/>
          <w:color w:val="000000"/>
          <w:sz w:val="20"/>
        </w:rPr>
      </w:pPr>
      <w:r>
        <w:rPr>
          <w:rFonts w:ascii="Times New Roman;sans-serif" w:hAnsi="Times New Roman;sans-serif"/>
          <w:b w:val="false"/>
          <w:color w:val="000000"/>
          <w:sz w:val="20"/>
        </w:rPr>
        <w:t>(ii)Permitted Encumbrances;</w:t>
      </w:r>
    </w:p>
    <w:p>
      <w:pPr>
        <w:pStyle w:val="TextBody"/>
        <w:bidi w:val="0"/>
        <w:spacing w:before="11" w:after="283"/>
        <w:jc w:val="left"/>
        <w:rPr/>
      </w:pPr>
      <w:r>
        <w:rPr/>
      </w:r>
    </w:p>
    <w:p>
      <w:pPr>
        <w:pStyle w:val="TextBody"/>
        <w:bidi w:val="0"/>
        <w:spacing w:lineRule="auto" w:line="288"/>
        <w:ind w:left="0" w:right="0" w:firstLine="708"/>
        <w:jc w:val="both"/>
        <w:rPr/>
      </w:pPr>
      <w:r>
        <w:rPr>
          <w:rFonts w:ascii="Times New Roman;sans-serif" w:hAnsi="Times New Roman;sans-serif"/>
          <w:b w:val="false"/>
          <w:color w:val="000000"/>
          <w:sz w:val="20"/>
        </w:rPr>
        <w:t xml:space="preserve">(iii)Liens existing on Amendment No. 4 Effective Date;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any Lien securing Indebtedness or other obligations in excess of $2,000,000 individually shall only be permitted if set forth on Schedule 6.02 (unless such Lien is permitted by another clause in this Section 6.02) and any modifications, replacements, renewals or extensions thereof;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 xml:space="preserve">that such modified, replacement, renewal or extension Lien does not extend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51155"/>
                <wp:effectExtent l="0" t="0" r="0" b="0"/>
                <wp:wrapNone/>
                <wp:docPr id="216" name="Frame2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any additional property other than (1) after-acquired property that is affixed or incorporated into the property covered by such Lien or financed by Indebtedness permitted under Section 6.01 and</w:t>
      </w:r>
    </w:p>
    <w:p>
      <w:pPr>
        <w:pStyle w:val="TextBody"/>
        <w:bidi w:val="0"/>
        <w:spacing w:lineRule="auto" w:line="288"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proceeds and products thereof;</w:t>
      </w:r>
    </w:p>
    <w:p>
      <w:pPr>
        <w:pStyle w:val="TextBody"/>
        <w:bidi w:val="0"/>
        <w:spacing w:before="10" w:after="283"/>
        <w:jc w:val="left"/>
        <w:rPr/>
      </w:pPr>
      <w:r>
        <w:rPr/>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 xml:space="preserve">(iv)Liens securing Indebtedness permitted under Section 6.01(a)(v);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replacements, additions, accessions and improvements to such property and the proceeds and the products thereof, and any lease of such property (including accessions thereto) and the proceeds and products thereof and customary security deposits and (C) with respect to Capital Lease Obligations, such Liens do not at any time extend to or cover any assets (except for replacements, additions, accessions and improvements to or proceeds of such assets) other than the assets subject to such Capital Lease Obligations;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u w:val="single"/>
        </w:rPr>
        <w:t>further</w:t>
      </w:r>
      <w:r>
        <w:rPr>
          <w:color w:val="000000"/>
        </w:rPr>
        <w:t xml:space="preserve"> </w:t>
      </w:r>
      <w:r>
        <w:rPr>
          <w:rFonts w:ascii="Times New Roman;sans-serif" w:hAnsi="Times New Roman;sans-serif"/>
          <w:b w:val="false"/>
          <w:color w:val="000000"/>
          <w:sz w:val="20"/>
        </w:rPr>
        <w:t>that individual financings of equipment provided by one lender may be cross collateralized to other financings of equipment provided by such lender;</w:t>
      </w:r>
    </w:p>
    <w:p>
      <w:pPr>
        <w:pStyle w:val="TextBody"/>
        <w:bidi w:val="0"/>
        <w:spacing w:before="11" w:after="283"/>
        <w:jc w:val="left"/>
        <w:rPr/>
      </w:pPr>
      <w:r>
        <w:rPr/>
      </w:r>
    </w:p>
    <w:p>
      <w:pPr>
        <w:pStyle w:val="TextBody"/>
        <w:bidi w:val="0"/>
        <w:spacing w:lineRule="auto" w:line="288" w:before="0" w:after="0"/>
        <w:ind w:left="0" w:right="0" w:firstLine="775"/>
        <w:jc w:val="both"/>
        <w:rPr>
          <w:rFonts w:ascii="Times New Roman;sans-serif" w:hAnsi="Times New Roman;sans-serif"/>
          <w:b w:val="false"/>
          <w:color w:val="000000"/>
          <w:sz w:val="20"/>
        </w:rPr>
      </w:pPr>
      <w:r>
        <w:rPr>
          <w:rFonts w:ascii="Times New Roman;sans-serif" w:hAnsi="Times New Roman;sans-serif"/>
          <w:b w:val="false"/>
          <w:color w:val="000000"/>
          <w:sz w:val="20"/>
        </w:rPr>
        <w:t>(v)(i) easements, leases, licenses, subleases or sublicenses granted to others (including licenses and sublicenses of Intellectual Property) that do not (A) interfere in any material respect with the business of the Borrower and the Restricted Subsidiaries, taken as a whole, or (B) secure any Indebtedness and (ii) any interest or title of a lessor, sublessor or licensee under any lease, sublease (including financing statements regarding property subject to lease) or license entered into by the Borrower or any Restricted Subsidiary not in violation of this Agreement;</w:t>
      </w:r>
    </w:p>
    <w:p>
      <w:pPr>
        <w:pStyle w:val="TextBody"/>
        <w:bidi w:val="0"/>
        <w:spacing w:before="12"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(vi)Liens in favor of customs and revenue authorities arising as a matter of law to secure payment of customs duties in connection with the importation of goods;</w:t>
      </w:r>
    </w:p>
    <w:p>
      <w:pPr>
        <w:pStyle w:val="TextBody"/>
        <w:bidi w:val="0"/>
        <w:spacing w:before="10" w:after="283"/>
        <w:jc w:val="left"/>
        <w:rPr/>
      </w:pPr>
      <w:r>
        <w:rPr/>
      </w:r>
    </w:p>
    <w:p>
      <w:pPr>
        <w:pStyle w:val="TextBody"/>
        <w:bidi w:val="0"/>
        <w:spacing w:lineRule="auto" w:line="288" w:before="0" w:after="0"/>
        <w:ind w:left="0" w:right="0" w:firstLine="664"/>
        <w:jc w:val="both"/>
        <w:rPr>
          <w:rFonts w:ascii="Times New Roman;sans-serif" w:hAnsi="Times New Roman;sans-serif"/>
          <w:b w:val="false"/>
          <w:color w:val="000000"/>
          <w:sz w:val="20"/>
        </w:rPr>
      </w:pPr>
      <w:r>
        <w:rPr>
          <w:rFonts w:ascii="Times New Roman;sans-serif" w:hAnsi="Times New Roman;sans-serif"/>
          <w:b w:val="false"/>
          <w:color w:val="000000"/>
          <w:sz w:val="20"/>
        </w:rPr>
        <w:t>(vii)Liens (A) of a collection bank arising under Section 4-210 of the Uniform Commercial Code, or any comparable or successor provision, on items in the course of collection; (B) attaching to pooling, commodity trading accounts or other commodity brokerage accounts incurred in the ordinary course of business; or (C) in favor of a banking or other financial institution or entity, or electronic payment service provider, arising as a matter of law encumbering deposits (including the right of setoff) and that are within the general parameters customary in the banking or finance industry;</w:t>
      </w:r>
    </w:p>
    <w:p>
      <w:pPr>
        <w:pStyle w:val="TextBody"/>
        <w:bidi w:val="0"/>
        <w:spacing w:before="13" w:after="283"/>
        <w:jc w:val="left"/>
        <w:rPr/>
      </w:pPr>
      <w:r>
        <w:rPr/>
      </w:r>
    </w:p>
    <w:p>
      <w:pPr>
        <w:pStyle w:val="TextBody"/>
        <w:bidi w:val="0"/>
        <w:spacing w:lineRule="auto" w:line="288" w:before="0" w:after="0"/>
        <w:ind w:left="0" w:right="0" w:firstLine="609"/>
        <w:jc w:val="both"/>
        <w:rPr>
          <w:rFonts w:ascii="Times New Roman;sans-serif" w:hAnsi="Times New Roman;sans-serif"/>
          <w:b w:val="false"/>
          <w:color w:val="000000"/>
          <w:sz w:val="20"/>
        </w:rPr>
      </w:pPr>
      <w:r>
        <w:rPr>
          <w:rFonts w:ascii="Times New Roman;sans-serif" w:hAnsi="Times New Roman;sans-serif"/>
          <w:b w:val="false"/>
          <w:color w:val="000000"/>
          <w:sz w:val="20"/>
        </w:rPr>
        <w:t>(viii)Liens (A) on cash advances or escrow deposits in favor of the seller of any property to be acquired in an Investment permitted pursuant to 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(ix)Liens on property or other assets of any Restricted Subsidiary that is not a Loan Party, which Liens secure Indebtedness of such Restricted Subsidiary or another Restricted Subsidiary that is not a Loan Party, in each case permitted under Section 6.01(a);</w:t>
      </w:r>
    </w:p>
    <w:p>
      <w:pPr>
        <w:pStyle w:val="TextBody"/>
        <w:bidi w:val="0"/>
        <w:spacing w:before="11" w:after="283"/>
        <w:jc w:val="left"/>
        <w:rPr/>
      </w:pPr>
      <w:r>
        <w:rPr/>
      </w:r>
    </w:p>
    <w:p>
      <w:pPr>
        <w:pStyle w:val="TextBody"/>
        <w:bidi w:val="0"/>
        <w:spacing w:lineRule="auto" w:line="288" w:before="0" w:after="0"/>
        <w:ind w:left="0" w:right="0" w:firstLine="775"/>
        <w:jc w:val="both"/>
        <w:rPr>
          <w:rFonts w:ascii="Times New Roman;sans-serif" w:hAnsi="Times New Roman;sans-serif"/>
          <w:b w:val="false"/>
          <w:color w:val="000000"/>
          <w:sz w:val="20"/>
        </w:rPr>
      </w:pPr>
      <w:r>
        <w:rPr>
          <w:rFonts w:ascii="Times New Roman;sans-serif" w:hAnsi="Times New Roman;sans-serif"/>
          <w:b w:val="false"/>
          <w:color w:val="000000"/>
          <w:sz w:val="20"/>
        </w:rPr>
        <w:t>(x)Liens granted by a Restricted Subsidiary that is not a Loan Party in favor of any Restricted Subsidiary and Liens granted by a Loan Party in favor of any other Loan Party;</w:t>
      </w:r>
    </w:p>
    <w:p>
      <w:pPr>
        <w:pStyle w:val="TextBody"/>
        <w:bidi w:val="0"/>
        <w:spacing w:before="11" w:after="283"/>
        <w:jc w:val="left"/>
        <w:rPr/>
      </w:pPr>
      <w:r>
        <w:rPr/>
      </w:r>
    </w:p>
    <w:p>
      <w:pPr>
        <w:pStyle w:val="TextBody"/>
        <w:bidi w:val="0"/>
        <w:spacing w:lineRule="auto" w:line="288"/>
        <w:ind w:left="0" w:right="0" w:firstLine="720"/>
        <w:jc w:val="both"/>
        <w:rPr/>
      </w:pPr>
      <w:r>
        <w:rPr>
          <w:rFonts w:ascii="Times New Roman;sans-serif" w:hAnsi="Times New Roman;sans-serif"/>
          <w:b w:val="false"/>
          <w:color w:val="000000"/>
          <w:sz w:val="20"/>
        </w:rPr>
        <w:t xml:space="preserve">(xi)Liens existing on property or other assets at the time of its acquisition or existing on the property or other assets of any Person at the time such Person becomes a Restricted Subsidiary, in each case after the Effective Date and any modifications, replacements, renewals or extensions thereof;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 such Lien was not created in contemplation of such acquisition or such Person becoming a Restricted Subsidiary and (B) such Lien does not extend to or cover any other assets or property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51155"/>
                <wp:effectExtent l="0" t="0" r="0" b="0"/>
                <wp:wrapNone/>
                <wp:docPr id="217" name="Frame2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are permitted hereunder that require or include, pursuant to their terms at such time, a pledge of after-acquired property, it being understood that such requirement shall not be permitted to apply to any property to which such requirement would not have applied but for such acquisition);</w:t>
      </w:r>
    </w:p>
    <w:p>
      <w:pPr>
        <w:pStyle w:val="TextBody"/>
        <w:bidi w:val="0"/>
        <w:spacing w:before="14" w:after="283"/>
        <w:jc w:val="left"/>
        <w:rPr/>
      </w:pPr>
      <w:r>
        <w:rPr/>
      </w:r>
    </w:p>
    <w:p>
      <w:pPr>
        <w:pStyle w:val="TextBody"/>
        <w:bidi w:val="0"/>
        <w:spacing w:lineRule="auto" w:line="288" w:before="0" w:after="0"/>
        <w:ind w:left="0" w:right="0" w:firstLine="664"/>
        <w:jc w:val="both"/>
        <w:rPr>
          <w:rFonts w:ascii="Times New Roman;sans-serif" w:hAnsi="Times New Roman;sans-serif"/>
          <w:b w:val="false"/>
          <w:color w:val="000000"/>
          <w:sz w:val="20"/>
        </w:rPr>
      </w:pPr>
      <w:r>
        <w:rPr>
          <w:rFonts w:ascii="Times New Roman;sans-serif" w:hAnsi="Times New Roman;sans-serif"/>
          <w:b w:val="false"/>
          <w:color w:val="000000"/>
          <w:sz w:val="20"/>
        </w:rPr>
        <w:t>(xii)Liens on cash, Permitted Investments or other marketable securities securing Letters of Credit of any Loan Party that are cash collateralized on the Effective Date in an amount of cash, Permitted Investments or other marketable securities with a Fair Market Value of up to 105% of the face amount of such Letters of Credit being secured;</w:t>
      </w:r>
    </w:p>
    <w:p>
      <w:pPr>
        <w:pStyle w:val="TextBody"/>
        <w:bidi w:val="0"/>
        <w:spacing w:before="12" w:after="283"/>
        <w:jc w:val="left"/>
        <w:rPr/>
      </w:pPr>
      <w:r>
        <w:rPr/>
      </w:r>
    </w:p>
    <w:p>
      <w:pPr>
        <w:pStyle w:val="TextBody"/>
        <w:bidi w:val="0"/>
        <w:spacing w:lineRule="auto" w:line="288" w:before="0" w:after="0"/>
        <w:ind w:left="0" w:right="0" w:firstLine="609"/>
        <w:jc w:val="both"/>
        <w:rPr>
          <w:rFonts w:ascii="Times New Roman;sans-serif" w:hAnsi="Times New Roman;sans-serif"/>
          <w:b w:val="false"/>
          <w:color w:val="000000"/>
          <w:sz w:val="20"/>
        </w:rPr>
      </w:pPr>
      <w:r>
        <w:rPr>
          <w:rFonts w:ascii="Times New Roman;sans-serif" w:hAnsi="Times New Roman;sans-serif"/>
          <w:b w:val="false"/>
          <w:color w:val="000000"/>
          <w:sz w:val="20"/>
        </w:rPr>
        <w:t>(xiii)Liens arising out of conditional sale, title retention, consignment or similar arrangements for sale or purchase of goods by any of the Borrower or any Restricted Subsidiary in the ordinary course of business;</w:t>
      </w:r>
    </w:p>
    <w:p>
      <w:pPr>
        <w:pStyle w:val="TextBody"/>
        <w:bidi w:val="0"/>
        <w:spacing w:before="0" w:after="0"/>
        <w:jc w:val="both"/>
        <w:rPr/>
      </w:pPr>
      <w:r>
        <w:rPr/>
      </w:r>
    </w:p>
    <w:p>
      <w:pPr>
        <w:pStyle w:val="TextBody"/>
        <w:bidi w:val="0"/>
        <w:spacing w:lineRule="auto" w:line="288" w:before="60" w:after="283"/>
        <w:ind w:left="0" w:right="0" w:firstLine="621"/>
        <w:jc w:val="both"/>
        <w:rPr>
          <w:rFonts w:ascii="Times New Roman;sans-serif" w:hAnsi="Times New Roman;sans-serif"/>
          <w:b w:val="false"/>
          <w:color w:val="000000"/>
          <w:sz w:val="20"/>
        </w:rPr>
      </w:pPr>
      <w:r>
        <w:rPr>
          <w:rFonts w:ascii="Times New Roman;sans-serif" w:hAnsi="Times New Roman;sans-serif"/>
          <w:b w:val="false"/>
          <w:color w:val="000000"/>
          <w:sz w:val="20"/>
        </w:rPr>
        <w:t>(xiv)Liens deemed to exist in connection with Investments in repurchase agreements under clause (e) of the definition of the term “Permitted Investments”;</w:t>
      </w:r>
    </w:p>
    <w:p>
      <w:pPr>
        <w:pStyle w:val="TextBody"/>
        <w:bidi w:val="0"/>
        <w:spacing w:before="11" w:after="283"/>
        <w:jc w:val="left"/>
        <w:rPr/>
      </w:pPr>
      <w:r>
        <w:rPr/>
      </w:r>
    </w:p>
    <w:p>
      <w:pPr>
        <w:pStyle w:val="TextBody"/>
        <w:bidi w:val="0"/>
        <w:spacing w:lineRule="auto" w:line="288" w:before="0" w:after="0"/>
        <w:ind w:left="0" w:right="0" w:firstLine="676"/>
        <w:jc w:val="both"/>
        <w:rPr>
          <w:rFonts w:ascii="Times New Roman;sans-serif" w:hAnsi="Times New Roman;sans-serif"/>
          <w:b w:val="false"/>
          <w:color w:val="000000"/>
          <w:sz w:val="20"/>
        </w:rPr>
      </w:pPr>
      <w:r>
        <w:rPr>
          <w:rFonts w:ascii="Times New Roman;sans-serif" w:hAnsi="Times New Roman;sans-serif"/>
          <w:b w:val="false"/>
          <w:color w:val="000000"/>
          <w:sz w:val="20"/>
        </w:rPr>
        <w:t>(xv)Liens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before="11" w:after="283"/>
        <w:jc w:val="left"/>
        <w:rPr/>
      </w:pPr>
      <w:r>
        <w:rPr/>
      </w:r>
    </w:p>
    <w:p>
      <w:pPr>
        <w:pStyle w:val="TextBody"/>
        <w:bidi w:val="0"/>
        <w:spacing w:lineRule="auto" w:line="288" w:before="0" w:after="0"/>
        <w:ind w:left="0" w:right="0" w:firstLine="621"/>
        <w:jc w:val="both"/>
        <w:rPr>
          <w:rFonts w:ascii="Times New Roman;sans-serif" w:hAnsi="Times New Roman;sans-serif"/>
          <w:b w:val="false"/>
          <w:color w:val="000000"/>
          <w:sz w:val="20"/>
        </w:rPr>
      </w:pPr>
      <w:r>
        <w:rPr>
          <w:rFonts w:ascii="Times New Roman;sans-serif" w:hAnsi="Times New Roman;sans-serif"/>
          <w:b w:val="false"/>
          <w:color w:val="000000"/>
          <w:sz w:val="20"/>
        </w:rPr>
        <w:t>(xvi)Liens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the Borrower and the Restricted Subsidiaries or (C) relating to purchase orders and other agreements entered into with customers of the Borrower or any Restricted Subsidiary in the ordinary course of business;</w:t>
      </w:r>
    </w:p>
    <w:p>
      <w:pPr>
        <w:pStyle w:val="TextBody"/>
        <w:bidi w:val="0"/>
        <w:spacing w:before="12" w:after="283"/>
        <w:jc w:val="left"/>
        <w:rPr/>
      </w:pPr>
      <w:r>
        <w:rPr/>
      </w:r>
    </w:p>
    <w:p>
      <w:pPr>
        <w:pStyle w:val="TextBody"/>
        <w:bidi w:val="0"/>
        <w:spacing w:lineRule="auto" w:line="288" w:before="0" w:after="0"/>
        <w:ind w:left="0" w:right="0" w:firstLine="566"/>
        <w:jc w:val="both"/>
        <w:rPr>
          <w:rFonts w:ascii="Times New Roman;sans-serif" w:hAnsi="Times New Roman;sans-serif"/>
          <w:b w:val="false"/>
          <w:color w:val="000000"/>
          <w:sz w:val="20"/>
        </w:rPr>
      </w:pPr>
      <w:r>
        <w:rPr>
          <w:rFonts w:ascii="Times New Roman;sans-serif" w:hAnsi="Times New Roman;sans-serif"/>
          <w:b w:val="false"/>
          <w:color w:val="000000"/>
          <w:sz w:val="20"/>
        </w:rPr>
        <w:t>(xvii)ground leases in respect of real property on which facilities owned or leased by the Borrower or any of the Restricted Subsidiaries are located;</w:t>
      </w:r>
    </w:p>
    <w:p>
      <w:pPr>
        <w:pStyle w:val="TextBody"/>
        <w:bidi w:val="0"/>
        <w:spacing w:before="11" w:after="283"/>
        <w:jc w:val="left"/>
        <w:rPr/>
      </w:pPr>
      <w:r>
        <w:rPr/>
      </w:r>
    </w:p>
    <w:p>
      <w:pPr>
        <w:pStyle w:val="TextBody"/>
        <w:bidi w:val="0"/>
        <w:spacing w:lineRule="auto" w:line="288" w:before="0" w:after="0"/>
        <w:ind w:left="0" w:right="0" w:firstLine="511"/>
        <w:jc w:val="both"/>
        <w:rPr>
          <w:rFonts w:ascii="Times New Roman;sans-serif" w:hAnsi="Times New Roman;sans-serif"/>
          <w:b w:val="false"/>
          <w:color w:val="000000"/>
          <w:sz w:val="20"/>
        </w:rPr>
      </w:pPr>
      <w:r>
        <w:rPr>
          <w:rFonts w:ascii="Times New Roman;sans-serif" w:hAnsi="Times New Roman;sans-serif"/>
          <w:b w:val="false"/>
          <w:color w:val="000000"/>
          <w:sz w:val="20"/>
        </w:rPr>
        <w:t>(xviii)Liens on insurance policies and the proceeds thereof securing the financing of the premiums with respect thereto;</w:t>
      </w:r>
    </w:p>
    <w:p>
      <w:pPr>
        <w:pStyle w:val="TextBody"/>
        <w:bidi w:val="0"/>
        <w:spacing w:before="11" w:after="283"/>
        <w:jc w:val="left"/>
        <w:rPr/>
      </w:pPr>
      <w:r>
        <w:rPr/>
      </w:r>
    </w:p>
    <w:p>
      <w:pPr>
        <w:pStyle w:val="TextBody"/>
        <w:bidi w:val="0"/>
        <w:spacing w:lineRule="auto" w:line="288" w:before="0" w:after="0"/>
        <w:ind w:left="0" w:right="0" w:hanging="1250"/>
        <w:jc w:val="left"/>
        <w:rPr>
          <w:rFonts w:ascii="Times New Roman;sans-serif" w:hAnsi="Times New Roman;sans-serif"/>
          <w:b w:val="false"/>
          <w:color w:val="000000"/>
          <w:sz w:val="20"/>
        </w:rPr>
      </w:pPr>
      <w:r>
        <w:rPr>
          <w:rFonts w:ascii="Times New Roman;sans-serif" w:hAnsi="Times New Roman;sans-serif"/>
          <w:b w:val="false"/>
          <w:color w:val="000000"/>
          <w:sz w:val="20"/>
        </w:rPr>
        <w:t>(xix)Liens securing Indebtedness permitted under Section 6.01(a)(xxii) or 6.01(a)(xxiii);</w:t>
      </w:r>
    </w:p>
    <w:p>
      <w:pPr>
        <w:pStyle w:val="TextBody"/>
        <w:bidi w:val="0"/>
        <w:spacing w:before="10" w:after="283"/>
        <w:jc w:val="left"/>
        <w:rPr/>
      </w:pPr>
      <w:r>
        <w:rPr/>
      </w:r>
    </w:p>
    <w:p>
      <w:pPr>
        <w:pStyle w:val="TextBody"/>
        <w:bidi w:val="0"/>
        <w:spacing w:lineRule="auto" w:line="288" w:before="1" w:after="283"/>
        <w:ind w:left="0" w:right="0" w:firstLine="676"/>
        <w:jc w:val="both"/>
        <w:rPr>
          <w:rFonts w:ascii="Times New Roman;sans-serif" w:hAnsi="Times New Roman;sans-serif"/>
          <w:b w:val="false"/>
          <w:color w:val="000000"/>
          <w:sz w:val="20"/>
        </w:rPr>
      </w:pPr>
      <w:r>
        <w:rPr>
          <w:rFonts w:ascii="Times New Roman;sans-serif" w:hAnsi="Times New Roman;sans-serif"/>
          <w:b w:val="false"/>
          <w:color w:val="000000"/>
          <w:sz w:val="20"/>
        </w:rPr>
        <w:t>(xx)Liens securing Indebtedness on real property other than Material Real Property (except as required by this Agreement);</w:t>
      </w:r>
    </w:p>
    <w:p>
      <w:pPr>
        <w:pStyle w:val="TextBody"/>
        <w:bidi w:val="0"/>
        <w:spacing w:before="10" w:after="283"/>
        <w:jc w:val="left"/>
        <w:rPr/>
      </w:pPr>
      <w:r>
        <w:rPr/>
      </w:r>
    </w:p>
    <w:p>
      <w:pPr>
        <w:pStyle w:val="TextBody"/>
        <w:bidi w:val="0"/>
        <w:spacing w:lineRule="auto" w:line="288" w:before="0" w:after="0"/>
        <w:ind w:left="0" w:right="0" w:hanging="1250"/>
        <w:jc w:val="left"/>
        <w:rPr>
          <w:rFonts w:ascii="Times New Roman;sans-serif" w:hAnsi="Times New Roman;sans-serif"/>
          <w:b w:val="false"/>
          <w:color w:val="000000"/>
          <w:sz w:val="20"/>
        </w:rPr>
      </w:pPr>
      <w:r>
        <w:rPr>
          <w:rFonts w:ascii="Times New Roman;sans-serif" w:hAnsi="Times New Roman;sans-serif"/>
          <w:b w:val="false"/>
          <w:color w:val="000000"/>
          <w:sz w:val="20"/>
        </w:rPr>
        <w:t>(xxi)Settlement Liens;</w:t>
      </w:r>
    </w:p>
    <w:p>
      <w:pPr>
        <w:pStyle w:val="TextBody"/>
        <w:bidi w:val="0"/>
        <w:spacing w:before="11" w:after="283"/>
        <w:jc w:val="left"/>
        <w:rPr/>
      </w:pPr>
      <w:r>
        <w:rPr/>
      </w:r>
    </w:p>
    <w:p>
      <w:pPr>
        <w:pStyle w:val="TextBody"/>
        <w:bidi w:val="0"/>
        <w:spacing w:lineRule="auto" w:line="288" w:before="0" w:after="0"/>
        <w:ind w:left="0" w:right="0" w:hanging="1305"/>
        <w:jc w:val="left"/>
        <w:rPr>
          <w:rFonts w:ascii="Times New Roman;sans-serif" w:hAnsi="Times New Roman;sans-serif"/>
          <w:b w:val="false"/>
          <w:color w:val="000000"/>
          <w:sz w:val="20"/>
        </w:rPr>
      </w:pPr>
      <w:r>
        <w:rPr>
          <w:rFonts w:ascii="Times New Roman;sans-serif" w:hAnsi="Times New Roman;sans-serif"/>
          <w:b w:val="false"/>
          <w:color w:val="000000"/>
          <w:sz w:val="20"/>
        </w:rPr>
        <w:t>(xxii)Liens securing Indebtedness permitted under Section 6.01(a)(vii), (viii), (xv), (xviii) or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(xxviii) (provided any such Liens on Collateral shall be subject to First/Second Lien Intercreditor Agreement and/or Customary Intercreditor Agreement);</w:t>
      </w:r>
    </w:p>
    <w:p>
      <w:pPr>
        <w:pStyle w:val="TextBody"/>
        <w:bidi w:val="0"/>
        <w:spacing w:before="11" w:after="283"/>
        <w:jc w:val="left"/>
        <w:rPr/>
      </w:pPr>
      <w:r>
        <w:rPr/>
      </w:r>
    </w:p>
    <w:p>
      <w:pPr>
        <w:pStyle w:val="TextBody"/>
        <w:bidi w:val="0"/>
        <w:spacing w:lineRule="auto" w:line="288" w:before="0" w:after="0"/>
        <w:ind w:left="0" w:right="0" w:hanging="1360"/>
        <w:jc w:val="left"/>
        <w:rPr>
          <w:rFonts w:ascii="Times New Roman;sans-serif" w:hAnsi="Times New Roman;sans-serif"/>
          <w:b w:val="false"/>
          <w:color w:val="000000"/>
          <w:sz w:val="20"/>
        </w:rPr>
      </w:pPr>
      <w:r>
        <w:rPr>
          <w:rFonts w:ascii="Times New Roman;sans-serif" w:hAnsi="Times New Roman;sans-serif"/>
          <w:b w:val="false"/>
          <w:color w:val="000000"/>
          <w:sz w:val="20"/>
        </w:rPr>
        <w:t>(xxiii)[Reserved];</w:t>
      </w:r>
    </w:p>
    <w:p>
      <w:pPr>
        <w:pStyle w:val="TextBody"/>
        <w:bidi w:val="0"/>
        <w:spacing w:before="10" w:after="283"/>
        <w:jc w:val="left"/>
        <w:rPr/>
      </w:pPr>
      <w:r>
        <w:rPr/>
      </w:r>
    </w:p>
    <w:p>
      <w:pPr>
        <w:pStyle w:val="TextBody"/>
        <w:bidi w:val="0"/>
        <w:spacing w:lineRule="auto" w:line="288" w:before="1" w:after="283"/>
        <w:ind w:left="0" w:right="0" w:firstLine="523"/>
        <w:jc w:val="both"/>
        <w:rPr/>
      </w:pPr>
      <w:r>
        <w:rPr>
          <w:rFonts w:ascii="Times New Roman;sans-serif" w:hAnsi="Times New Roman;sans-serif"/>
          <w:b w:val="false"/>
          <w:color w:val="000000"/>
          <w:sz w:val="20"/>
        </w:rPr>
        <w:t xml:space="preserve">(xxiv)Liens on cash and Permitted Investments used to satisfy or discharge Indebtedness;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such satisfaction or discharge is permitted hereunder;</w:t>
      </w:r>
    </w:p>
    <w:p>
      <w:pPr>
        <w:pStyle w:val="TextBody"/>
        <w:bidi w:val="0"/>
        <w:spacing w:before="10" w:after="283"/>
        <w:jc w:val="left"/>
        <w:rPr/>
      </w:pPr>
      <w:r>
        <w:rPr/>
      </w:r>
    </w:p>
    <w:p>
      <w:pPr>
        <w:pStyle w:val="TextBody"/>
        <w:bidi w:val="0"/>
        <w:spacing w:lineRule="auto" w:line="288" w:before="0" w:after="0"/>
        <w:ind w:left="0" w:right="0" w:firstLine="578"/>
        <w:jc w:val="both"/>
        <w:rPr>
          <w:rFonts w:ascii="Times New Roman;sans-serif" w:hAnsi="Times New Roman;sans-serif"/>
          <w:b w:val="false"/>
          <w:color w:val="000000"/>
          <w:sz w:val="20"/>
        </w:rPr>
      </w:pPr>
      <w:r>
        <w:rPr>
          <w:rFonts w:ascii="Times New Roman;sans-serif" w:hAnsi="Times New Roman;sans-serif"/>
          <w:b w:val="false"/>
          <w:color w:val="000000"/>
          <w:sz w:val="20"/>
        </w:rPr>
        <w:t>(xxv)Receipt of progress payments and advances from customers in the ordinary course of business to the extent the same creates a Lien on the related inventory and proceeds thereof;</w:t>
      </w:r>
    </w:p>
    <w:p>
      <w:pPr>
        <w:pStyle w:val="TextBody"/>
        <w:bidi w:val="0"/>
        <w:spacing w:before="11" w:after="283"/>
        <w:jc w:val="left"/>
        <w:rPr/>
      </w:pPr>
      <w:r>
        <w:rPr/>
      </w:r>
    </w:p>
    <w:p>
      <w:pPr>
        <w:pStyle w:val="TextBody"/>
        <w:bidi w:val="0"/>
        <w:spacing w:lineRule="auto" w:line="288" w:before="0" w:after="0"/>
        <w:ind w:left="0" w:right="0" w:hanging="1348"/>
        <w:jc w:val="left"/>
        <w:rPr>
          <w:rFonts w:ascii="Times New Roman;sans-serif" w:hAnsi="Times New Roman;sans-serif"/>
          <w:b w:val="false"/>
          <w:color w:val="000000"/>
          <w:sz w:val="20"/>
        </w:rPr>
      </w:pPr>
      <w:r>
        <w:rPr>
          <w:rFonts w:ascii="Times New Roman;sans-serif" w:hAnsi="Times New Roman;sans-serif"/>
          <w:b w:val="false"/>
          <w:color w:val="000000"/>
          <w:sz w:val="20"/>
        </w:rPr>
        <w:t>(xxvi)Liens on Equity Interests of any joint venture (a) securing obligations of such joint venture or</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pursuant to the relevant joint venture agreement or arrangement;</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51155"/>
                <wp:effectExtent l="0" t="0" r="0" b="0"/>
                <wp:wrapNone/>
                <wp:docPr id="218" name="Frame2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68"/>
        <w:jc w:val="both"/>
        <w:rPr/>
      </w:pPr>
      <w:r>
        <w:rPr>
          <w:rFonts w:ascii="Times New Roman;sans-serif" w:hAnsi="Times New Roman;sans-serif"/>
          <w:b w:val="false"/>
          <w:color w:val="000000"/>
          <w:sz w:val="20"/>
        </w:rPr>
        <w:t xml:space="preserve">(xxvii)Liens on cash or Permitted Investments securing Swap Agreements in the ordinary course of business submitted for clearing in accordance with applicable Requirements of Law;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aggregate outstanding amount of obligations secured by Liens existing in reliance on this clause (xxvii) shall not exceed</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$56,458,000;</w:t>
      </w:r>
    </w:p>
    <w:p>
      <w:pPr>
        <w:pStyle w:val="TextBody"/>
        <w:bidi w:val="0"/>
        <w:spacing w:before="11" w:after="283"/>
        <w:jc w:val="left"/>
        <w:rPr/>
      </w:pPr>
      <w:r>
        <w:rPr/>
      </w:r>
    </w:p>
    <w:p>
      <w:pPr>
        <w:pStyle w:val="TextBody"/>
        <w:bidi w:val="0"/>
        <w:spacing w:lineRule="auto" w:line="288" w:before="0" w:after="0"/>
        <w:ind w:left="0" w:right="0" w:firstLine="412"/>
        <w:jc w:val="both"/>
        <w:rPr/>
      </w:pPr>
      <w:r>
        <w:rPr>
          <w:rFonts w:ascii="Times New Roman;sans-serif" w:hAnsi="Times New Roman;sans-serif"/>
          <w:b w:val="false"/>
          <w:color w:val="000000"/>
          <w:sz w:val="20"/>
        </w:rPr>
        <w:t xml:space="preserve">(xxviii)other Liens;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at the time of the granting thereof and after giving Pro Forma Effect thereto, the aggregate amount of obligations secured by all Liens incurred in reliance on this clause (xxviii) shall not exceed the greater of (A) $108,400,000 and (B) 20% of Consolidated EBITDA for the most recently ended Test Period (provided that, with respect to any such obligation, the amount of such obligation shall be the lesser of</w:t>
      </w:r>
    </w:p>
    <w:p>
      <w:pPr>
        <w:pStyle w:val="TextBody"/>
        <w:bidi w:val="0"/>
        <w:spacing w:lineRule="auto" w:line="288" w:before="2" w:after="283"/>
        <w:jc w:val="both"/>
        <w:rPr/>
      </w:pPr>
      <w:r>
        <w:rPr>
          <w:rFonts w:ascii="Times New Roman;sans-serif" w:hAnsi="Times New Roman;sans-serif"/>
          <w:b w:val="false"/>
          <w:color w:val="000000"/>
          <w:sz w:val="20"/>
        </w:rPr>
        <w:t xml:space="preserve">(x) the outstanding face amount of such obligation and (y) the fair market value of the assets securing such obligation);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that no such Liens under this clause (xxviii) shall encumber any Material Real Property (except as required by this Agreement);</w:t>
      </w:r>
    </w:p>
    <w:p>
      <w:pPr>
        <w:pStyle w:val="TextBody"/>
        <w:bidi w:val="0"/>
        <w:spacing w:before="0" w:after="0"/>
        <w:jc w:val="both"/>
        <w:rPr/>
      </w:pPr>
      <w:r>
        <w:rPr/>
      </w:r>
    </w:p>
    <w:p>
      <w:pPr>
        <w:pStyle w:val="TextBody"/>
        <w:bidi w:val="0"/>
        <w:spacing w:lineRule="auto" w:line="288" w:before="60" w:after="283"/>
        <w:ind w:left="0" w:right="0" w:firstLine="523"/>
        <w:jc w:val="left"/>
        <w:rPr>
          <w:rFonts w:ascii="Times New Roman;sans-serif" w:hAnsi="Times New Roman;sans-serif"/>
          <w:b w:val="false"/>
          <w:color w:val="000000"/>
          <w:sz w:val="20"/>
        </w:rPr>
      </w:pPr>
      <w:r>
        <w:rPr>
          <w:rFonts w:ascii="Times New Roman;sans-serif" w:hAnsi="Times New Roman;sans-serif"/>
          <w:b w:val="false"/>
          <w:color w:val="000000"/>
          <w:sz w:val="20"/>
        </w:rPr>
        <w:t>(xxix)Liens on accounts receivable, Securitization Assets and related assets incurred in connection with a Qualified Securitization Facility; and</w:t>
      </w:r>
    </w:p>
    <w:p>
      <w:pPr>
        <w:pStyle w:val="TextBody"/>
        <w:bidi w:val="0"/>
        <w:spacing w:before="11" w:after="283"/>
        <w:jc w:val="left"/>
        <w:rPr/>
      </w:pPr>
      <w:r>
        <w:rPr/>
      </w:r>
    </w:p>
    <w:p>
      <w:pPr>
        <w:pStyle w:val="TextBody"/>
        <w:bidi w:val="0"/>
        <w:spacing w:lineRule="auto" w:line="288" w:before="0" w:after="0"/>
        <w:ind w:left="0" w:right="0" w:firstLine="578"/>
        <w:jc w:val="left"/>
        <w:rPr>
          <w:rFonts w:ascii="Times New Roman;sans-serif" w:hAnsi="Times New Roman;sans-serif"/>
          <w:b w:val="false"/>
          <w:color w:val="000000"/>
          <w:sz w:val="20"/>
        </w:rPr>
      </w:pPr>
      <w:r>
        <w:rPr>
          <w:rFonts w:ascii="Times New Roman;sans-serif" w:hAnsi="Times New Roman;sans-serif"/>
          <w:b w:val="false"/>
          <w:color w:val="000000"/>
          <w:sz w:val="20"/>
        </w:rPr>
        <w:t>(xxx)Liens arising in connection with any Permitted Intercompany Activities and Permitted Tax Restructurings.</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6.03    </w:t>
      </w:r>
      <w:r>
        <w:rPr>
          <w:rFonts w:ascii="Times New Roman;sans-serif" w:hAnsi="Times New Roman;sans-serif"/>
          <w:b w:val="false"/>
          <w:color w:val="000000"/>
          <w:sz w:val="20"/>
          <w:u w:val="single"/>
        </w:rPr>
        <w:t>Fundamental Changes; Holdings Covenant</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(a)The Borrower will not, and will not permit any Restricted Subsidiary to, merge into or amalgamate or consolidate with any other Person, or permit any other Person to merge into or amalgamate or consolidate with it, or liquidate or dissolve (which, for the avoidance of doubt, shall not restrict the Borrower or any Restricted Subsidiary from changing its organizational form), except that:</w:t>
      </w:r>
    </w:p>
    <w:p>
      <w:pPr>
        <w:pStyle w:val="TextBody"/>
        <w:bidi w:val="0"/>
        <w:spacing w:before="12" w:after="283"/>
        <w:jc w:val="left"/>
        <w:rPr/>
      </w:pPr>
      <w:r>
        <w:rPr/>
      </w:r>
    </w:p>
    <w:p>
      <w:pPr>
        <w:pStyle w:val="TextBody"/>
        <w:bidi w:val="0"/>
        <w:spacing w:lineRule="auto" w:line="288" w:before="0" w:after="0"/>
        <w:ind w:left="0" w:right="0" w:firstLine="818"/>
        <w:jc w:val="both"/>
        <w:rPr/>
      </w:pPr>
      <w:r>
        <w:rPr>
          <w:rFonts w:ascii="Times New Roman;sans-serif" w:hAnsi="Times New Roman;sans-serif"/>
          <w:b w:val="false"/>
          <w:color w:val="000000"/>
          <w:sz w:val="20"/>
        </w:rPr>
        <w:t xml:space="preserve">(i)any Restricted Subsidiary may merge, amalgamate or consolidate with (A) the Borrower;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Borrower shall be the continuing or surviving Person, or (B) any one or more Restricted Subsidiaries;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that when any Subsidiary Loan Party is merging, amalgamating or consolidating with another Restricted Subsidiary (1) the continuing or surviving Person shall be a Subsidiary Loan Party or (2) if the continuing or surviving Person is not a Subsidiary Loan Party, the acquisition of such Subsidiary Loan Party by such surviving Restricted Subsidiary is otherwise permitted under Section 6.04;</w:t>
      </w:r>
    </w:p>
    <w:p>
      <w:pPr>
        <w:pStyle w:val="TextBody"/>
        <w:bidi w:val="0"/>
        <w:spacing w:before="12" w:after="283"/>
        <w:jc w:val="left"/>
        <w:rPr/>
      </w:pPr>
      <w:r>
        <w:rPr/>
      </w:r>
    </w:p>
    <w:p>
      <w:pPr>
        <w:pStyle w:val="TextBody"/>
        <w:bidi w:val="0"/>
        <w:spacing w:lineRule="auto" w:line="288" w:before="1" w:after="283"/>
        <w:ind w:left="0" w:right="0" w:firstLine="763"/>
        <w:jc w:val="both"/>
        <w:rPr>
          <w:rFonts w:ascii="Times New Roman;sans-serif" w:hAnsi="Times New Roman;sans-serif"/>
          <w:b w:val="false"/>
          <w:color w:val="000000"/>
          <w:sz w:val="20"/>
        </w:rPr>
      </w:pPr>
      <w:r>
        <w:rPr>
          <w:rFonts w:ascii="Times New Roman;sans-serif" w:hAnsi="Times New Roman;sans-serif"/>
          <w:b w:val="false"/>
          <w:color w:val="000000"/>
          <w:sz w:val="20"/>
        </w:rPr>
        <w:t>(ii)(A) any Restricted Subsidiary that is not a Loan Party may merge, amalgamate or consolidate with or into any Restricted Subsidiary that is not a Loan Party and (B) (x) any Restricted Subsidiary (other than the Borrower) may liquidate or dissolve and (y) any Restricted Subsidiary may change its legal or organizational form if the Borrower determines in good faith that such action is in the best interests of the Borrower and its Restricted Subsidiaries and is not materially disadvantageous to the Lenders;</w:t>
      </w:r>
    </w:p>
    <w:p>
      <w:pPr>
        <w:pStyle w:val="TextBody"/>
        <w:bidi w:val="0"/>
        <w:spacing w:before="11" w:after="283"/>
        <w:jc w:val="left"/>
        <w:rPr/>
      </w:pPr>
      <w:r>
        <w:rPr/>
      </w:r>
    </w:p>
    <w:p>
      <w:pPr>
        <w:pStyle w:val="TextBody"/>
        <w:bidi w:val="0"/>
        <w:spacing w:lineRule="auto" w:line="288" w:before="1" w:after="283"/>
        <w:ind w:left="0" w:right="0" w:firstLine="708"/>
        <w:jc w:val="both"/>
        <w:rPr/>
      </w:pPr>
      <w:r>
        <w:rPr>
          <w:rFonts w:ascii="Times New Roman;sans-serif" w:hAnsi="Times New Roman;sans-serif"/>
          <w:b w:val="false"/>
          <w:color w:val="000000"/>
          <w:sz w:val="20"/>
        </w:rPr>
        <w:t xml:space="preserve">(iii)any Restricted Subsidiary may make a Disposition of all or substantially all of its assets (upon voluntary liquidation or otherwise) to the Borrower or another Restricted Subsidiary;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the transferor in such a transaction is a Loan Party, then (A) the transferee must be a Loan Party, (B) to the extent constituting an Investment, such Investment is a permitted Investment in a Restricted Subsidiary that is not a Loan Party in accordance with Section 6.04 or (C)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pStyle w:val="TextBody"/>
        <w:bidi w:val="0"/>
        <w:spacing w:before="13"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(iv)the Borrower may merge, amalgamate or consolidate with (or Dispose of all or substantially all of its assets to) any other Person;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 the Borrower shall be the continuing or surviving Person or</w:t>
      </w:r>
    </w:p>
    <w:p>
      <w:pPr>
        <w:pStyle w:val="TextBody"/>
        <w:bidi w:val="0"/>
        <w:spacing w:lineRule="auto" w:line="288" w:before="1" w:after="283"/>
        <w:jc w:val="both"/>
        <w:rPr/>
      </w:pPr>
      <w:r>
        <w:rPr>
          <w:rFonts w:ascii="Times New Roman;sans-serif" w:hAnsi="Times New Roman;sans-serif"/>
          <w:b w:val="false"/>
          <w:color w:val="000000"/>
          <w:sz w:val="20"/>
        </w:rPr>
        <w:t>(B) if the Person formed by or surviving any such merger, amalgamation or consolidation is not the Borrower or is a Person into which the Borrower has been liquidated (or, in connection with a Disposition of all or substantially all of the Borrower’s assets, if the transferee of such assets) (any such Person, the “</w:t>
      </w:r>
      <w:r>
        <w:rPr>
          <w:rFonts w:ascii="Times New Roman;sans-serif" w:hAnsi="Times New Roman;sans-serif"/>
          <w:b w:val="false"/>
          <w:color w:val="000000"/>
          <w:sz w:val="20"/>
          <w:u w:val="single"/>
        </w:rPr>
        <w:t>Successor Borrower</w:t>
      </w:r>
      <w:r>
        <w:rPr>
          <w:color w:val="000000"/>
        </w:rPr>
        <w:t>”</w:t>
      </w:r>
      <w:r>
        <w:rPr>
          <w:rFonts w:ascii="Times New Roman;sans-serif" w:hAnsi="Times New Roman;sans-serif"/>
          <w:b w:val="false"/>
          <w:color w:val="000000"/>
          <w:sz w:val="20"/>
        </w:rPr>
        <w:t xml:space="preserve">), (1) the Successor Borrower shall be an entity organized or existing under the laws of a Covered Jurisdiction, (2) the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51155"/>
                <wp:effectExtent l="0" t="0" r="0" b="0"/>
                <wp:wrapNone/>
                <wp:docPr id="219" name="Frame2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pPr>
      <w:r>
        <w:rPr>
          <w:rFonts w:ascii="Times New Roman;sans-serif" w:hAnsi="Times New Roman;sans-serif"/>
          <w:b w:val="false"/>
          <w:color w:val="000000"/>
          <w:sz w:val="20"/>
        </w:rPr>
        <w:t xml:space="preserve">Successor Borrower shall expressly assume all of the obligations of the Borrower under this Agreement and the other First Lien Loan Documents to which the Borrower is a party pursuant to a supplement hereto or thereto in form and substance reasonably satisfactory to the First Lien Administrative Agent, (3) each Loan Party other than the Borrower, unless it is the other party to such merger, amalgamation or consolidation, shall have reaffirmed, pursuant to an agreement in form and substance reasonably satisfactory to the First Lien Administrative Agent, that its Guarantee of and grant of any Liens as security for the Secured Obligations shall apply to the Successor Borrower’s obligations under this Agreement and (4) the Borrower shall have delivered to the First Lien Administrative Agent a certificate of a Responsible Officer of the Borrower and an opinion of counsel, each stating that such merger, amalgamation or consolidation complies with this Agreement;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 xml:space="preserve">that (y) if such Person is not a Loan Party, no Event of Default (or, to the extent related to a Limited Condition Transaction, no Specified Event of Default) shall exist after giving effect to such merger, amalgamation or consolidation and (z) if the foregoing requirements are satisfied, the Successor Borrower will succeed to, and be substituted for, the Borrower under this Agreement and the other First Lien Loan Documents;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u w:val="single"/>
        </w:rPr>
        <w:t>further</w:t>
      </w:r>
      <w:r>
        <w:rPr>
          <w:color w:val="000000"/>
        </w:rPr>
        <w:t xml:space="preserve"> </w:t>
      </w:r>
      <w:r>
        <w:rPr>
          <w:rFonts w:ascii="Times New Roman;sans-serif" w:hAnsi="Times New Roman;sans-serif"/>
          <w:b w:val="false"/>
          <w:color w:val="000000"/>
          <w:sz w:val="20"/>
        </w:rPr>
        <w:t>that the Borrower shall have provided any documentation and other information about the Successor Borrower to the extent reasonably requested in writing promptly, and in any case within one Business Day following the delivery of the certificate in clause (4), by any Lender or Issuing Bank through the First Lien Administrative Agent that such Lender or Issuing Bank shall have reasonably determined is required by regulatory authorities under applicable “know your customer” and anti-money laundering rules and regulations, including Title III of the USA PATRIOT Act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for the avoidance of doubt, the Borrower’s failure to deliver information requested after the first Business Day following delivery of the certificate in clause (4) above shall not constitute a Default or an Event of Default under this Agreement or the First Lien Loan Documents);</w:t>
      </w:r>
    </w:p>
    <w:p>
      <w:pPr>
        <w:pStyle w:val="TextBody"/>
        <w:bidi w:val="0"/>
        <w:spacing w:before="13" w:after="283"/>
        <w:jc w:val="left"/>
        <w:rPr/>
      </w:pPr>
      <w:r>
        <w:rPr/>
      </w:r>
    </w:p>
    <w:p>
      <w:pPr>
        <w:pStyle w:val="TextBody"/>
        <w:bidi w:val="0"/>
        <w:spacing w:lineRule="auto" w:line="288" w:before="1" w:after="283"/>
        <w:ind w:left="0" w:right="0" w:firstLine="775"/>
        <w:jc w:val="both"/>
        <w:rPr/>
      </w:pPr>
      <w:r>
        <w:rPr>
          <w:rFonts w:ascii="Times New Roman;sans-serif" w:hAnsi="Times New Roman;sans-serif"/>
          <w:b w:val="false"/>
          <w:color w:val="000000"/>
          <w:sz w:val="20"/>
        </w:rPr>
        <w:t xml:space="preserve">(v)any Restricted Subsidiary may merge, consolidate or amalgamate with any other Person in order to effect an Investment permitted pursuant to Section 6.04;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continuing or surviving Person shall be the Borrower or a Restricted Subsidiary, which together with each of the Restricted Subsidiaries, shall have complied with the requirements of Sections 5.11 and 5.12;</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(vi)the Borrower and any Restricted Subsidiaries may consummate any Permitted Tax Restructuring;</w:t>
      </w:r>
    </w:p>
    <w:p>
      <w:pPr>
        <w:pStyle w:val="TextBody"/>
        <w:bidi w:val="0"/>
        <w:spacing w:before="11" w:after="283"/>
        <w:jc w:val="left"/>
        <w:rPr/>
      </w:pPr>
      <w:r>
        <w:rPr/>
      </w:r>
    </w:p>
    <w:p>
      <w:pPr>
        <w:pStyle w:val="TextBody"/>
        <w:bidi w:val="0"/>
        <w:spacing w:lineRule="auto" w:line="288" w:before="0" w:after="0"/>
        <w:ind w:left="0" w:right="0" w:firstLine="664"/>
        <w:jc w:val="left"/>
        <w:rPr>
          <w:rFonts w:ascii="Times New Roman;sans-serif" w:hAnsi="Times New Roman;sans-serif"/>
          <w:b w:val="false"/>
          <w:color w:val="000000"/>
          <w:sz w:val="20"/>
        </w:rPr>
      </w:pPr>
      <w:r>
        <w:rPr>
          <w:rFonts w:ascii="Times New Roman;sans-serif" w:hAnsi="Times New Roman;sans-serif"/>
          <w:b w:val="false"/>
          <w:color w:val="000000"/>
          <w:sz w:val="20"/>
        </w:rPr>
        <w:t>(vii)any Restricted Subsidiary may effect a merger, amalgamation, dissolution, liquidation consolidation or amalgamation to effect a Disposition permitted pursuant to Section 6.05.</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(b)Holdings will not, and will not permit any Intermediate Parent to, conduct, transact or otherwise engage in any business or operations other than (i) the ownership and/or acquisition of the Equity Interests of the Borrower, any Intermediate Parent and any other Subsidiary, (ii) the maintenance of its legal existence, including the ability to incur fees, costs and expenses relating to such maintenance, (iii) participating in tax, accounting and other administrative matters as a member of the consolidated group of Holdings and its Subsidiaries,</w:t>
      </w:r>
    </w:p>
    <w:p>
      <w:pPr>
        <w:pStyle w:val="TextBody"/>
        <w:bidi w:val="0"/>
        <w:spacing w:lineRule="auto" w:line="288"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(iv) the performance of its obligations under and in connection with the First Lien Loan Documents, the Senior Secured Notes Documents, any documentation governing any Indebtedness or Guarantee and the other agreements contemplated hereby and thereby, (v) any public offering of its or any of its direct or indirect parent’s common stock or any other issuance or registration of its Equity Interests for sale or resale not prohibited by this Agreement, including the costs, fees and expenses related thereto, (vi) making any dividend or distribution or other transaction similar to a Restricted Payment and not otherwise prohibited by Section 6.08, or any Investment in the Borrower, any Intermediate Parent or any other Subsidiary, (vii) the incurrence of any Indebtedness, (viii) incurring fees, costs and expenses relating to overhead and general operating including professional fees for legal, tax and accounting issues and paying taxes, (ix) providing indemnification to officers and members of the Board of Directors, (x) activities incidental to the consummation of the Transactions and (xi) activities incidental to the businesses or activities described in clauses (i) to (x) of this paragraph.</w:t>
      </w:r>
    </w:p>
    <w:p>
      <w:pPr>
        <w:pStyle w:val="TextBody"/>
        <w:bidi w:val="0"/>
        <w:spacing w:before="15"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(c)Holdings will not, and will not permit any Intermediate Parent to, own or acquire any material assets (other than Equity Interests as referred to in paragraph (b)(i) above, cash and Permitted Investments, intercompany Investments in any Intermediate Parent, Subsidiary or Borrower permitted hereunder) or incur any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51155"/>
                <wp:effectExtent l="0" t="0" r="0" b="0"/>
                <wp:wrapNone/>
                <wp:docPr id="220" name="Frame2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(other than liabilities as referred to in paragraph (b)(vii) above, liabilities imposed by law, including tax liabilities, and other liabilities incidental to its existence and business and activities permitted by this Agreement).</w:t>
      </w:r>
    </w:p>
    <w:p>
      <w:pPr>
        <w:pStyle w:val="TextBody"/>
        <w:bidi w:val="0"/>
        <w:spacing w:before="12"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6.04    </w:t>
      </w:r>
      <w:r>
        <w:rPr>
          <w:rFonts w:ascii="Times New Roman;sans-serif" w:hAnsi="Times New Roman;sans-serif"/>
          <w:b w:val="false"/>
          <w:color w:val="000000"/>
          <w:sz w:val="20"/>
          <w:u w:val="single"/>
        </w:rPr>
        <w:t>Investments, Loans, Advances, Guarantees and Acquisitions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The Borrower will not, and will not permit any Restricted Subsidiary to, make or hold any Investment, except:</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(a)Permitted Investments at the time such Permitted Investment is made and purchases of assets in the ordinary course of business consistent with past practice;</w:t>
      </w:r>
    </w:p>
    <w:p>
      <w:pPr>
        <w:pStyle w:val="TextBody"/>
        <w:bidi w:val="0"/>
        <w:spacing w:before="11" w:after="283"/>
        <w:jc w:val="left"/>
        <w:rPr/>
      </w:pPr>
      <w:r>
        <w:rPr/>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(b)loans or advances to officers, members of the Board of Directors and employees of Holdings, the Borrower and its Restricted Subsidiaries (i) for reasonable and customary business-related travel, entertainment, relocation and analogous ordinary business purposes, (ii) in connection with such Person’s purchase of Equity Interests of Holdings (or any direct or indirect parent thereof)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amount of such loans and advances made in cash to such Person shall be contributed to the Borrower in cash as common equity or Qualified Equity Interests) and (iii) for purposes not described in the foregoing clauses (i) and (ii), in an aggregate principal amount outstanding under this clause (iii) at any time not to exceed $56,458,000;</w:t>
      </w:r>
    </w:p>
    <w:p>
      <w:pPr>
        <w:pStyle w:val="TextBody"/>
        <w:bidi w:val="0"/>
        <w:spacing w:before="12"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(c)Investments by the Borrower in any Restricted Subsidiary and Investments by any Restricted Subsidiary in the Borrower or any other Restricted Subsidiary;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in the case of any Investment by a Loan Party in a Restricted Subsidiary that is not a Loan Party, no Event of Default shall have occurred and be continuing or would result therefrom;</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(d)Investments consisting of extensions of trade credit and accommodation guarantees in the ordinary course of business;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(e)Investments (i) existing or contemplated on the Amendment No. 4 Effective Date and set forth on Schedule 6.04 and any modification, replacement, renewal, reinvestment or extension thereof and</w:t>
      </w:r>
    </w:p>
    <w:p>
      <w:pPr>
        <w:pStyle w:val="TextBody"/>
        <w:bidi w:val="0"/>
        <w:spacing w:lineRule="auto" w:line="288" w:before="1" w:after="283"/>
        <w:jc w:val="both"/>
        <w:rPr/>
      </w:pPr>
      <w:r>
        <w:rPr>
          <w:rFonts w:ascii="Times New Roman;sans-serif" w:hAnsi="Times New Roman;sans-serif"/>
          <w:b w:val="false"/>
          <w:color w:val="000000"/>
          <w:sz w:val="20"/>
        </w:rPr>
        <w:t xml:space="preserve">(ii) Investments existing on the Effective Date by the Borrower or any Restricted Subsidiary in the Borrower or any Restricted Subsidiary and any modification, renewal or extension thereof;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amount of the original Investment is not increased except by the terms of such Investment to the extent as set forth on Schedule 6.04 or as otherwise permitted by this Section 6.04;</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(f)Investments in Swap Agreements incurred in the ordinary course of business and not for speculative purposes;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(g)promissory notes and other non-cash consideration received in connection with Dispositions permitted by Section 6.05;</w:t>
      </w:r>
    </w:p>
    <w:p>
      <w:pPr>
        <w:pStyle w:val="TextBody"/>
        <w:bidi w:val="0"/>
        <w:spacing w:before="11" w:after="283"/>
        <w:jc w:val="left"/>
        <w:rPr/>
      </w:pPr>
      <w:r>
        <w:rPr/>
      </w:r>
    </w:p>
    <w:p>
      <w:pPr>
        <w:pStyle w:val="TextBody"/>
        <w:bidi w:val="0"/>
        <w:spacing w:lineRule="auto" w:line="288" w:before="0" w:after="0"/>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(h)Permitted Acquisitions;</w:t>
      </w:r>
    </w:p>
    <w:p>
      <w:pPr>
        <w:pStyle w:val="TextBody"/>
        <w:bidi w:val="0"/>
        <w:spacing w:before="10" w:after="283"/>
        <w:jc w:val="left"/>
        <w:rPr/>
      </w:pPr>
      <w:r>
        <w:rPr/>
      </w:r>
    </w:p>
    <w:p>
      <w:pPr>
        <w:pStyle w:val="TextBody"/>
        <w:bidi w:val="0"/>
        <w:spacing w:lineRule="auto" w:line="288" w:before="1" w:after="283"/>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(i)the Transactions;</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(j)Investments in the ordinary course of business consisting of Uniform Commercial Code Article 3 endorsements for collection or deposit and Uniform Commercial Code Article 4 customary trade arrangements with customers in the ordinary course of business;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pStyle w:val="TextBody"/>
        <w:bidi w:val="0"/>
        <w:spacing w:before="12"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51155"/>
                <wp:effectExtent l="0" t="0" r="0" b="0"/>
                <wp:wrapNone/>
                <wp:docPr id="221" name="Frame2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(l)loans and advances to Holdings (or any direct or indirect parent thereof) or any Intermediate Parent (x) in lieu of, and not in excess of the amount of (after giving effect to any other loans, advances or Restricted Payments in respect thereof), Restricted Payments to the extent permitted to be made to Holdings (or such parent) or such Intermediate Parent in accordance with Section 6.07(a) and (y) to the extent the proceeds thereof are contributed or loaned or advanced to any Restricted Subsidiary;</w:t>
      </w:r>
    </w:p>
    <w:p>
      <w:pPr>
        <w:pStyle w:val="TextBody"/>
        <w:bidi w:val="0"/>
        <w:spacing w:before="12"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(m)additional Investments and other acquisitions;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at the time any such Investment or other acquisition is made, the aggregate outstanding amount of such Investment or acquisition made in reliance on this clause (m), together with the aggregate amount of all consideration paid in connection with all other Investments and acquisitions made in reliance on this clause (m) (including the aggregate principal amount of all Indebtedness assumed in connection with any such other Investment or acquisition previously made under this clause (m)), shall not exceed the sum of the greater of (i)(A)</w:t>
      </w:r>
    </w:p>
    <w:p>
      <w:pPr>
        <w:pStyle w:val="TextBody"/>
        <w:bidi w:val="0"/>
        <w:spacing w:lineRule="auto" w:line="288" w:before="3" w:after="283"/>
        <w:jc w:val="both"/>
        <w:rPr/>
      </w:pPr>
      <w:r>
        <w:rPr>
          <w:rFonts w:ascii="Times New Roman;sans-serif" w:hAnsi="Times New Roman;sans-serif"/>
          <w:b w:val="false"/>
          <w:color w:val="000000"/>
          <w:sz w:val="20"/>
        </w:rPr>
        <w:t xml:space="preserve">$271,000,000 and (B) 50% of Consolidated EBITDA for the most recently ended Test Period after giving Pro Forma Effect to the making of such Investment or other acquisition,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(ii) so long as immediately after giving effect to any such Investment (x) no Event of Default has occurred and is continuing and (y) on a Pro Forma Basis, the Total Net Leverage Ratio does not exceed 7.50 to 1.00 for the most recently ended Test Period, the Available Amount that is Not Otherwise Applied as in effect immediately prior to the time of making of such Investment,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(iii) the Available Equity Amount that is Not Otherwise Applied as in effect immediately prior to the time of making of such Investment;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(C) the General Restricted Payment Reallocated Amount;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(D) the Junior Debt Payment Reallocated Amount;</w:t>
      </w:r>
    </w:p>
    <w:p>
      <w:pPr>
        <w:pStyle w:val="TextBody"/>
        <w:bidi w:val="0"/>
        <w:spacing w:before="13" w:after="283"/>
        <w:jc w:val="left"/>
        <w:rPr/>
      </w:pPr>
      <w:r>
        <w:rPr/>
      </w:r>
    </w:p>
    <w:p>
      <w:pPr>
        <w:pStyle w:val="TextBody"/>
        <w:bidi w:val="0"/>
        <w:spacing w:lineRule="auto" w:line="288" w:before="0" w:after="0"/>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(n)advances of payroll payments to employees in the ordinary course of business;</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(o)Investments and other acquisitions to the extent that payment for such Investments is made with Qualified Equity Interests (excluding Qualified Equity Interests the proceeds of which will be applied as Cure Amounts) of Holdings (or any direct or indirect parent thereof or the IPO Entity);</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(p)Investments of a Subsidiary acquired after the Effective Date or of a Person merged, amalgamated or consolidated with any Subsidiary in accordance with this Section 6.04 and Section 6.03 after the Effective Date or that otherwise becomes a Subsidiary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such Investment is made under Section 6.04(h), existing Investments in subsidiaries of such Subsidiary or Person shall comply with the requirements of Section 6.04(h)) to the extent that such Investments were not made in contemplation of or in connection with such acquisition, merger, amalgamation or consolidation and were in existence on the date of such acquisition, merger, amalgamation or consolidation;</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(q)receivables owing to the Borrower or any Restricted Subsidiary, if created or acquired in the ordinary course of business;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(r)Investments (A) for utilities, security deposits, leases and similar prepaid expenses incurred in the ordinary course of business and (B) trade accounts created, or prepaid expenses accrued, in the ordinary course of business;</w:t>
      </w:r>
    </w:p>
    <w:p>
      <w:pPr>
        <w:pStyle w:val="TextBody"/>
        <w:bidi w:val="0"/>
        <w:spacing w:before="11"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(s)non-cash Investments in connection with tax planning and reorganization activities; provided that after giving effect to any such activities, the security interests of the Lenders in the Collateral, taken as a whole, would not be materially impaired;</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(t)additional Investments so long as at the time of any such Investment and after giving effect thereto, (A) on a Pro Forma Basis, the Senior Secured Net Leverage Ratio is no greater than 7.00 to</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for the most recently ended Test Period and (B) no Event of Default exists or would result therefrom;</w:t>
      </w:r>
    </w:p>
    <w:p>
      <w:pPr>
        <w:pStyle w:val="TextBody"/>
        <w:bidi w:val="0"/>
        <w:spacing w:before="10" w:after="283"/>
        <w:jc w:val="left"/>
        <w:rPr/>
      </w:pPr>
      <w:r>
        <w:rPr/>
      </w:r>
    </w:p>
    <w:p>
      <w:pPr>
        <w:pStyle w:val="TextBody"/>
        <w:bidi w:val="0"/>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(u)Investments consisting of Indebtedness, Liens, fundamental changes, Dispositions and Restricted Payments permitted (other than by reference to this Section 6.04(v)) under Sections 6.01, 6.02, 6.03, 6.05 and 6.07, respectively;</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51155"/>
                <wp:effectExtent l="0" t="0" r="0" b="0"/>
                <wp:wrapNone/>
                <wp:docPr id="222" name="Frame2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p>
                      <w:pPr>
                        <w:pStyle w:val="TextBody"/>
                        <w:bidi w:val="0"/>
                        <w:spacing w:before="0" w:after="0"/>
                        <w:jc w:val="left"/>
                        <w:rPr/>
                      </w:pPr>
                      <w:r>
                        <w:rPr/>
                      </w:r>
                    </w:p>
                  </w:txbxContent>
                </v:textbox>
                <w10:wrap type="none"/>
              </v:rect>
            </w:pict>
          </mc:Fallback>
        </mc:AlternateConten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(v)contributions to a “rabbi” trust for the benefit of employees, directors, consultants, independent contractors or other service providers or other grantor trust subject to claims of creditors in the case of a bankruptcy of the Borrower;</w:t>
      </w:r>
    </w:p>
    <w:p>
      <w:pPr>
        <w:pStyle w:val="TextBody"/>
        <w:bidi w:val="0"/>
        <w:spacing w:before="11"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(x)any Investment in any Subsidiary or any joint venture in connection with intercompany cash management arrangements or related activities arising in the ordinary course of business;</w:t>
      </w:r>
    </w:p>
    <w:p>
      <w:pPr>
        <w:pStyle w:val="TextBody"/>
        <w:bidi w:val="0"/>
        <w:spacing w:before="0" w:after="0"/>
        <w:jc w:val="left"/>
        <w:rPr/>
      </w:pPr>
      <w:r>
        <w:rPr/>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(y)Investments by an Unrestricted Subsidiary entered into prior to the day such Unrestricted Subsidiary is redesignated as a Restricted Subsidiary pursuant to the definition of “Unrestricted Subsidiary”;</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(z)Investments in or relating to a Securitization Subsidiary that, in the good faith determination of the Borrower are necessary or advisable to effect any Qualified Securitization Facility or any repurchase obligation in connection therewith, including, without limitation, Investments of funds held in accounts permitted or required by the arrangements governing such Qualified Securitization Facilities or any related Indebtedness;</w:t>
      </w:r>
    </w:p>
    <w:p>
      <w:pPr>
        <w:pStyle w:val="TextBody"/>
        <w:bidi w:val="0"/>
        <w:spacing w:before="12" w:after="283"/>
        <w:jc w:val="left"/>
        <w:rPr/>
      </w:pPr>
      <w:r>
        <w:rPr/>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    Investments in the ordinary course of business in connection with Settlements; and</w:t>
      </w:r>
    </w:p>
    <w:p>
      <w:pPr>
        <w:pStyle w:val="TextBody"/>
        <w:bidi w:val="0"/>
        <w:spacing w:before="10"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(bb)    non-cash investments in connection with tax planning and reorganization activities, and investments in connection with Permitted Intercompany Activities and Permitted Tax Restructurings.</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6.05    </w:t>
      </w:r>
      <w:r>
        <w:rPr>
          <w:rFonts w:ascii="Times New Roman;sans-serif" w:hAnsi="Times New Roman;sans-serif"/>
          <w:b w:val="false"/>
          <w:color w:val="000000"/>
          <w:sz w:val="20"/>
          <w:u w:val="single"/>
        </w:rPr>
        <w:t>Asset Sales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The Borrower will not, and will not permit any Restricted Subsidiary to, (i) voluntarily sell, transfer, lease or otherwise dispose of any asset, including any Equity Interest owned by it or (ii)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the Borrower or any Restricted Subsidiary in compliance with Section 6.04(c)) (each, a “</w:t>
      </w:r>
      <w:r>
        <w:rPr>
          <w:rFonts w:ascii="Times New Roman;sans-serif" w:hAnsi="Times New Roman;sans-serif"/>
          <w:b w:val="false"/>
          <w:color w:val="000000"/>
          <w:sz w:val="20"/>
          <w:u w:val="single"/>
        </w:rPr>
        <w:t>Disposition</w:t>
      </w:r>
      <w:r>
        <w:rPr>
          <w:color w:val="000000"/>
        </w:rPr>
        <w:t xml:space="preserve">” </w:t>
      </w:r>
      <w:r>
        <w:rPr>
          <w:rFonts w:ascii="Times New Roman;sans-serif" w:hAnsi="Times New Roman;sans-serif"/>
          <w:b w:val="false"/>
          <w:color w:val="000000"/>
          <w:sz w:val="20"/>
        </w:rPr>
        <w:t>and the term “</w:t>
      </w:r>
      <w:r>
        <w:rPr>
          <w:rFonts w:ascii="Times New Roman;sans-serif" w:hAnsi="Times New Roman;sans-serif"/>
          <w:b w:val="false"/>
          <w:color w:val="000000"/>
          <w:sz w:val="20"/>
          <w:u w:val="single"/>
        </w:rPr>
        <w:t>Dispose</w:t>
      </w:r>
      <w:r>
        <w:rPr>
          <w:color w:val="000000"/>
        </w:rPr>
        <w:t xml:space="preserve">” </w:t>
      </w:r>
      <w:r>
        <w:rPr>
          <w:rFonts w:ascii="Times New Roman;sans-serif" w:hAnsi="Times New Roman;sans-serif"/>
          <w:b w:val="false"/>
          <w:color w:val="000000"/>
          <w:sz w:val="20"/>
        </w:rPr>
        <w:t>as a verb has the corresponding meaning), except:</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(a)Dispositions of obsolete, damaged, used, surplus or worn out property, whether now owned or hereafter acquired, in the ordinary course of business and Dispositions of property no longer used or useful, or economically practicable to maintain, in the conduct of the core or principal business of the Borrower and any Restricted Subsidiary (including by ceasing to enforce, abandoning, allowing to lapse, terminate or be invalidated, discontinuing the use or maintenance of or putting into the public domain, any Intellectual Property that is, in the reasonable judgment of the Borrower or the Restricted Subsidiaries, no longer used or useful, or economically practicable to maintain, or in respect of which the Borrower or any Restricted Subsidiary determines in its reasonable business judgment that such action or inaction is desirable);</w:t>
      </w:r>
    </w:p>
    <w:p>
      <w:pPr>
        <w:pStyle w:val="TextBody"/>
        <w:bidi w:val="0"/>
        <w:spacing w:before="14"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(b)Dispositions of inventory and other assets (including Settlement Assets) or held for sale or no longer used in the ordinary course of business and immaterial assets (considered in the aggregate) in the ordinary course of business;</w:t>
      </w:r>
    </w:p>
    <w:p>
      <w:pPr>
        <w:pStyle w:val="TextBody"/>
        <w:bidi w:val="0"/>
        <w:spacing w:before="11" w:after="283"/>
        <w:jc w:val="left"/>
        <w:rPr/>
      </w:pPr>
      <w:r>
        <w:rPr/>
      </w:r>
    </w:p>
    <w:p>
      <w:pPr>
        <w:pStyle w:val="TextBody"/>
        <w:bidi w:val="0"/>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(c)Dispositions of property to the extent that (i) such property is exchanged for credit against the purchase price of similar replacement property or (ii) an amount equal to Net Proceeds of such Disposition are promptly applied to the purchase price of such replacement property;</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51155"/>
                <wp:effectExtent l="0" t="0" r="0" b="0"/>
                <wp:wrapNone/>
                <wp:docPr id="223" name="Frame2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p>
                      <w:pPr>
                        <w:pStyle w:val="TextBody"/>
                        <w:bidi w:val="0"/>
                        <w:spacing w:before="0" w:after="0"/>
                        <w:jc w:val="left"/>
                        <w:rPr/>
                      </w:pPr>
                      <w:r>
                        <w:rPr/>
                      </w:r>
                    </w:p>
                  </w:txbxContent>
                </v:textbox>
                <w10:wrap type="none"/>
              </v:rect>
            </w:pict>
          </mc:Fallback>
        </mc:AlternateContent>
      </w:r>
    </w:p>
    <w:p>
      <w:pPr>
        <w:pStyle w:val="TextBody"/>
        <w:bidi w:val="0"/>
        <w:spacing w:before="11"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000000"/>
          <w:sz w:val="20"/>
        </w:rPr>
        <w:t xml:space="preserve">(d)Dispositions of property to the Borrower or any Restricted Subsidiary;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the transferor in such a transaction is a Loan Party, then either (i) the transferee must be a Loan Party, (ii) to the extent constituting an Investment, such Investment must be a permitted Investment in a Restricted Subsidiary that is not a Loan Party in accordance with Section 6.04 or (iii)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pStyle w:val="TextBody"/>
        <w:bidi w:val="0"/>
        <w:spacing w:before="0" w:after="0"/>
        <w:jc w:val="both"/>
        <w:rPr/>
      </w:pPr>
      <w:r>
        <w:rPr/>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(e)Dispositions permitted by Section 6.03, Investments permitted by Section 6.04, Restricted Payments permitted by Section 6.07, Liens permitted by Section 6.02 and otherwise in connection with Permitted Intercompany Activities and Permitted Tax Restructurings;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(f)Dispositions of property acquired by the Borrower or any of the Restricted Subsidiaries after the Effective Date pursuant to sale-leaseback transactions;</w:t>
      </w:r>
    </w:p>
    <w:p>
      <w:pPr>
        <w:pStyle w:val="TextBody"/>
        <w:bidi w:val="0"/>
        <w:spacing w:before="11" w:after="283"/>
        <w:jc w:val="left"/>
        <w:rPr/>
      </w:pPr>
      <w:r>
        <w:rPr/>
      </w:r>
    </w:p>
    <w:p>
      <w:pPr>
        <w:pStyle w:val="TextBody"/>
        <w:bidi w:val="0"/>
        <w:spacing w:lineRule="auto" w:line="288" w:before="0" w:after="0"/>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(g)Dispositions of Permitted Investments;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(h)Dispositions or forgiveness of accounts receivable in connection with the collection or compromise thereof (including sales to factors or other third parties);</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(i)leases, subleases, service agreements, product sales, licenses or sublicenses (including licenses and sublicenses of Intellectual Property), in each case that do not materially interfere with the business of the Borrower and the Restricted Subsidiaries, taken as a whole;</w:t>
      </w:r>
    </w:p>
    <w:p>
      <w:pPr>
        <w:pStyle w:val="TextBody"/>
        <w:bidi w:val="0"/>
        <w:spacing w:before="11" w:after="283"/>
        <w:jc w:val="left"/>
        <w:rPr/>
      </w:pPr>
      <w:r>
        <w:rPr/>
      </w:r>
    </w:p>
    <w:p>
      <w:pPr>
        <w:pStyle w:val="TextBody"/>
        <w:bidi w:val="0"/>
        <w:spacing w:lineRule="auto" w:line="288" w:before="0" w:after="0"/>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(j)transfers of property subject to Casualty Events;</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(k)Dispositions of property to Persons other than Restricted Subsidiaries (including the sale or issuance of Equity Interests of a Restricted Subsidiary) for Fair Market Value (as determined by a Responsible Officer of the Borrower in good faith) not otherwise permitted under this Section 6.05;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with respect to any Disposition pursuant to this clause (k) for a purchase price in excess of</w:t>
      </w:r>
    </w:p>
    <w:p>
      <w:pPr>
        <w:pStyle w:val="TextBody"/>
        <w:bidi w:val="0"/>
        <w:spacing w:lineRule="auto" w:line="288" w:before="2" w:after="283"/>
        <w:jc w:val="both"/>
        <w:rPr/>
      </w:pPr>
      <w:r>
        <w:rPr>
          <w:rFonts w:ascii="Times New Roman;sans-serif" w:hAnsi="Times New Roman;sans-serif"/>
          <w:b w:val="false"/>
          <w:color w:val="000000"/>
          <w:sz w:val="20"/>
        </w:rPr>
        <w:t xml:space="preserve">$271,000,000, the Borrower or such Restricted Subsidiaries shall receive not less than 75% of such consideration in the form of cash or Permitted Investments;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solely for the purposes of this clause (k), (A) any liabilities (as shown on the most recent balance sheet of the Borrower or such Restricted Subsidiary or in the footnotes thereto) of the Borrower or such Restricted Subsidiary, other than liabilities that are by their terms subordinated in right of payment to the First Lien Loan Document Obligations, that are assumed by the transferee with respect to the applicable Disposition and for which the Borrower and all of the Restricted Subsidiaries shall have been validly released by all applicable creditors in writing, shall be deemed to be cash, (B) any securities, notes or other obligations or assets received by the Borrower or such Restricted Subsidiary from such transferee that are converted by the Borrower or such Restricted Subsidiary into cash or Permitted Investments (to the extent of the cash or Permitted Investments received) within one hundred and eighty (180) days following the closing of the applicable Disposition, shall be deemed to be cash, (C) Indebtedness of any Restricted Subsidiary that ceases to be a Restricted Subsidiary as a result of such Disposition (other than intercompany debt owed to the Borrower or its Restricted Subsidiaries), to the extent that the Borrower and all of the Restricted Subsidiaries (to the extent previously liable thereunder) are released from any guarantee of payment of the principal amount of such Indebtedness in connection with such Disposition, shall be deemed to be cash, (D) any Designated Non-Cash Consideration received by the Borrower or such Restricted Subsidiary in respect of such Disposition having an aggregate Fair Market Value (as determined by a Responsible Officer of the Borrower in good faith), taken together with all other Designated Non-Cash Consideration received pursuant to this clause (k) that is at that time outstanding, not in excess of $217,000,000 at the time of the receipt of such Designated Non-Cash Consideration, with the Fair Market Value (as determined by a Responsible Officer of the Borrower in good faith) of each item of Designated Non-Cash Consideration being measured at the time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51155"/>
                <wp:effectExtent l="0" t="0" r="0" b="0"/>
                <wp:wrapNone/>
                <wp:docPr id="224" name="Frame2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 w:after="283"/>
        <w:jc w:val="both"/>
        <w:rPr/>
      </w:pPr>
      <w:r>
        <w:rPr>
          <w:rFonts w:ascii="Times New Roman;sans-serif" w:hAnsi="Times New Roman;sans-serif"/>
          <w:b w:val="false"/>
          <w:color w:val="000000"/>
          <w:sz w:val="20"/>
        </w:rPr>
        <w:t xml:space="preserve">received and without giving effect to subsequent changes in value, shall be deemed to be cash and (E) at the time of and immediately after giving effect to such Disposition, no Default or Event of Default shall have occurred and be continuing;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the Required Revolving Lenders may waive such requirement;</w:t>
      </w:r>
    </w:p>
    <w:p>
      <w:pPr>
        <w:pStyle w:val="TextBody"/>
        <w:bidi w:val="0"/>
        <w:spacing w:before="2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before="0" w:after="0"/>
        <w:jc w:val="both"/>
        <w:rPr/>
      </w:pPr>
      <w:r>
        <w:rPr/>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(m)any Disposition of the Equity Interests of any Immaterial Subsidiary or Unrestricted Subsidiary;</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(n)Dispositions of any assets (including Equity Interests) (A) acquired in connection with any Permitted Acquisition or other Investment not prohibited hereunder, which assets are not used or useful to the core or principal business of the Borrower and the Restricted Subsidiaries and (B) made to obtain the approval of any applicable antitrust authority in connection with a Permitted Acquisition;</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 any Disposition of accounts receivable, Securitization Assets, any participations thereof, or related assets in connection with or any Qualified Securitization Facility, (ii) the sale or discount of inventory, accounts receivable or notes receivable in the ordinary course of business (including sales to factors or other third parties) or in connection with any supplier and/or customer financing or (iii) the conversion of accounts receivable to notes receivable;</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(p)transfers of condemned real property as a result of the exercise of “eminent domain” or other similar powers to the respective Governmental Authority or agency that has condemned the same (whether by deed in lieu of condemnation or otherwise), and transfers of real property arising from foreclosure or similar action or that have been subject to a casualty to the respective insurer of such real property as part of an insurance settlement; and</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(q)non-exclusive licenses or sublicenses, or other similar grants of rights, to Intellectual Property in the ordinary course of business;</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6.06    </w:t>
      </w:r>
      <w:r>
        <w:rPr>
          <w:rFonts w:ascii="Times New Roman;sans-serif" w:hAnsi="Times New Roman;sans-serif"/>
          <w:b w:val="false"/>
          <w:color w:val="000000"/>
          <w:sz w:val="20"/>
          <w:u w:val="single"/>
        </w:rPr>
        <w:t>[Reserved]</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6.07    </w:t>
      </w:r>
      <w:r>
        <w:rPr>
          <w:rFonts w:ascii="Times New Roman;sans-serif" w:hAnsi="Times New Roman;sans-serif"/>
          <w:b w:val="false"/>
          <w:color w:val="000000"/>
          <w:sz w:val="20"/>
          <w:u w:val="single"/>
        </w:rPr>
        <w:t>Restricted Payments; Certain Payments of Indebtedness</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(a)The Borrower will not, and will not permit any Restricted Subsidiary to, declare or make, or agree to pay or make, directly or indirectly, any Restricted Payment, except:</w:t>
      </w:r>
    </w:p>
    <w:p>
      <w:pPr>
        <w:pStyle w:val="TextBody"/>
        <w:bidi w:val="0"/>
        <w:spacing w:before="10" w:after="283"/>
        <w:jc w:val="left"/>
        <w:rPr/>
      </w:pPr>
      <w:r>
        <w:rPr/>
      </w:r>
    </w:p>
    <w:p>
      <w:pPr>
        <w:pStyle w:val="TextBody"/>
        <w:bidi w:val="0"/>
        <w:spacing w:lineRule="auto" w:line="288" w:before="1" w:after="283"/>
        <w:ind w:left="0" w:right="0" w:firstLine="818"/>
        <w:jc w:val="both"/>
        <w:rPr/>
      </w:pPr>
      <w:r>
        <w:rPr>
          <w:rFonts w:ascii="Times New Roman;sans-serif" w:hAnsi="Times New Roman;sans-serif"/>
          <w:b w:val="false"/>
          <w:color w:val="000000"/>
          <w:sz w:val="20"/>
        </w:rPr>
        <w:t xml:space="preserve">(i)each Restricted Subsidiary may make Restricted Payments to (x) the Borrower or any Restricted Subsidiary,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in the case of any such Restricted Payment by a Restricted Subsidiary that is not a Wholly Owned Subsidiary, such Restricted Payment is made to a Borrower, any Restricted Subsidiary and to each other owner of Equity Interests of such Restricted Subsidiary based on their relative ownership interests of the relevant class of Equity Interests and (y) Holdings to the extent the proceeds of such Restricted Payments are contributed or loaned or advanced to another Restricted Subsidiary;</w:t>
      </w:r>
    </w:p>
    <w:p>
      <w:pPr>
        <w:pStyle w:val="TextBody"/>
        <w:bidi w:val="0"/>
        <w:spacing w:before="12" w:after="283"/>
        <w:jc w:val="left"/>
        <w:rPr/>
      </w:pPr>
      <w:r>
        <w:rPr/>
      </w:r>
    </w:p>
    <w:p>
      <w:pPr>
        <w:pStyle w:val="TextBody"/>
        <w:bidi w:val="0"/>
        <w:spacing w:lineRule="auto" w:line="288" w:before="0" w:after="0"/>
        <w:ind w:left="0" w:right="0" w:firstLine="763"/>
        <w:jc w:val="both"/>
        <w:rPr>
          <w:rFonts w:ascii="Times New Roman;sans-serif" w:hAnsi="Times New Roman;sans-serif"/>
          <w:b w:val="false"/>
          <w:color w:val="000000"/>
          <w:sz w:val="20"/>
        </w:rPr>
      </w:pPr>
      <w:r>
        <w:rPr>
          <w:rFonts w:ascii="Times New Roman;sans-serif" w:hAnsi="Times New Roman;sans-serif"/>
          <w:b w:val="false"/>
          <w:color w:val="000000"/>
          <w:sz w:val="20"/>
        </w:rPr>
        <w:t>(ii)the Borrower and each Restricted Subsidiary may declare and make dividend payments or other distributions payable solely in the Equity Interests of such Person;</w:t>
      </w:r>
    </w:p>
    <w:p>
      <w:pPr>
        <w:pStyle w:val="TextBody"/>
        <w:bidi w:val="0"/>
        <w:spacing w:before="11" w:after="283"/>
        <w:jc w:val="left"/>
        <w:rPr/>
      </w:pPr>
      <w:r>
        <w:rPr/>
      </w:r>
    </w:p>
    <w:p>
      <w:pPr>
        <w:pStyle w:val="TextBody"/>
        <w:bidi w:val="0"/>
        <w:spacing w:lineRule="auto" w:line="288" w:before="0" w:after="0"/>
        <w:ind w:left="0" w:right="0" w:hanging="1164"/>
        <w:jc w:val="left"/>
        <w:rPr>
          <w:rFonts w:ascii="Times New Roman;sans-serif" w:hAnsi="Times New Roman;sans-serif"/>
          <w:b w:val="false"/>
          <w:color w:val="000000"/>
          <w:sz w:val="20"/>
        </w:rPr>
      </w:pPr>
      <w:r>
        <w:rPr>
          <w:rFonts w:ascii="Times New Roman;sans-serif" w:hAnsi="Times New Roman;sans-serif"/>
          <w:b w:val="false"/>
          <w:color w:val="000000"/>
          <w:sz w:val="20"/>
        </w:rPr>
        <w:t>(iii)Restricted Payments made in connection with the Transactions;</w:t>
      </w:r>
    </w:p>
    <w:p>
      <w:pPr>
        <w:pStyle w:val="TextBody"/>
        <w:bidi w:val="0"/>
        <w:spacing w:before="10" w:after="283"/>
        <w:jc w:val="left"/>
        <w:rPr/>
      </w:pPr>
      <w:r>
        <w:rPr/>
      </w:r>
    </w:p>
    <w:p>
      <w:pPr>
        <w:pStyle w:val="TextBody"/>
        <w:bidi w:val="0"/>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(iv)repurchases of Equity Interests in Holdings (or any direct or indirect parent of Holdings), any Intermediate Parent, the Borrower or any Restricted Subsidiary deemed to occur upon exercise of stock options or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51155"/>
                <wp:effectExtent l="0" t="0" r="0" b="0"/>
                <wp:wrapNone/>
                <wp:docPr id="225" name="Frame2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warrants if such Equity Interests represent a portion of the exercise price or withholding Taxes payable in connection with the exercise of such options or warrants or other incentive interests;</w:t>
      </w:r>
    </w:p>
    <w:p>
      <w:pPr>
        <w:pStyle w:val="TextBody"/>
        <w:bidi w:val="0"/>
        <w:spacing w:before="12" w:after="283"/>
        <w:jc w:val="left"/>
        <w:rPr/>
      </w:pPr>
      <w:r>
        <w:rPr/>
      </w:r>
    </w:p>
    <w:p>
      <w:pPr>
        <w:pStyle w:val="TextBody"/>
        <w:bidi w:val="0"/>
        <w:spacing w:lineRule="auto" w:line="288" w:before="60" w:after="283"/>
        <w:ind w:left="0" w:right="0" w:firstLine="775"/>
        <w:jc w:val="both"/>
        <w:rPr/>
      </w:pPr>
      <w:r>
        <w:rPr>
          <w:rFonts w:ascii="Times New Roman;sans-serif" w:hAnsi="Times New Roman;sans-serif"/>
          <w:b w:val="false"/>
          <w:color w:val="000000"/>
          <w:sz w:val="20"/>
        </w:rPr>
        <w:t xml:space="preserve">(v)Restricted Payments to Holdings or any Intermediate Parent, which Holdings or such Intermediate Parent may use to redeem, acquire, retire, repurchase or settle its Equity Interests (or any options, warrants, restricted stock or stock appreciation rights or similar securities issued with respect to any such Equity Interests) or Indebtedness or to service Indebtedness incurred by Holdings or any Intermediate Parent or any direct or indirect parent companies of Holdings to finance the redemption, acquisition, retirement, repurchase or settlement of such Equity Interest or Indebtedness (or make Restricted Payments to allow any of Holdings’ direct or indirect parent companies to so redeem, retire, acquire or repurchase their Equity Interests or their Indebtedness or to service Indebtedness incurred by Holdings or an Intermediate Parent to finance the redemption, acquisition, retirement, repurchase or settlement of such Equity Interests or Indebtedness or to service Indebtedness incurred to finance the redemption, retirement, acquisition or repurchase of such Equity Interests or Indebtedness), held directly or indirectly by current or former officers, managers, consultants, members of the Board of Directors, employees or independent contractors (or their respective spouses, former spouses, successors, executors, administrators, heirs, legatees or distributees) of Holdings (or any direct or indirect parent thereof), any Intermediate Parent, the Borrower and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Effective Date together with the aggregate amount of loans and advances to Holdings or an Intermediate Parent made pursuant to Section 6.04(m) in lieu of Restricted Payments permitted by this clause (v) not to exceed $27,100,000 in any calendar year with unused amounts in any calendar year being carried over to succeeding calendar years subject to a maximum of $54,200,000 in any calendar year (without giving effect to the following proviso);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such amount in any calendar year may be increased by (1) an amount not to exceed the cash proceeds of key man life insurance policies received by the Borrower (or by Holdings (or any direct or indirect parent thereof) or an Intermediate Parent and contributed to the Borrower) or the Restricted Subsidiaries after the Effective Date, or (2) the amount of any bona fide cash bonuses otherwise payable to members of the Board of Directors, consultants, officers, employees, managers or independent contractors of Holdings, an Intermediate Parent, the Borrower or any Restricted Subsidiary that are foregone in return for the receipt of Equity Interests, the Fair Market Value of which is equal to or less than the amount of such cash bonuses, which, if not used in any year, may be carried forward to any subsequent fiscal year;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u w:val="single"/>
        </w:rPr>
        <w:t>further</w:t>
      </w:r>
      <w:r>
        <w:rPr>
          <w:color w:val="000000"/>
        </w:rPr>
        <w:t xml:space="preserve"> </w:t>
      </w:r>
      <w:r>
        <w:rPr>
          <w:rFonts w:ascii="Times New Roman;sans-serif" w:hAnsi="Times New Roman;sans-serif"/>
          <w:b w:val="false"/>
          <w:color w:val="000000"/>
          <w:sz w:val="20"/>
        </w:rPr>
        <w:t>that cancellation of Indebtedness owing to the Borrower or any Restricted Subsidiary from members of the Board of Directors, consultants, officers, employees, managers or independent contractors (or their respective spouses, former spouses, successors, executors, administrators, heirs, legatees or distributees) of Holdings, any Intermediate Parent, the Borrower or any Restricted Subsidiary in connection with a repurchase of Equity Interests of Holdings, any Intermediate Parent or the Borrower (or any direct or indirect parent thereof) will not be deemed to constitute a Restricted Payment for purposes of this Section 6.07 or any other provisions of this Agreement.</w:t>
      </w:r>
    </w:p>
    <w:p>
      <w:pPr>
        <w:pStyle w:val="TextBody"/>
        <w:bidi w:val="0"/>
        <w:spacing w:before="22" w:after="283"/>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(vi)other Restricted Payments made by the Borrower;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at the time of making such Restricted Payments, (x) no Event of Default shall have occurred and be continuing or would result therefrom and</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(y) on a Pro Forma Basis, the Senior Secured Net Leverage Ratio is equal to or less than 6.00 to 1.00 for the most recently ended Test Period;</w:t>
      </w:r>
    </w:p>
    <w:p>
      <w:pPr>
        <w:pStyle w:val="TextBody"/>
        <w:bidi w:val="0"/>
        <w:spacing w:before="10" w:after="283"/>
        <w:jc w:val="left"/>
        <w:rPr/>
      </w:pPr>
      <w:r>
        <w:rPr/>
      </w:r>
    </w:p>
    <w:p>
      <w:pPr>
        <w:pStyle w:val="TextBody"/>
        <w:bidi w:val="0"/>
        <w:spacing w:lineRule="auto" w:line="288" w:before="1" w:after="283"/>
        <w:ind w:left="0" w:right="0" w:firstLine="664"/>
        <w:jc w:val="left"/>
        <w:rPr>
          <w:rFonts w:ascii="Times New Roman;sans-serif" w:hAnsi="Times New Roman;sans-serif"/>
          <w:b w:val="false"/>
          <w:color w:val="000000"/>
          <w:sz w:val="20"/>
        </w:rPr>
      </w:pPr>
      <w:r>
        <w:rPr>
          <w:rFonts w:ascii="Times New Roman;sans-serif" w:hAnsi="Times New Roman;sans-serif"/>
          <w:b w:val="false"/>
          <w:color w:val="000000"/>
          <w:sz w:val="20"/>
        </w:rPr>
        <w:t>(vii)the Borrower and any Restricted Subsidiary may make Restricted Payments in cash to the Borrower, Holdings and any Intermediate Parent:</w:t>
      </w:r>
    </w:p>
    <w:p>
      <w:pPr>
        <w:pStyle w:val="TextBody"/>
        <w:bidi w:val="0"/>
        <w:spacing w:before="10"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000000"/>
          <w:sz w:val="20"/>
        </w:rPr>
        <w:t>(A)as distributions by the Borrower or any Restricted Subsidiary to the Borrower or Holdings (or any direct or indirect parent of Holdings) in amounts required for Holdings (or any direct or indirect parent of Holdings) to pay with respect to any taxable period in which the Borrower and/or any of its Subsidiaries is a member of (or the Borrower is a disregarded entity for U.S. federal income tax purposes wholly owned by a member of) a consolidated, combined, unitary or similar tax group (a “</w:t>
      </w:r>
      <w:r>
        <w:rPr>
          <w:rFonts w:ascii="Times New Roman;sans-serif" w:hAnsi="Times New Roman;sans-serif"/>
          <w:b w:val="false"/>
          <w:color w:val="000000"/>
          <w:sz w:val="20"/>
          <w:u w:val="single"/>
        </w:rPr>
        <w:t>Tax Group</w:t>
      </w:r>
      <w:r>
        <w:rPr>
          <w:color w:val="000000"/>
        </w:rPr>
        <w:t>”</w:t>
      </w:r>
      <w:r>
        <w:rPr>
          <w:rFonts w:ascii="Times New Roman;sans-serif" w:hAnsi="Times New Roman;sans-serif"/>
          <w:b w:val="false"/>
          <w:color w:val="000000"/>
          <w:sz w:val="20"/>
        </w:rPr>
        <w:t xml:space="preserve">) for U.S. federal and/or applicable foreign, state or local income tax purposes of which Holdings or any other direct or indirect parent of Holdings is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51155"/>
                <wp:effectExtent l="0" t="0" r="0" b="0"/>
                <wp:wrapNone/>
                <wp:docPr id="226" name="Frame2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pPr>
      <w:r>
        <w:rPr>
          <w:rFonts w:ascii="Times New Roman;sans-serif" w:hAnsi="Times New Roman;sans-serif"/>
          <w:b w:val="false"/>
          <w:color w:val="000000"/>
          <w:sz w:val="20"/>
        </w:rPr>
        <w:t xml:space="preserve">the common parent, Taxes that are attributable to the taxable income, revenue, receipts, gross receipts, gross profits, capital or margin of the Borrower and/or its Subsidiaries;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for each taxable period, the amount of such payments made in respect of such taxable period in the aggregate shall not exceed the amount of such Taxes that the Borrower and its Subsidiaries would have been required to pay if they were a stand-alone Tax Group with the Borrower as the corporate common parent of such stand-alone Tax Group (collectively, “</w:t>
      </w:r>
      <w:r>
        <w:rPr>
          <w:rFonts w:ascii="Times New Roman;sans-serif" w:hAnsi="Times New Roman;sans-serif"/>
          <w:b w:val="false"/>
          <w:color w:val="000000"/>
          <w:sz w:val="20"/>
          <w:u w:val="single"/>
        </w:rPr>
        <w:t>Tax Distributions</w:t>
      </w:r>
      <w:r>
        <w:rPr>
          <w:color w:val="000000"/>
        </w:rPr>
        <w:t>”</w:t>
      </w:r>
      <w:r>
        <w:rPr>
          <w:rFonts w:ascii="Times New Roman;sans-serif" w:hAnsi="Times New Roman;sans-serif"/>
          <w:b w:val="false"/>
          <w:color w:val="000000"/>
          <w:sz w:val="20"/>
        </w:rPr>
        <w:t>);</w:t>
      </w:r>
    </w:p>
    <w:p>
      <w:pPr>
        <w:pStyle w:val="TextBody"/>
        <w:bidi w:val="0"/>
        <w:spacing w:before="15" w:after="283"/>
        <w:jc w:val="left"/>
        <w:rPr/>
      </w:pPr>
      <w:r>
        <w:rPr/>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any reasonable and customary indemnification claims made by members of the Board of Directors or officers, employees, directors, managers, consultants or independent contractors of Holdings (or any parent thereof) or any Intermediate Parent attributable to the ownership or operations of Holdings, the Borrower and its Restricted Subsidiaries, (3) fees and expenses (x) due and payable by the Borrower and its Restricted Subsidiaries and (y) otherwise permitted to be paid by the Borrower and any Restricted Subsidiaries under this Agreement, (4) to the extent constituting a Restricted Payment, amounts due and payable pursuant to any investor management agreement entered into with the Sponsor after the Effective Date in an aggregate amount not to exceed 2.5% of Consolidated EBITDA for the most recently ended Test Period delivered pursuant to Section 5.01(a) as of the time of such Restricted Payment and (5) amounts that would otherwise be permitted to be paid pursuant to Section 6.08 (iii) or (xi);</w:t>
      </w:r>
    </w:p>
    <w:p>
      <w:pPr>
        <w:pStyle w:val="TextBody"/>
        <w:bidi w:val="0"/>
        <w:spacing w:before="14"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(C)the proceeds of which shall be used by Holdings (or any Intermediate Parent or any direct or indirect parent of Holdings) to pay franchise and similar Taxes, and other fees and expenses, required to maintain its corporate or other legal existence;</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(D)to finance any Investment made by Holdings or any Intermediate Parent that, if made by the Borrower, would be permitted to be made pursuant to Section 6.04;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 such Restricted Payment shall be made substantially concurrently with the closing of such Investment and (B) Holdings (or any direct or indirect parent thereof) or any Intermediate Parent shall, immediately following the closing thereof, cause (1) all property acquired (whether assets or Equity Interests but not including any loans or advances made pursuant to Section 6.04(b)) to be contributed to the Borrower or its Restricted Subsidiaries or (2) the Person formed or acquired to merge into or amalgamate or consolidate with the Borrower or any of the Restricted Subsidiaries to the extent such merger, amalgamation or consolidation is permitted in Section 6.03) in order to consummate such Investment, in each case in accordance with the requirements of Sections 5.11 and 5.12;</w:t>
      </w:r>
    </w:p>
    <w:p>
      <w:pPr>
        <w:pStyle w:val="TextBody"/>
        <w:bidi w:val="0"/>
        <w:spacing w:before="14"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(E)the proceeds of which shall be used to pay (or to make Restricted Payments to allow Holdings or any direct or indirect parent thereof or any Intermediate Parent thereof to pay) fees and expenses related to any equity or debt offering not prohibited by this Agreement;</w:t>
      </w:r>
    </w:p>
    <w:p>
      <w:pPr>
        <w:pStyle w:val="TextBody"/>
        <w:bidi w:val="0"/>
        <w:spacing w:before="11"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(F)the proceeds of which shall be used to pay customary salary, bonus and other benefits payable to officers and employees of Holdings or any direct or indirect parent company of Holdings or any Intermediate Parent to the extent such salaries, bonuses and other benefits are attributable to the ownership or operation of Holdings, the Borrower and its Restricted Subsidiaries; and</w:t>
      </w:r>
    </w:p>
    <w:p>
      <w:pPr>
        <w:pStyle w:val="TextBody"/>
        <w:bidi w:val="0"/>
        <w:spacing w:before="12"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(G)the proceeds of which shall be used to make payments permitted by clause (b)(iv) and (b)(v) of Section 6.07;</w:t>
      </w:r>
    </w:p>
    <w:p>
      <w:pPr>
        <w:pStyle w:val="TextBody"/>
        <w:bidi w:val="0"/>
        <w:spacing w:before="1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51155"/>
                <wp:effectExtent l="0" t="0" r="0" b="0"/>
                <wp:wrapNone/>
                <wp:docPr id="227" name="Frame2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609"/>
        <w:jc w:val="both"/>
        <w:rPr/>
      </w:pPr>
      <w:r>
        <w:rPr>
          <w:rFonts w:ascii="Times New Roman;sans-serif" w:hAnsi="Times New Roman;sans-serif"/>
          <w:b w:val="false"/>
          <w:color w:val="000000"/>
          <w:sz w:val="20"/>
        </w:rPr>
        <w:t xml:space="preserve">(viii)in addition to the foregoing Restricted Payments and so long as (x) no Event of Default shall have occurred and be continuing or would result therefrom and (y) on a Pro Forma Basis, the Total Net Leverage Ratio does not exceed 7.50 to 1.00 for the most recently ended Test Period, the Borrower may make additional Restricted Payments, in an aggregate amount not to exceed the sum of (A) the Available Amount that is Not Otherwise Applied as in effect immediately prior to the time of making of such Restricted Payment,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(B) the Available Equity Amount that is Not Otherwise Applied as in effect immediately prior to the time of making of such Restricted Payment;</w:t>
      </w:r>
    </w:p>
    <w:p>
      <w:pPr>
        <w:pStyle w:val="TextBody"/>
        <w:bidi w:val="0"/>
        <w:spacing w:before="13"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(ix)redemptions in whole or in part of any of its Equity Interests for another class of its Equity Interests or with proceeds from substantially concurrent equity contributions or issuances of new Equity Interests;</w:t>
      </w:r>
    </w:p>
    <w:p>
      <w:pPr>
        <w:pStyle w:val="TextBody"/>
        <w:bidi w:val="0"/>
        <w:spacing w:before="60" w:after="283"/>
        <w:jc w:val="left"/>
        <w:rPr/>
      </w:pPr>
      <w:r>
        <w:rPr/>
      </w:r>
    </w:p>
    <w:p>
      <w:pPr>
        <w:pStyle w:val="TextBody"/>
        <w:bidi w:val="0"/>
        <w:spacing w:lineRule="auto" w:line="288" w:before="60" w:after="283"/>
        <w:jc w:val="left"/>
        <w:rPr/>
      </w:pP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such new Equity Interests contain terms and provisions at least as advantageous to the Lenders in all respects material to their interests as those contained in the Equity Interests redeemed thereby;</w:t>
      </w:r>
    </w:p>
    <w:p>
      <w:pPr>
        <w:pStyle w:val="TextBody"/>
        <w:bidi w:val="0"/>
        <w:spacing w:before="11" w:after="283"/>
        <w:jc w:val="left"/>
        <w:rPr/>
      </w:pPr>
      <w:r>
        <w:rPr/>
      </w:r>
    </w:p>
    <w:p>
      <w:pPr>
        <w:pStyle w:val="TextBody"/>
        <w:bidi w:val="0"/>
        <w:spacing w:lineRule="auto" w:line="288" w:before="0" w:after="0"/>
        <w:ind w:left="0" w:right="0" w:firstLine="775"/>
        <w:jc w:val="both"/>
        <w:rPr>
          <w:rFonts w:ascii="Times New Roman;sans-serif" w:hAnsi="Times New Roman;sans-serif"/>
          <w:b w:val="false"/>
          <w:color w:val="000000"/>
          <w:sz w:val="20"/>
        </w:rPr>
      </w:pPr>
      <w:r>
        <w:rPr>
          <w:rFonts w:ascii="Times New Roman;sans-serif" w:hAnsi="Times New Roman;sans-serif"/>
          <w:b w:val="false"/>
          <w:color w:val="000000"/>
          <w:sz w:val="20"/>
        </w:rPr>
        <w:t>(x)payments made or expected to be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(xi)payments to Holdings or any Intermediate Parent to permit it to (a) pay cash in lieu of fractional Equity Interests in connection with any dividend, split or combination thereof or any Permitted Acquisition (or other similar Investment) and (b) honor any conversion request by a holder of convertible Indebtedness and make cash payments in lieu of fractional shares in connection with any such conversion and may make payments on convertible Indebtedness in accordance with its terms;</w:t>
      </w:r>
    </w:p>
    <w:p>
      <w:pPr>
        <w:pStyle w:val="TextBody"/>
        <w:bidi w:val="0"/>
        <w:spacing w:before="12" w:after="283"/>
        <w:jc w:val="left"/>
        <w:rPr/>
      </w:pPr>
      <w:r>
        <w:rPr/>
      </w:r>
    </w:p>
    <w:p>
      <w:pPr>
        <w:pStyle w:val="TextBody"/>
        <w:bidi w:val="0"/>
        <w:spacing w:lineRule="auto" w:line="288" w:before="0" w:after="0"/>
        <w:ind w:left="0" w:right="0" w:firstLine="664"/>
        <w:jc w:val="both"/>
        <w:rPr>
          <w:rFonts w:ascii="Times New Roman;sans-serif" w:hAnsi="Times New Roman;sans-serif"/>
          <w:b w:val="false"/>
          <w:color w:val="000000"/>
          <w:sz w:val="20"/>
        </w:rPr>
      </w:pPr>
      <w:r>
        <w:rPr>
          <w:rFonts w:ascii="Times New Roman;sans-serif" w:hAnsi="Times New Roman;sans-serif"/>
          <w:b w:val="false"/>
          <w:color w:val="000000"/>
          <w:sz w:val="20"/>
        </w:rPr>
        <w:t>(xii)payments made or expected to be made by Holdings, any Intermediate Parent, the Borrower or any Restricted Subsidiary in respect of withholding or similar Taxes payable upon exercise of Equity Interests by any future, present or former employee, director, officer, manager or consultant (or their respective controlled Affiliates or permitted transferees) and any repurchases of Equity Interests deemed to occur upon exercise of stock options or warrants if such Equity Interests represent a portion of the exercise price of such options or warrants or required withholding or similar Taxes;</w:t>
      </w:r>
    </w:p>
    <w:p>
      <w:pPr>
        <w:pStyle w:val="TextBody"/>
        <w:bidi w:val="0"/>
        <w:spacing w:before="12" w:after="283"/>
        <w:jc w:val="left"/>
        <w:rPr/>
      </w:pPr>
      <w:r>
        <w:rPr/>
      </w:r>
    </w:p>
    <w:p>
      <w:pPr>
        <w:pStyle w:val="TextBody"/>
        <w:bidi w:val="0"/>
        <w:spacing w:lineRule="auto" w:line="288" w:before="0" w:after="0"/>
        <w:ind w:left="0" w:right="0" w:hanging="1262"/>
        <w:jc w:val="left"/>
        <w:rPr>
          <w:rFonts w:ascii="Times New Roman;sans-serif" w:hAnsi="Times New Roman;sans-serif"/>
          <w:b w:val="false"/>
          <w:color w:val="000000"/>
          <w:sz w:val="20"/>
        </w:rPr>
      </w:pPr>
      <w:r>
        <w:rPr>
          <w:rFonts w:ascii="Times New Roman;sans-serif" w:hAnsi="Times New Roman;sans-serif"/>
          <w:b w:val="false"/>
          <w:color w:val="000000"/>
          <w:sz w:val="20"/>
        </w:rPr>
        <w:t>(xiii)[reserved];</w:t>
      </w:r>
    </w:p>
    <w:p>
      <w:pPr>
        <w:pStyle w:val="TextBody"/>
        <w:bidi w:val="0"/>
        <w:spacing w:before="11" w:after="283"/>
        <w:jc w:val="left"/>
        <w:rPr/>
      </w:pPr>
      <w:r>
        <w:rPr/>
      </w:r>
    </w:p>
    <w:p>
      <w:pPr>
        <w:pStyle w:val="TextBody"/>
        <w:bidi w:val="0"/>
        <w:spacing w:lineRule="auto" w:line="288" w:before="0" w:after="0"/>
        <w:ind w:left="0" w:right="0" w:firstLine="621"/>
        <w:jc w:val="both"/>
        <w:rPr>
          <w:rFonts w:ascii="Times New Roman;sans-serif" w:hAnsi="Times New Roman;sans-serif"/>
          <w:b w:val="false"/>
          <w:color w:val="000000"/>
          <w:sz w:val="20"/>
        </w:rPr>
      </w:pPr>
      <w:r>
        <w:rPr>
          <w:rFonts w:ascii="Times New Roman;sans-serif" w:hAnsi="Times New Roman;sans-serif"/>
          <w:b w:val="false"/>
          <w:color w:val="000000"/>
          <w:sz w:val="20"/>
        </w:rPr>
        <w:t>(xiv)the declaration and payment of a Restricted Payment on Holdings’ or the Borrower’s common stock (or the payment of Restricted Payments to Holdings or any direct or indirect parent company of Holdings to fund a payment of dividends on such company’s common stock), following consummation of an IPO, of up to 6.0% per annum of the net cash proceeds of such IPO received by or contributed to the Borrower, other than public offerings with respect to the IPO Entity’s common stock registered on Form S-8; and</w:t>
      </w:r>
    </w:p>
    <w:p>
      <w:pPr>
        <w:pStyle w:val="TextBody"/>
        <w:bidi w:val="0"/>
        <w:spacing w:before="12" w:after="283"/>
        <w:jc w:val="left"/>
        <w:rPr/>
      </w:pPr>
      <w:r>
        <w:rPr/>
      </w:r>
    </w:p>
    <w:p>
      <w:pPr>
        <w:pStyle w:val="TextBody"/>
        <w:bidi w:val="0"/>
        <w:spacing w:lineRule="auto" w:line="288" w:before="0" w:after="0"/>
        <w:ind w:left="0" w:right="0" w:hanging="1195"/>
        <w:jc w:val="left"/>
        <w:rPr>
          <w:rFonts w:ascii="Times New Roman;sans-serif" w:hAnsi="Times New Roman;sans-serif"/>
          <w:b w:val="false"/>
          <w:color w:val="000000"/>
          <w:sz w:val="20"/>
        </w:rPr>
      </w:pPr>
      <w:r>
        <w:rPr>
          <w:rFonts w:ascii="Times New Roman;sans-serif" w:hAnsi="Times New Roman;sans-serif"/>
          <w:b w:val="false"/>
          <w:color w:val="000000"/>
          <w:sz w:val="20"/>
        </w:rPr>
        <w:t>(xv)any distributions or payments of Securitization Fees.</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(b)The Borrower will not, and will not permit any Restricted Subsidiary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any payment under any Swap Agreement) that has a substantially similar effect to any of the foregoing, except:</w:t>
      </w:r>
    </w:p>
    <w:p>
      <w:pPr>
        <w:pStyle w:val="TextBody"/>
        <w:bidi w:val="0"/>
        <w:spacing w:before="13" w:after="283"/>
        <w:jc w:val="left"/>
        <w:rPr/>
      </w:pPr>
      <w:r>
        <w:rPr/>
      </w:r>
    </w:p>
    <w:p>
      <w:pPr>
        <w:pStyle w:val="TextBody"/>
        <w:bidi w:val="0"/>
        <w:spacing w:lineRule="auto" w:line="288"/>
        <w:ind w:left="0" w:right="0" w:firstLine="818"/>
        <w:jc w:val="both"/>
        <w:rPr>
          <w:rFonts w:ascii="Times New Roman;sans-serif" w:hAnsi="Times New Roman;sans-serif"/>
          <w:b w:val="false"/>
          <w:color w:val="000000"/>
          <w:sz w:val="20"/>
        </w:rPr>
      </w:pPr>
      <w:r>
        <w:rPr>
          <w:rFonts w:ascii="Times New Roman;sans-serif" w:hAnsi="Times New Roman;sans-serif"/>
          <w:b w:val="false"/>
          <w:color w:val="000000"/>
          <w:sz w:val="20"/>
        </w:rPr>
        <w:t>(i)payment of regularly scheduled interest and principal payments, mandatory offers to repay, repurchase or redeem, mandatory prepayments of principal premium and interest, and payment of fees, expenses and indemnification obligations, with respect to such Junior Financing, other than payments in respect of any Junior Financing prohibited by the subordination provisions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51155"/>
                <wp:effectExtent l="0" t="0" r="0" b="0"/>
                <wp:wrapNone/>
                <wp:docPr id="228" name="Frame2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p>
                      <w:pPr>
                        <w:pStyle w:val="TextBody"/>
                        <w:bidi w:val="0"/>
                        <w:spacing w:before="0" w:after="0"/>
                        <w:jc w:val="left"/>
                        <w:rPr/>
                      </w:pPr>
                      <w:r>
                        <w:rPr/>
                      </w:r>
                    </w:p>
                  </w:txbxContent>
                </v:textbox>
                <w10:wrap type="none"/>
              </v:rect>
            </w:pict>
          </mc:Fallback>
        </mc:AlternateContent>
      </w:r>
    </w:p>
    <w:p>
      <w:pPr>
        <w:pStyle w:val="TextBody"/>
        <w:bidi w:val="0"/>
        <w:spacing w:before="12" w:after="283"/>
        <w:jc w:val="left"/>
        <w:rPr/>
      </w:pPr>
      <w:r>
        <w:rPr/>
      </w:r>
    </w:p>
    <w:p>
      <w:pPr>
        <w:pStyle w:val="TextBody"/>
        <w:bidi w:val="0"/>
        <w:spacing w:lineRule="auto" w:line="288" w:before="0" w:after="0"/>
        <w:ind w:left="0" w:right="0" w:hanging="1108"/>
        <w:jc w:val="left"/>
        <w:rPr>
          <w:rFonts w:ascii="Times New Roman;sans-serif" w:hAnsi="Times New Roman;sans-serif"/>
          <w:b w:val="false"/>
          <w:color w:val="000000"/>
          <w:sz w:val="20"/>
        </w:rPr>
      </w:pPr>
      <w:r>
        <w:rPr>
          <w:rFonts w:ascii="Times New Roman;sans-serif" w:hAnsi="Times New Roman;sans-serif"/>
          <w:b w:val="false"/>
          <w:color w:val="000000"/>
          <w:sz w:val="20"/>
        </w:rPr>
        <w:t>(ii)refinancings of Indebtedness to the extent permitted by Section 6.01;</w:t>
      </w:r>
    </w:p>
    <w:p>
      <w:pPr>
        <w:pStyle w:val="TextBody"/>
        <w:bidi w:val="0"/>
        <w:spacing w:before="10" w:after="283"/>
        <w:jc w:val="left"/>
        <w:rPr/>
      </w:pPr>
      <w:r>
        <w:rPr/>
      </w:r>
    </w:p>
    <w:p>
      <w:pPr>
        <w:pStyle w:val="TextBody"/>
        <w:bidi w:val="0"/>
        <w:spacing w:lineRule="auto" w:line="288" w:before="0" w:after="0"/>
        <w:ind w:left="0" w:right="0" w:firstLine="708"/>
        <w:jc w:val="both"/>
        <w:rPr>
          <w:rFonts w:ascii="Times New Roman;sans-serif" w:hAnsi="Times New Roman;sans-serif"/>
          <w:b w:val="false"/>
          <w:color w:val="000000"/>
          <w:sz w:val="20"/>
        </w:rPr>
      </w:pPr>
      <w:r>
        <w:rPr>
          <w:rFonts w:ascii="Times New Roman;sans-serif" w:hAnsi="Times New Roman;sans-serif"/>
          <w:b w:val="false"/>
          <w:color w:val="000000"/>
          <w:sz w:val="20"/>
        </w:rPr>
        <w:t>(iii)the conversion of any Junior Financing to Equity Interests (other than Disqualified Equity Interests) of Holdings or any of its direct or indirect parent companies or any Intermediate Parent or the Borrower, and any payment that is intended to prevent any Junior Financing from being treated as an “applicable high yield discount obligation” within the meaning of Section 163(i)(1) of the Code;</w:t>
      </w:r>
    </w:p>
    <w:p>
      <w:pPr>
        <w:pStyle w:val="TextBody"/>
        <w:bidi w:val="0"/>
        <w:spacing w:before="12" w:after="283"/>
        <w:jc w:val="left"/>
        <w:rPr/>
      </w:pPr>
      <w:r>
        <w:rPr/>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 xml:space="preserve">(iv)prepayments, redemptions, repurchases, defeasances and other payments in respect of Junior Financings prior to their scheduled maturity in an aggregate amount, not to exceed the sum of (A) an amount at the time of making any such prepayment, redemption, repurchase, defeasance or other payment and together with any other prepayments, redemptions, repurchases, defeasances and other payments made utilizing this subclause (A) not to exceed the greater of (1) $81,300,000 and (2) 15% of Consolidated EBITDA for the most recently ended Test Period after giving Pro Forma Effect to the making of such prepayment, redemption, purchase, defeasance or other payment,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(B) (1) so long as no Event of Default shall have occurred and shall be continuing or would result therefrom and (2) on a Pro Forma Basis, the Total Net Leverage Ratio does not exceed 7.50 to 1.00 for the most recently ended Test Period (x) the Available Amount that is Not Otherwise Applied as in effect immediately prior to the time of making of such Investment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(y) the Available Equity Amount that is Not Otherwise Applied as in effect immediately prior to the time of making of such Investment;</w:t>
      </w:r>
    </w:p>
    <w:p>
      <w:pPr>
        <w:pStyle w:val="TextBody"/>
        <w:bidi w:val="0"/>
        <w:spacing w:before="13" w:after="283"/>
        <w:jc w:val="left"/>
        <w:rPr/>
      </w:pPr>
      <w:r>
        <w:rPr/>
      </w:r>
    </w:p>
    <w:p>
      <w:pPr>
        <w:pStyle w:val="TextBody"/>
        <w:bidi w:val="0"/>
        <w:spacing w:lineRule="auto" w:line="288" w:before="1" w:after="283"/>
        <w:ind w:left="0" w:right="0" w:hanging="1096"/>
        <w:jc w:val="left"/>
        <w:rPr>
          <w:rFonts w:ascii="Times New Roman;sans-serif" w:hAnsi="Times New Roman;sans-serif"/>
          <w:b w:val="false"/>
          <w:color w:val="000000"/>
          <w:sz w:val="20"/>
        </w:rPr>
      </w:pPr>
      <w:r>
        <w:rPr>
          <w:rFonts w:ascii="Times New Roman;sans-serif" w:hAnsi="Times New Roman;sans-serif"/>
          <w:b w:val="false"/>
          <w:color w:val="000000"/>
          <w:sz w:val="20"/>
        </w:rPr>
        <w:t>(v)payments made in connection with the Transactions;</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(vi)prepayments, redemptions, purchases, defeasances and other payments in respect of Junior Financing prior to their scheduled maturity;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after giving effect to such prepayment, redemption, repurchase, defeasance or other payment, (A) on a Pro Forma Basis, the Senior Secured Net Leverage Ratio is less than or equal to 6.50 to 1.00 for the most recently ended Test Period and (B) no Event of Default exists or would result therefrom;</w:t>
      </w:r>
    </w:p>
    <w:p>
      <w:pPr>
        <w:pStyle w:val="TextBody"/>
        <w:bidi w:val="0"/>
        <w:spacing w:before="12" w:after="283"/>
        <w:jc w:val="left"/>
        <w:rPr/>
      </w:pPr>
      <w:r>
        <w:rPr/>
      </w:r>
    </w:p>
    <w:p>
      <w:pPr>
        <w:pStyle w:val="TextBody"/>
        <w:bidi w:val="0"/>
        <w:spacing w:lineRule="auto" w:line="288" w:before="0" w:after="0"/>
        <w:ind w:left="0" w:right="0" w:firstLine="664"/>
        <w:jc w:val="both"/>
        <w:rPr>
          <w:rFonts w:ascii="Times New Roman;sans-serif" w:hAnsi="Times New Roman;sans-serif"/>
          <w:b w:val="false"/>
          <w:color w:val="000000"/>
          <w:sz w:val="20"/>
        </w:rPr>
      </w:pPr>
      <w:r>
        <w:rPr>
          <w:rFonts w:ascii="Times New Roman;sans-serif" w:hAnsi="Times New Roman;sans-serif"/>
          <w:b w:val="false"/>
          <w:color w:val="000000"/>
          <w:sz w:val="20"/>
        </w:rPr>
        <w:t>(vii)prepayment of Junior Financing owed to the Borrower or any Restricted Subsidiary or the prepayment of Permitted Refinancing of such Indebtedness with the proceeds of any other Junior Financing; and</w:t>
      </w:r>
    </w:p>
    <w:p>
      <w:pPr>
        <w:pStyle w:val="TextBody"/>
        <w:bidi w:val="0"/>
        <w:spacing w:before="11" w:after="283"/>
        <w:jc w:val="left"/>
        <w:rPr/>
      </w:pPr>
      <w:r>
        <w:rPr/>
      </w:r>
    </w:p>
    <w:p>
      <w:pPr>
        <w:pStyle w:val="TextBody"/>
        <w:bidi w:val="0"/>
        <w:spacing w:lineRule="auto" w:line="288" w:before="0" w:after="0"/>
        <w:ind w:left="0" w:right="0" w:hanging="1262"/>
        <w:jc w:val="left"/>
        <w:rPr>
          <w:rFonts w:ascii="Times New Roman;sans-serif" w:hAnsi="Times New Roman;sans-serif"/>
          <w:b w:val="false"/>
          <w:color w:val="000000"/>
          <w:sz w:val="20"/>
        </w:rPr>
      </w:pPr>
      <w:r>
        <w:rPr>
          <w:rFonts w:ascii="Times New Roman;sans-serif" w:hAnsi="Times New Roman;sans-serif"/>
          <w:b w:val="false"/>
          <w:color w:val="000000"/>
          <w:sz w:val="20"/>
        </w:rPr>
        <w:t>(viii)Payments made in connection with Permitted Intercompany Activities.</w:t>
      </w:r>
    </w:p>
    <w:p>
      <w:pPr>
        <w:pStyle w:val="TextBody"/>
        <w:bidi w:val="0"/>
        <w:spacing w:before="1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6.08    </w:t>
      </w:r>
      <w:r>
        <w:rPr>
          <w:rFonts w:ascii="Times New Roman;sans-serif" w:hAnsi="Times New Roman;sans-serif"/>
          <w:b w:val="false"/>
          <w:color w:val="000000"/>
          <w:sz w:val="20"/>
          <w:u w:val="single"/>
        </w:rPr>
        <w:t>Transactions with Affiliates</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Borrower will not, and will not permit any Restricted Subsidiary to, sell, lease or otherwise transfer any property or assets to, or purchase, lease or otherwise acquire any property or assets from, or otherwise engage in any other transactions with, any of its Affiliates, except (i) (A) transactions between or among the Borrower or any Restricted Subsidiary or any entity that becomes a Restricted Subsidiary as a result of such transaction and (B) transactions involving aggregate payment or consideration of less than $54,200,000, (ii) on terms substantially as favorable to the Borrower or such Restricted Subsidiary as would be obtainable by such Person at the time in a comparable arm’s-length transaction with a Person other than an Affiliate, (iii) the payment of fees and expenses related to the Transactions, (iv) the payment of management, consulting, advisory and monitoring fees to the Investors (or management companies of the Investors), or the making of distributions to the Investors (or their Affiliates) pursuant to customary equity arrangements, in an aggregate amount in any fiscal year not to exceed the amount permitted to be paid pursuant to Section 6.07(a)(vii)(B)(4), (v) issuances of Equity Interests of the Borrower to the extent otherwise permitted by this Agreement, (vi) employment and severance arrangements between the Borrower and its Restricted Subsidiaries and their respective officers and employees in the ordinary course of business or otherwise in connection with the Transactions (including loans and advances pursuant to Sections 6.04(b) and 6.04(n)), (vii) payments by the Borrower and its Restricted Subsidiaries pursuant to tax sharing agreements among Holdings (and any such parent thereof), any Intermediate Parent, the Borrower and its Restricted Subsidiaries on customary terms to the extent attributable to the ownership or operation of the Borrower and its Restricted Subsidiaries, to the extent such payments are permitted by Section 6.07, (viii) the payment of customary fees and reasonable out-of-pocket costs to, and indemnities provided on behalf of, members of the Board of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51155"/>
                <wp:effectExtent l="0" t="0" r="0" b="0"/>
                <wp:wrapNone/>
                <wp:docPr id="229" name="Frame2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Directors, officers and employees of Holdings (or any direct or indirect parent thereof), the Borrower, any Intermediate Parent and the Restricted Subsidiaries in the ordinary course of business to the extent attributable to the ownership or operation of the Borrower and its Restricted Subsidiaries, (ix) transactions pursuant to permitted agreements in existence or contemplated on the Amendment No. 4 Effective Date and set forth on Schedule 6.08 or any amendment thereto to the extent such an amendment is not adverse to the Lenders in any material respect, (x) Restricted Payments permitted under Section 6.07 and loans and advances in lieu thereof pursuant to Section 6.04(l),</w:t>
      </w:r>
    </w:p>
    <w:p>
      <w:pPr>
        <w:pStyle w:val="TextBody"/>
        <w:bidi w:val="0"/>
        <w:spacing w:lineRule="auto" w:line="288" w:before="10" w:after="283"/>
        <w:jc w:val="both"/>
        <w:rPr/>
      </w:pPr>
      <w:r>
        <w:rPr>
          <w:rFonts w:ascii="Times New Roman;sans-serif" w:hAnsi="Times New Roman;sans-serif"/>
          <w:b w:val="false"/>
          <w:color w:val="000000"/>
          <w:sz w:val="20"/>
        </w:rPr>
        <w:t xml:space="preserve">(xi) payments to or from, and transactions with, any joint venture in the ordinary course of business (including, without limitation, any cash management activities related thereto), (xii) transactions with customers, clients, suppliers, contractors, joint venture partners or purchasers or sellers of goods or services that are Affiliates, in each case in the ordinary course of business and which are fair to the Borrower and the Restricted Subsidiaries, in the reasonable determination of the Borrower, or are on terms at least as favorable as might reasonably have been obtained at such time from an unaffiliated party, (xiii) sales of accounts receivable, or participations therein, or Securitization Assets or related assets in connection with or any Qualified Securitization Facility, (xiv) payments made in connection with the Transactions, (xv) customary payments by the Borrower and its Restricted Subsidiaries to the Sponsor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the Borrower or such Restricted Subsidiary in good faith, (xvi) any other (A) Indebtedness permitted under Section 6.01 and Liens permitted under Section 6.02;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such Indebtedness and Liens are on terms which are fair and reasonable to the Borrower and its Subsidiaries as determined by the majority of disinterested members of the board of directors of the Borrower and (B) transactions permitted under Section 6.03, Investments permitted under Section 6.04 and Restricted Payments permitted under Section 6.07 and (xvii) Permitted Intercompany Activities and related transactions.</w:t>
      </w:r>
    </w:p>
    <w:p>
      <w:pPr>
        <w:pStyle w:val="TextBody"/>
        <w:bidi w:val="0"/>
        <w:spacing w:before="15"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6.09    </w:t>
      </w:r>
      <w:r>
        <w:rPr>
          <w:rFonts w:ascii="Times New Roman;sans-serif" w:hAnsi="Times New Roman;sans-serif"/>
          <w:b w:val="false"/>
          <w:color w:val="000000"/>
          <w:sz w:val="20"/>
          <w:u w:val="single"/>
        </w:rPr>
        <w:t>Restrictive Agreements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0"/>
        </w:rPr>
        <w:t xml:space="preserve">The Borrower will not, and will not permit any Restricted Subsidiary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First Lien Loan Documents;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foregoing shall not apply to:</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(a)restrictions and conditions imposed by (1) Requirements of Law, (2) any First Lien Loan Document, (3) any documentation governing First Lien Incremental Equivalent Debt, (4) any documentation governing Permitted Unsecured Refinancing Debt, Permitted First Priority Refinancing Debt or Permitted Second Priority Refinancing Debt, (5) any documentation governing other Indebtedness (other than intercompany debt owed to the Borrower or the Restricted Subsidiaries) that do not materially impair the Borrower’s ability to make payments on the Loans, (6) any documentation governing Indebtedness incurred pursuant to Section 6.01(a)(xxiv) or Section 6.01(a)(vii), (viii), (ix), (xv), (xxii), (xxvii), (xxviii) and (6) any documentation governing any Permitted Refinancing incurred to refinance any such Indebtedness referenced in clauses (1) through (5) above;</w:t>
      </w:r>
    </w:p>
    <w:p>
      <w:pPr>
        <w:pStyle w:val="TextBody"/>
        <w:bidi w:val="0"/>
        <w:spacing w:before="13"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(c)restrictions and conditions contained in agreements relating to the sale of a Subsidiary or any assets pending such sale;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such restrictions and conditions apply only to the Subsidiary or assets that is or are to be sold and such sale is permitted hereunder;</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(d)customary provisions in leases, licenses, sublicenses and other contracts (including licenses and sublicenses of Intellectual Property) restricting the assignment thereof;</w:t>
      </w:r>
    </w:p>
    <w:p>
      <w:pPr>
        <w:pStyle w:val="TextBody"/>
        <w:bidi w:val="0"/>
        <w:spacing w:before="1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51155"/>
                <wp:effectExtent l="0" t="0" r="0" b="0"/>
                <wp:wrapNone/>
                <wp:docPr id="230" name="Frame2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(e)restrictions imposed by any agreement relating to secured Indebtedness permitted by this Agreement to the extent such restriction applies only to the property securing such Indebtedness;</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(f)any restrictions or conditions set forth in any agreement in effect at any time any Person becomes a Restricted Subsidiary (but not any modification or amendment expanding the scope of any such restriction or condition);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such agreement was not entered into in contemplation of such Person becoming a Restricted Subsidiary and the restriction or condition set forth in such agreement does not apply to the Borrower or any Restricted Subsidiary;</w:t>
      </w:r>
    </w:p>
    <w:p>
      <w:pPr>
        <w:pStyle w:val="TextBody"/>
        <w:bidi w:val="0"/>
        <w:spacing w:before="12" w:after="283"/>
        <w:jc w:val="left"/>
        <w:rPr/>
      </w:pPr>
      <w:r>
        <w:rPr/>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(g)restrictions or conditions in any Indebtedness permitted pursuant to Section 6.01 that is incurred or assumed by Restricted Subsidiaries that are not Loan Parties to the extent such restrictions or conditions are no more restrictive in any material respect than the restrictions and conditions in the First Lien Loan Documents or, in the case of Junior Financing, are market terms at the time of issuance and are imposed solely on such Restricted Subsidiary and its Subsidiaries;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(h)restrictions on cash (or Permitted Investments) or other deposits imposed by agreements entered into in the ordinary course of business (or other restrictions on cash or deposits constituting Permitted Encumbrances);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(i)restrictions set forth on Schedule 6.09 and any extension, renewal, amendment, modification or replacement thereof, except to the extent any such amendment, modification or replacement expands the scope of any such restriction or condition;</w:t>
      </w:r>
    </w:p>
    <w:p>
      <w:pPr>
        <w:pStyle w:val="TextBody"/>
        <w:bidi w:val="0"/>
        <w:spacing w:before="11"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(j)customary provisions in joint venture agreements and other similar agreements applicable to joint ventures permitted by Section 6.04;</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(k)customary restrictions contained in leases, subleases, licenses, sublicenses or asset sale agreements otherwise permitted hereby so long as such restrictions relate only to the assets subject thereto;</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(l)customary provisions restricting subletting or assignment of any lease governing a leasehold interest of Holdings, any Intermediate Parent, the Borrower or any Restricted Subsidiary; and</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obligations.</w:t>
      </w:r>
    </w:p>
    <w:p>
      <w:pPr>
        <w:pStyle w:val="TextBody"/>
        <w:bidi w:val="0"/>
        <w:spacing w:before="12"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6.10    </w:t>
      </w:r>
      <w:r>
        <w:rPr>
          <w:rFonts w:ascii="Times New Roman;sans-serif" w:hAnsi="Times New Roman;sans-serif"/>
          <w:b w:val="false"/>
          <w:color w:val="000000"/>
          <w:sz w:val="20"/>
          <w:u w:val="single"/>
        </w:rPr>
        <w:t>Amendment of Junior Financing</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The Borrower will not, and will not permit any Restricted Subsidiary to, amend or modify the documentation governing any Junior Financing if the effect of such amendment or modification is materially adverse to the Lenders or the Issuing Banks;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such modification will not be deemed to be materially adverse if such Junior Financing could be otherwise incurred under this Agreement (including as Indebtedness that does not constitute a Junior Financing) with such terms as so modified at the time of such modification.</w:t>
      </w:r>
    </w:p>
    <w:p>
      <w:pPr>
        <w:pStyle w:val="TextBody"/>
        <w:bidi w:val="0"/>
        <w:spacing w:before="12"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6.11    </w:t>
      </w:r>
      <w:r>
        <w:rPr>
          <w:rFonts w:ascii="Times New Roman;sans-serif" w:hAnsi="Times New Roman;sans-serif"/>
          <w:b w:val="false"/>
          <w:color w:val="000000"/>
          <w:sz w:val="20"/>
          <w:u w:val="single"/>
        </w:rPr>
        <w:t>Financial Performance Covenant</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ind w:left="0" w:right="0" w:firstLine="1440"/>
        <w:jc w:val="both"/>
        <w:rPr/>
      </w:pPr>
      <w:r>
        <w:rPr>
          <w:rFonts w:ascii="Times New Roman;sans-serif" w:hAnsi="Times New Roman;sans-serif"/>
          <w:b w:val="false"/>
          <w:color w:val="000000"/>
          <w:sz w:val="20"/>
        </w:rPr>
        <w:t xml:space="preserve">Solely with respect to the Revolving Facility, if on the last day of any Test Period (commencing with the Test Period ending March 31, 2020), the sum of (i) the aggregate principal amount of Revolving Loans then outstanding (other than for the first four fiscal quarters following the Effective Date, any Revolving Loans borrowed to fund any fees paid on the Effective Date in connection with the Transactions),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(ii) the aggregate amount of LC Disbursements that have not been reimbursed (or otherwise cash collateralized or backstopped) within two (2) Business Days by or on behalf of the Borrower following the end of the applicable fiscal quarter, exceeds the greater of (x) $169,500,000 and (y) 40% of the aggregate principal amount of Revolving Commitments then in effect (after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51155"/>
                <wp:effectExtent l="0" t="0" r="0" b="0"/>
                <wp:wrapNone/>
                <wp:docPr id="231" name="Frame2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including any Additional/Replacement Revolving Commitments or Incremental Revolving Commitment Increase then in effect), the Borrower will not permit the Senior Secured First Lien Net Leverage Ratio to exceed 9.00 to 1.00 on the last day of such Test Period.</w:t>
      </w:r>
    </w:p>
    <w:p>
      <w:pPr>
        <w:pStyle w:val="TextBody"/>
        <w:bidi w:val="0"/>
        <w:spacing w:before="14"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6.12    </w:t>
      </w:r>
      <w:r>
        <w:rPr>
          <w:rFonts w:ascii="Times New Roman;sans-serif" w:hAnsi="Times New Roman;sans-serif"/>
          <w:b w:val="false"/>
          <w:color w:val="000000"/>
          <w:sz w:val="20"/>
          <w:u w:val="single"/>
        </w:rPr>
        <w:t>Changes in Fiscal Periods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0"/>
        </w:rPr>
        <w:t xml:space="preserve">The Borrower will not make any change in fiscal year;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Borrower may, upon written notice to the First Lien Administrative Agent, change its fiscal year to any other fiscal year reasonably acceptable to the First Lien Administrative Agent, in which case, the Borrower and the First Lien Administrative Agent will, and are hereby authorized by the Lenders to, make any adjustments to this Agreement that are necessary to reflect such change in fiscal year; and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that the limitation of this Section 6.12 shall not apply with respect to any short year resulting from the Transactions to occur on the Effective Date.</w:t>
      </w:r>
    </w:p>
    <w:p>
      <w:pPr>
        <w:pStyle w:val="TextBody"/>
        <w:bidi w:val="0"/>
        <w:spacing w:before="60" w:after="283"/>
        <w:ind w:left="0" w:right="0" w:firstLine="429"/>
        <w:jc w:val="left"/>
        <w:rPr/>
      </w:pPr>
      <w:r>
        <w:rPr/>
      </w:r>
    </w:p>
    <w:p>
      <w:pPr>
        <w:pStyle w:val="TextBody"/>
        <w:bidi w:val="0"/>
        <w:spacing w:lineRule="auto" w:line="556" w:before="60" w:after="283"/>
        <w:ind w:left="0" w:right="0" w:firstLine="429"/>
        <w:jc w:val="left"/>
        <w:rPr/>
      </w:pPr>
      <w:r>
        <w:rPr>
          <w:rFonts w:ascii="Times New Roman;sans-serif" w:hAnsi="Times New Roman;sans-serif"/>
          <w:b w:val="false"/>
          <w:color w:val="000000"/>
          <w:sz w:val="20"/>
        </w:rPr>
        <w:t xml:space="preserve">ARTICLE VII </w:t>
      </w:r>
      <w:r>
        <w:rPr>
          <w:rFonts w:ascii="Times New Roman;sans-serif" w:hAnsi="Times New Roman;sans-serif"/>
          <w:b w:val="false"/>
          <w:color w:val="000000"/>
          <w:sz w:val="20"/>
          <w:u w:val="single"/>
        </w:rPr>
        <w:t>EVENTS OF DEFAULT</w:t>
      </w:r>
    </w:p>
    <w:p>
      <w:pPr>
        <w:pStyle w:val="TextBody"/>
        <w:bidi w:val="0"/>
        <w:spacing w:lineRule="auto" w:line="288" w:before="11" w:after="283"/>
        <w:jc w:val="left"/>
        <w:rPr/>
      </w:pPr>
      <w:r>
        <w:rPr>
          <w:rFonts w:ascii="Times New Roman;sans-serif" w:hAnsi="Times New Roman;sans-serif"/>
          <w:b w:val="false"/>
          <w:color w:val="000000"/>
          <w:sz w:val="20"/>
        </w:rPr>
        <w:t>SECTION 7.01    </w:t>
      </w:r>
      <w:r>
        <w:rPr>
          <w:rFonts w:ascii="Times New Roman;sans-serif" w:hAnsi="Times New Roman;sans-serif"/>
          <w:b w:val="false"/>
          <w:color w:val="000000"/>
          <w:sz w:val="20"/>
          <w:u w:val="single"/>
        </w:rPr>
        <w:t>Events of Default</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If any of the following events (any such event, an “</w:t>
      </w:r>
      <w:r>
        <w:rPr>
          <w:rFonts w:ascii="Times New Roman;sans-serif" w:hAnsi="Times New Roman;sans-serif"/>
          <w:b w:val="false"/>
          <w:color w:val="000000"/>
          <w:sz w:val="20"/>
          <w:u w:val="single"/>
        </w:rPr>
        <w:t>Event of Default</w:t>
      </w:r>
      <w:r>
        <w:rPr>
          <w:color w:val="000000"/>
        </w:rPr>
        <w:t>”</w:t>
      </w:r>
      <w:r>
        <w:rPr>
          <w:rFonts w:ascii="Times New Roman;sans-serif" w:hAnsi="Times New Roman;sans-serif"/>
          <w:b w:val="false"/>
          <w:color w:val="000000"/>
          <w:sz w:val="20"/>
        </w:rPr>
        <w:t>) shall occur:</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(a)any Loan Party shall fail to pay any principal of any Loan or any reimbursement obligation in respect of any LC Disbursement when and as the same shall become due and payable, whether at the due date thereof or at a date fixed for prepayment thereof or otherwise;</w:t>
      </w:r>
    </w:p>
    <w:p>
      <w:pPr>
        <w:pStyle w:val="TextBody"/>
        <w:bidi w:val="0"/>
        <w:spacing w:before="11"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(b)any Loan Party shall fail to pay any interest on any Loan or any fee or any other amount (other than an amount referred to in paragraph (a) of this Section 7.01) payable under any First Lien Loan Document, when and as the same shall become due and payable, and such failure shall continue unremedied for a period of five (5) Business Days;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(c)any representation or warranty made or deemed made by or on behalf of Holdings, any Intermediate Parent, the Borrower or any of its Restricted Subsidiaries in connection with any First Lien Loan Document or any amendment or modification thereof or waiver thereunder, or in any report, certificate, financial statement or other document furnished pursuant to or in connection with any First Lien Loan Document or any amendment or modification thereof or waiver thereunder, shall prove to have been incorrect in any material respect when made or deemed made, and such incorrect representation or warranty (if curable) shall remain incorrect for a period of 30 days after notice thereof from the First Lien Administrative Agent to the Borrower;</w:t>
      </w:r>
    </w:p>
    <w:p>
      <w:pPr>
        <w:pStyle w:val="TextBody"/>
        <w:bidi w:val="0"/>
        <w:spacing w:before="13"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 Holdings, any Intermediate Parent, the Borrower or any of the Restricted Subsidiaries shall fail to observe or perform any covenant, condition or agreement contained in Sections 5.02, 5.04 (with respect to the existence of Holdings, the Borrower or any such Intermediate Parents or Restricted Subsidiaries), 5.10, 5.14 or in Article VI (other than Section 6.08 or 6.12 or the Financial Performance Covenant); or</w:t>
      </w:r>
    </w:p>
    <w:p>
      <w:pPr>
        <w:pStyle w:val="TextBody"/>
        <w:bidi w:val="0"/>
        <w:spacing w:before="12" w:after="283"/>
        <w:jc w:val="left"/>
        <w:rPr/>
      </w:pPr>
      <w:r>
        <w:rPr/>
      </w:r>
    </w:p>
    <w:p>
      <w:pPr>
        <w:pStyle w:val="TextBody"/>
        <w:bidi w:val="0"/>
        <w:spacing w:lineRule="auto" w:line="288"/>
        <w:ind w:left="0" w:right="0" w:firstLine="818"/>
        <w:jc w:val="both"/>
        <w:rPr/>
      </w:pPr>
      <w:r>
        <w:rPr>
          <w:rFonts w:ascii="Times New Roman;sans-serif" w:hAnsi="Times New Roman;sans-serif"/>
          <w:b w:val="false"/>
          <w:color w:val="000000"/>
          <w:sz w:val="20"/>
        </w:rPr>
        <w:t xml:space="preserve">(i)    the Borrower or any of the Restricted Subsidiaries shall fail to observe or perform the Financial Performance Covenant;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 any Event of Default under Section 6.11 is subject to cure as provided in Section 7.02 and an Event of Default with respect to such Section shall not occur until the expiration of the tenth (10th) day subsequent to the date on which the financial statements with respect to the applicable fiscal quarter (or the fiscal year ended on the last day of such fiscal quarter) are required to be delivered pursuant to Section 5.01(a) or Section 5.01(b), as applicable, and (b) a Default under Section 6.11 shall not constitute an Event of Default with respect to the Term Loans unless and until the Revolving Lenders have actually declared all such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51155"/>
                <wp:effectExtent l="0" t="0" r="0" b="0"/>
                <wp:wrapNone/>
                <wp:docPr id="232" name="Frame2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to be immediately due and payable and terminated the Revolving Commitments in accordance with this Agreement and such declaration has not been rescinded by the Required Revolving Lenders on or before such date;</w:t>
      </w:r>
    </w:p>
    <w:p>
      <w:pPr>
        <w:pStyle w:val="TextBody"/>
        <w:bidi w:val="0"/>
        <w:spacing w:before="13"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(e)Holdings, any Intermediate Parent, the Borrower or any of the Restricted Subsidiaries shall fail to observe or perform any covenant, condition or agreement contained in any First Lien Loan Document (other than those specified in paragraph (a), (b) or (d) of this Section 7.01), and such failure shall continue unremedied for a period of thirty (30) days after written notice thereof from the First Lien Administrative Agent to the Borrower;</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(f)Holdings, any Intermediate Parent, the Borrower or any of the Restricted Subsidiaries shall fail to make any payment (whether of principal or interest and regardless of amount) in respect of any Material Indebtedness, when and as the same shall become due and payable (after giving effect to any applicable grace period);</w:t>
      </w:r>
    </w:p>
    <w:p>
      <w:pPr>
        <w:pStyle w:val="TextBody"/>
        <w:bidi w:val="0"/>
        <w:spacing w:before="0" w:after="0"/>
        <w:ind w:left="0" w:right="0" w:firstLine="720"/>
        <w:jc w:val="both"/>
        <w:rPr/>
      </w:pPr>
      <w:r>
        <w:rPr/>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 xml:space="preserve">(g)any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(ii) termination events or similar events occurring under any Swap Agreement that constitutes Material Indebtedness (it being understood that paragraph (f) of this Section 7.01 will apply to any failure to make any payment required as a result of any such termination or similar event);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u w:val="single"/>
        </w:rPr>
        <w:t>further</w:t>
      </w:r>
      <w:r>
        <w:rPr>
          <w:color w:val="000000"/>
        </w:rPr>
        <w:t xml:space="preserve"> </w:t>
      </w:r>
      <w:r>
        <w:rPr>
          <w:rFonts w:ascii="Times New Roman;sans-serif" w:hAnsi="Times New Roman;sans-serif"/>
          <w:b w:val="false"/>
          <w:color w:val="000000"/>
          <w:sz w:val="20"/>
        </w:rPr>
        <w:t>that a default under any financial covenant in such Material Indebtedness shall not constitute an Event of Default unless and until 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w:t>
      </w:r>
    </w:p>
    <w:p>
      <w:pPr>
        <w:pStyle w:val="TextBody"/>
        <w:bidi w:val="0"/>
        <w:spacing w:before="17"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(i)Holdings, the Borrower or any Material Subsidiary shall (i) voluntarily commence any proceeding or file any petition seeking liquidation, court protection, reorganization or other relief under any Federal, state or foreign bankruptcy, insolvency, receivership or similar law, now or hereafter in effect,</w:t>
      </w:r>
    </w:p>
    <w:p>
      <w:pPr>
        <w:pStyle w:val="TextBody"/>
        <w:bidi w:val="0"/>
        <w:spacing w:lineRule="auto" w:line="288"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(ii) consent to the institution of, or fail to contest in a timely and appropriate manner, any proceeding or petition described in paragraph (h) of this Section 7.01,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 (v) make a general assignment for the benefit of creditors;</w:t>
      </w:r>
    </w:p>
    <w:p>
      <w:pPr>
        <w:pStyle w:val="TextBody"/>
        <w:bidi w:val="0"/>
        <w:spacing w:before="12" w:after="283"/>
        <w:jc w:val="left"/>
        <w:rPr/>
      </w:pPr>
      <w:r>
        <w:rPr/>
      </w:r>
    </w:p>
    <w:p>
      <w:pPr>
        <w:pStyle w:val="TextBody"/>
        <w:bidi w:val="0"/>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(j)one or more enforceable judgments for the payment of money in an aggregate amount in excess of the greater of (A) $162,600,000 and (B) 30% of Consolidated EBITDA for the most recently ended Test Period as of such time (to the extent not covered by insurance as to which the insurer has been notified of such judgment or order and has not denied coverage) shall be rendered against Holdings, any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51155"/>
                <wp:effectExtent l="0" t="0" r="0" b="0"/>
                <wp:wrapNone/>
                <wp:docPr id="233" name="Frame2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Intermediate Parent, the Borrower and any of its Restricted Subsidiaries that is a Material Subsidiary or any combination thereof that, taken together, would constitute a Material Subsidiary and such judgment shall not have been effectively satisfied, vacated, discharged, stayed or bonded pending an appeal for a period of 60 consecutive days;</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(k)an ERISA Event occurs that has resulted or would reasonably be expected to result in a Material Adverse Effect;</w:t>
      </w:r>
    </w:p>
    <w:p>
      <w:pPr>
        <w:pStyle w:val="TextBody"/>
        <w:bidi w:val="0"/>
        <w:spacing w:before="11"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(l)any Lien purported to be created under any Security Document shall cease to be, or shall be asserted in writing by any Loan Party not to be, a valid and perfected Lien on any material portion of the Collateral, with the priority required by the applicable Security Documents, except (i) as a result of the sale or other disposition of the applicable Collateral to a Person that is not a Loan Party in a transaction permitted under the First Lien Loan Documents, (ii) as a result of (A) the First Lien Administrative Agent’s no longer having possession of any stock certificates, promissory notes or other instruments delivered to it under the Security Documents or (B) Uniform Commercial Code amendment or continuation financing statements not being timely filed or (iii) as to Collateral consisting of Material Real Property to the extent that such losses are covered by a lender’s title insurance policy and such insurer has not denied coverage or (iv) as a result of acts or omissions in the exclusive control of the First Lien Administrative Agent or any Lender;</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(m)any material provision of any First Lien Loan Document or any Guarantee of the First Lien Loan Document Obligations shall for any reason be asserted in writing by any Loan Party not to be a legal, valid and binding obligation of any Loan Party thereto other than as expressly permitted hereunder or thereunder;</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(n)any Guarantees of the First Lien Loan Document Obligations by any Loan Party pursuant to the First Lien Guarantee Agreement shall cease to be in full force and effect (in each case, other than in accordance with the terms of the First Lien Loan Documents); or</w:t>
      </w:r>
    </w:p>
    <w:p>
      <w:pPr>
        <w:pStyle w:val="TextBody"/>
        <w:bidi w:val="0"/>
        <w:spacing w:before="11" w:after="283"/>
        <w:jc w:val="left"/>
        <w:rPr/>
      </w:pPr>
      <w:r>
        <w:rPr/>
      </w:r>
    </w:p>
    <w:p>
      <w:pPr>
        <w:pStyle w:val="TextBody"/>
        <w:bidi w:val="0"/>
        <w:spacing w:lineRule="auto" w:line="288" w:before="0" w:after="0"/>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(o)a Change of Control shall occur;</w:t>
      </w:r>
    </w:p>
    <w:p>
      <w:pPr>
        <w:pStyle w:val="TextBody"/>
        <w:bidi w:val="0"/>
        <w:spacing w:before="11"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then, and in every such event, and at any time thereafter during the continuance of such event, the First Lien Administrative Agent may, and at the request of the Required Lenders (or, in the case of an Event of Default under Section 7.01(d)(ii) after giving effect to the proviso, the Required Revolving Lenders (with respect to the Revolving Commitments and the Revolving Loans)) shall, by notice to the Borrower,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(iii) demand the Borrower deposit cash collateral with the First Lien Administrative Agent as contemplated by Section 2.05(j) in the aggregate LC Exposure Amount of all outstanding Letters of Credit and thereupon the principal of the Loans and the LC Exposure of all Letters of Credit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Holdings or the Borrower described in paragraph (h) or (i) of this Section 7.01,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pStyle w:val="TextBody"/>
        <w:bidi w:val="0"/>
        <w:spacing w:before="17"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7.02    </w:t>
      </w:r>
      <w:r>
        <w:rPr>
          <w:rFonts w:ascii="Times New Roman;sans-serif" w:hAnsi="Times New Roman;sans-serif"/>
          <w:b w:val="false"/>
          <w:color w:val="000000"/>
          <w:sz w:val="20"/>
          <w:u w:val="single"/>
        </w:rPr>
        <w:t>Right to Cure</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(a)Notwithstanding anything to the contrary contained in Section 7.01, in the event that the Borrower and its Restricted Subsidiaries fail to comply with the requirements of the Financial Performance Covenant (if applicable) as of the last day of any applicable fiscal quarter of the Borrower, at any time after the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51155"/>
                <wp:effectExtent l="0" t="0" r="0" b="0"/>
                <wp:wrapNone/>
                <wp:docPr id="234" name="Frame2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beginning of such fiscal quarter until the expiration of the tenth (10th) Business Day subsequent to the date on which the financial statements with respect to such fiscal quarter (or the fiscal year ended on the last day of such fiscal quarter) are required to be delivered pursuant to Section 5.01(a) or (b), as applicable, Holdings shall have the right to issue Qualified Equity Interests for cash or otherwise receive cash contributions to the capital of Holdings as cash common equity or other Qualified Equity Interests (which Holdings shall contribute through its subsidiaries as cash common equity or other Qualified Equity Interests) (collectively, the “</w:t>
      </w:r>
      <w:r>
        <w:rPr>
          <w:rFonts w:ascii="Times New Roman;sans-serif" w:hAnsi="Times New Roman;sans-serif"/>
          <w:b w:val="false"/>
          <w:color w:val="000000"/>
          <w:sz w:val="20"/>
          <w:u w:val="single"/>
        </w:rPr>
        <w:t>Cure Right</w:t>
      </w:r>
      <w:r>
        <w:rPr>
          <w:color w:val="000000"/>
        </w:rPr>
        <w:t>”</w:t>
      </w:r>
      <w:r>
        <w:rPr>
          <w:rFonts w:ascii="Times New Roman;sans-serif" w:hAnsi="Times New Roman;sans-serif"/>
          <w:b w:val="false"/>
          <w:color w:val="000000"/>
          <w:sz w:val="20"/>
        </w:rPr>
        <w:t>), and upon the receipt by the Borrower of the Net Proceeds of such issuance (the “</w:t>
      </w:r>
      <w:r>
        <w:rPr>
          <w:rFonts w:ascii="Times New Roman;sans-serif" w:hAnsi="Times New Roman;sans-serif"/>
          <w:b w:val="false"/>
          <w:color w:val="000000"/>
          <w:sz w:val="20"/>
          <w:u w:val="single"/>
        </w:rPr>
        <w:t>Cure Amount</w:t>
      </w:r>
      <w:r>
        <w:rPr>
          <w:color w:val="000000"/>
        </w:rPr>
        <w:t>”</w:t>
      </w:r>
      <w:r>
        <w:rPr>
          <w:rFonts w:ascii="Times New Roman;sans-serif" w:hAnsi="Times New Roman;sans-serif"/>
          <w:b w:val="false"/>
          <w:color w:val="000000"/>
          <w:sz w:val="20"/>
        </w:rPr>
        <w:t>) pursuant to the exercise by Holdings of such Cure Right the Financial Performance Covenant shall be recalculated giving effect to one of the following pro forma adjustments:</w:t>
      </w:r>
    </w:p>
    <w:p>
      <w:pPr>
        <w:pStyle w:val="TextBody"/>
        <w:bidi w:val="0"/>
        <w:spacing w:before="15" w:after="283"/>
        <w:jc w:val="left"/>
        <w:rPr/>
      </w:pPr>
      <w:r>
        <w:rPr/>
      </w:r>
    </w:p>
    <w:p>
      <w:pPr>
        <w:pStyle w:val="TextBody"/>
        <w:bidi w:val="0"/>
        <w:spacing w:lineRule="auto" w:line="288" w:before="60" w:after="283"/>
        <w:ind w:left="0" w:right="0" w:firstLine="818"/>
        <w:jc w:val="both"/>
        <w:rPr>
          <w:rFonts w:ascii="Times New Roman;sans-serif" w:hAnsi="Times New Roman;sans-serif"/>
          <w:b w:val="false"/>
          <w:color w:val="000000"/>
          <w:sz w:val="20"/>
        </w:rPr>
      </w:pPr>
      <w:r>
        <w:rPr>
          <w:rFonts w:ascii="Times New Roman;sans-serif" w:hAnsi="Times New Roman;sans-serif"/>
          <w:b w:val="false"/>
          <w:color w:val="000000"/>
          <w:sz w:val="20"/>
        </w:rPr>
        <w:t>(i)Consolidated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or</w:t>
      </w:r>
    </w:p>
    <w:p>
      <w:pPr>
        <w:pStyle w:val="TextBody"/>
        <w:bidi w:val="0"/>
        <w:spacing w:before="11" w:after="283"/>
        <w:jc w:val="left"/>
        <w:rPr/>
      </w:pPr>
      <w:r>
        <w:rPr/>
      </w:r>
    </w:p>
    <w:p>
      <w:pPr>
        <w:pStyle w:val="TextBody"/>
        <w:bidi w:val="0"/>
        <w:spacing w:lineRule="auto" w:line="288" w:before="0" w:after="0"/>
        <w:ind w:left="0" w:right="0" w:firstLine="763"/>
        <w:jc w:val="both"/>
        <w:rPr>
          <w:rFonts w:ascii="Times New Roman;sans-serif" w:hAnsi="Times New Roman;sans-serif"/>
          <w:b w:val="false"/>
          <w:color w:val="000000"/>
          <w:sz w:val="20"/>
        </w:rPr>
      </w:pPr>
      <w:r>
        <w:rPr>
          <w:rFonts w:ascii="Times New Roman;sans-serif" w:hAnsi="Times New Roman;sans-serif"/>
          <w:b w:val="false"/>
          <w:color w:val="000000"/>
          <w:sz w:val="20"/>
        </w:rPr>
        <w:t>(ii)if,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contained in the Financial Performance Covenant or the Financial Performance Covenant is not applicable for such fiscal quarter, the Borrower and the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w:t>
      </w:r>
    </w:p>
    <w:p>
      <w:pPr>
        <w:pStyle w:val="TextBody"/>
        <w:bidi w:val="0"/>
        <w:spacing w:before="14" w:after="283"/>
        <w:jc w:val="left"/>
        <w:rPr/>
      </w:pPr>
      <w:r>
        <w:rPr/>
      </w:r>
    </w:p>
    <w:p>
      <w:pPr>
        <w:pStyle w:val="TextBody"/>
        <w:bidi w:val="0"/>
        <w:spacing w:lineRule="auto" w:line="288" w:before="0" w:after="0"/>
        <w:jc w:val="both"/>
        <w:rPr/>
      </w:pP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Borrower shall have notified the First Lien Administrative Agent of the exercise of such Cure Right within five (5) Business Days of the issuance of the relevant Qualified Equity Interests for cash or the receipt of the cash contributions by Holdings.</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(b)Notwithstanding anything herein to the contrary, (i) in each four consecutive fiscal quarter period of the Borrower there shall be at least one (1) fiscal quarter in which the Cure Right is not exercised,</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(ii) during the term of this Agreement, the Cure Right shall not be exercised more than five (5) times and (iii) for purposes of this Section 7.02, the Cure Amount shall be no greater than the amount required for purposes of complying with the Financial Performance Covenant and any amounts in excess thereof shall not be deemed to be a Cure Amount. Notwithstanding any other provision in this Agreement to the contrary, the Cure Amount received pursuant to any exercise of the Cure Right shall be disregarded for purposes of determining any available basket under Article VI of this Agreement. For the avoidance of doubt, no Cure Amounts shall be applied to reduce the Indebtedness of the Borrower and its Restricted Subsidiaries on a Pro Forma Basis for purposes of determining compliance with the Financial Performance Covenants for the fiscal quarter in which such Cure Right was made and there shall not have been a breach of any covenant under Article VI of this Agreement by reason of having no longer included such Cure Amount in any basket during the relevant period.</w:t>
      </w:r>
    </w:p>
    <w:p>
      <w:pPr>
        <w:pStyle w:val="TextBody"/>
        <w:bidi w:val="0"/>
        <w:spacing w:before="14"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SECTION 7.03 </w:t>
      </w:r>
      <w:r>
        <w:rPr>
          <w:rFonts w:ascii="Times New Roman;sans-serif" w:hAnsi="Times New Roman;sans-serif"/>
          <w:b w:val="false"/>
          <w:color w:val="000000"/>
          <w:sz w:val="20"/>
          <w:u w:val="single"/>
        </w:rPr>
        <w:t>Application of Proceeds</w:t>
      </w:r>
      <w:r>
        <w:rPr>
          <w:rFonts w:ascii="Times New Roman;sans-serif" w:hAnsi="Times New Roman;sans-serif"/>
          <w:b w:val="false"/>
          <w:color w:val="000000"/>
          <w:sz w:val="20"/>
        </w:rPr>
        <w:t>. Subject to the terms of any applicable Intercreditor Agreement, the First Lien Collateral Agent shall apply the proceeds of any collection or sale of Collateral, including any Collateral consisting of cash, as follows:</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FIRST, to the payment of all costs and expenses incurred by the First Lien Collateral Agent in connection with such collection or sale or otherwise in connection with this Agreement, any other First Lien Loan Document or any of the Secured Obligations, including all court costs and the fees and expenses of its agents and legal counsel, the repayment of all advances made by the First Lien Collateral Agent hereunder or under any other First Lien Loan Document on behalf of any Loan Party and any other costs or expenses incurred in connection with the exercise of any right or remedy hereunder or under any other First Lien Loan Document;</w:t>
      </w:r>
    </w:p>
    <w:p>
      <w:pPr>
        <w:pStyle w:val="TextBody"/>
        <w:bidi w:val="0"/>
        <w:spacing w:before="13"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51155"/>
                <wp:effectExtent l="0" t="0" r="0" b="0"/>
                <wp:wrapNone/>
                <wp:docPr id="235" name="Frame2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SECOND, to the payment in full of the Secured Obligations (the amounts so applied to be distributed among the Secured Parties pro rata in accordance with the amounts of the Secured Obligations owed to them on the date of any such distribution);</w:t>
      </w:r>
    </w:p>
    <w:p>
      <w:pPr>
        <w:pStyle w:val="TextBody"/>
        <w:bidi w:val="0"/>
        <w:spacing w:before="11"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THIRD, to any agent of any other junior secured debt, in accordance with any applicable intercreditor agreement; and</w:t>
      </w:r>
    </w:p>
    <w:p>
      <w:pPr>
        <w:pStyle w:val="TextBody"/>
        <w:bidi w:val="0"/>
        <w:spacing w:before="10"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FOURTH, to the Loan Parties, their successors or assigns, or as a court of competent jurisdiction may otherwise direct.</w:t>
      </w:r>
    </w:p>
    <w:p>
      <w:pPr>
        <w:pStyle w:val="TextBody"/>
        <w:bidi w:val="0"/>
        <w:spacing w:before="1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First Lien Collateral Agent shall have absolute discretion as to the time of application of any such proceeds, moneys or balances in accordance with this Agreement. Upon any sale of Collateral by the First Lien Collateral Agent (including pursuant to a power of sale granted by statute or under a judicial proceeding), the receipt of the First Lien Collateral Agent or of the officer making the sale shall be a sufficient discharge to the purchaser or purchasers of the Collateral so sold and such purchaser or purchasers shall not be obligated to see to the application of any part of the purchase money paid over to the First Lien Collateral Agent or such officer or be answerable in any way for the misapplication thereof. The First Lien Collateral Agent shall have no liability to any of the Secured Parties for actions taken in reliance on information supplied to it as to the amounts of unpaid principal and interest and other amounts outstanding with respect to the Secured Obligations. Notwithstanding the foregoing, Excluded Swap Obligations with respect to any Subsidiary Loan Party shall not be paid with amounts received from such Subsidiary Loan Party or its assets, but appropriate adjustments shall be made with respect to payments from other Loan Parties to preserve the allocation to Secured Obligations otherwise set forth above.</w:t>
      </w:r>
    </w:p>
    <w:p>
      <w:pPr>
        <w:pStyle w:val="TextBody"/>
        <w:bidi w:val="0"/>
        <w:spacing w:before="14" w:after="283"/>
        <w:jc w:val="left"/>
        <w:rPr/>
      </w:pPr>
      <w:r>
        <w:rPr/>
      </w:r>
    </w:p>
    <w:p>
      <w:pPr>
        <w:pStyle w:val="TextBody"/>
        <w:bidi w:val="0"/>
        <w:spacing w:lineRule="auto" w:line="556" w:before="0" w:after="0"/>
        <w:ind w:left="0" w:right="0" w:hanging="2"/>
        <w:jc w:val="center"/>
        <w:rPr/>
      </w:pPr>
      <w:r>
        <w:rPr>
          <w:rFonts w:ascii="Times New Roman;sans-serif" w:hAnsi="Times New Roman;sans-serif"/>
          <w:b w:val="false"/>
          <w:color w:val="000000"/>
          <w:sz w:val="20"/>
        </w:rPr>
        <w:t xml:space="preserve">ARTICLE VIII </w:t>
      </w:r>
      <w:r>
        <w:rPr>
          <w:rFonts w:ascii="Times New Roman;sans-serif" w:hAnsi="Times New Roman;sans-serif"/>
          <w:b w:val="false"/>
          <w:color w:val="000000"/>
          <w:sz w:val="20"/>
          <w:u w:val="single"/>
        </w:rPr>
        <w:t>ADMINISTRATIVE AGENT</w:t>
      </w:r>
    </w:p>
    <w:p>
      <w:pPr>
        <w:pStyle w:val="TextBody"/>
        <w:bidi w:val="0"/>
        <w:spacing w:lineRule="auto" w:line="288" w:before="12" w:after="283"/>
        <w:jc w:val="left"/>
        <w:rPr/>
      </w:pPr>
      <w:r>
        <w:rPr>
          <w:rFonts w:ascii="Times New Roman;sans-serif" w:hAnsi="Times New Roman;sans-serif"/>
          <w:b w:val="false"/>
          <w:color w:val="000000"/>
          <w:sz w:val="20"/>
        </w:rPr>
        <w:t>SECTION 8.01    </w:t>
      </w:r>
      <w:r>
        <w:rPr>
          <w:rFonts w:ascii="Times New Roman;sans-serif" w:hAnsi="Times New Roman;sans-serif"/>
          <w:b w:val="false"/>
          <w:color w:val="000000"/>
          <w:sz w:val="20"/>
          <w:u w:val="single"/>
        </w:rPr>
        <w:t>Appointment and Authority</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(a)Each of the Lenders and the Issuing Bank hereby irrevocably appoints JPMorgan to act on its behalf as the First Lien Administrative Agent and First Lien Collateral Agent hereunder and under the other First Lien Loan Documents and authorizes the First Lien Administrative Agent to take such actions on its behalf and to exercise such powers as are delegated to the First Lien Administrative Agent and First Lien Collateral Agent by the terms hereof or thereof, together with such actions and powers as are reasonably incidental thereto. The provisions of this Article are solely for the benefit of the First Lien Administrative Agent and the First Lien Collateral Agent, the Lenders and the Issuing Bank, and the Borrower shall not have rights as a third party beneficiary of any of such provisions.</w:t>
      </w:r>
    </w:p>
    <w:p>
      <w:pPr>
        <w:pStyle w:val="TextBody"/>
        <w:bidi w:val="0"/>
        <w:spacing w:before="13"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(b)The First Lien Administrative Agent shall also act as the “First Lien Collateral Agent” under the First Lien Loan Documents, and each of the Lenders and the Issuing Bank hereby irrevocably appoints and authorizes the First Lien Collateral Agent to act as the agent of such Lender and the Issuing Bank for purposes of acquiring, holding and enforcing any and all Liens on Collateral granted by any of the Loan Parties to secure any of the Secured Obligations, together with such powers and discretion as are reasonably incidental thereto. In this connection, the First Lien Collateral Agent and any co-agents, sub-agents and attorneys-in-fact appointed by the First Lien Administrative Agent and First Lien Collateral Agent pursuant to Section 8.05 for purposes of holding or enforcing any Lien on the Collateral (or any portion thereof) granted under the Security Documents, or for exercising any rights and remedies thereunder at the direction of the First Lien Administrative Agent, shall be entitled to the benefits of all provisions of this Article VIII and Article IX (including Section 9.03 as though such co-agents, sub-agents and attorneys-in-fact were the “collateral agent” under the First Lien Loan Documents) as if set forth in full herein with respect thereto.</w:t>
      </w:r>
    </w:p>
    <w:p>
      <w:pPr>
        <w:pStyle w:val="TextBody"/>
        <w:bidi w:val="0"/>
        <w:spacing w:before="15" w:after="283"/>
        <w:jc w:val="left"/>
        <w:rPr/>
      </w:pPr>
      <w:r>
        <w:rPr/>
      </w:r>
    </w:p>
    <w:p>
      <w:pPr>
        <w:pStyle w:val="TextBody"/>
        <w:bidi w:val="0"/>
        <w:spacing w:lineRule="auto" w:line="288" w:before="1" w:after="283"/>
        <w:jc w:val="left"/>
        <w:rPr/>
      </w:pPr>
      <w:r>
        <w:rPr>
          <w:rFonts w:ascii="Times New Roman;sans-serif" w:hAnsi="Times New Roman;sans-serif"/>
          <w:b w:val="false"/>
          <w:color w:val="000000"/>
          <w:sz w:val="20"/>
        </w:rPr>
        <w:t>SECTION 8.02    </w:t>
      </w:r>
      <w:r>
        <w:rPr>
          <w:rFonts w:ascii="Times New Roman;sans-serif" w:hAnsi="Times New Roman;sans-serif"/>
          <w:b w:val="false"/>
          <w:color w:val="000000"/>
          <w:sz w:val="20"/>
          <w:u w:val="single"/>
        </w:rPr>
        <w:t>Rights as a Lender</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51155"/>
                <wp:effectExtent l="0" t="0" r="0" b="0"/>
                <wp:wrapNone/>
                <wp:docPr id="236" name="Frame2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The Person serving as the First Lien Administrative Agent hereunder shall have the same rights and powers in its capacity as a Lender as any other Lender and may exercise the same as though it were not the First Lien Administrative Agent and the term “Lender” or “Lenders” shall, unless otherwise expressly indicated or unless the context otherwise requires, include the Person serving as the First Lien Administrative Agent hereunder in its individual capacity. Such Person and its Affiliates may accept deposits from, own securities of, lend money to, act as the financial advisor or in any other advisory capacity for and generally engage in any kind of business with the Borrower or any Subsidiary or other Affiliate of the Borrower as if such Person were not the First Lien Administrative Agent hereunder and without any duty to account therefor to the Lenders.</w:t>
      </w:r>
    </w:p>
    <w:p>
      <w:pPr>
        <w:pStyle w:val="TextBody"/>
        <w:bidi w:val="0"/>
        <w:spacing w:before="60" w:after="283"/>
        <w:jc w:val="left"/>
        <w:rPr/>
      </w:pPr>
      <w:r>
        <w:rPr/>
      </w:r>
    </w:p>
    <w:p>
      <w:pPr>
        <w:pStyle w:val="TextBody"/>
        <w:bidi w:val="0"/>
        <w:spacing w:lineRule="auto" w:line="288" w:before="60" w:after="283"/>
        <w:jc w:val="left"/>
        <w:rPr/>
      </w:pPr>
      <w:r>
        <w:rPr>
          <w:rFonts w:ascii="Times New Roman;sans-serif" w:hAnsi="Times New Roman;sans-serif"/>
          <w:b w:val="false"/>
          <w:color w:val="000000"/>
          <w:sz w:val="20"/>
        </w:rPr>
        <w:t>SECTION 8.03    </w:t>
      </w:r>
      <w:r>
        <w:rPr>
          <w:rFonts w:ascii="Times New Roman;sans-serif" w:hAnsi="Times New Roman;sans-serif"/>
          <w:b w:val="false"/>
          <w:color w:val="000000"/>
          <w:sz w:val="20"/>
          <w:u w:val="single"/>
        </w:rPr>
        <w:t>Exculpatory Provisions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The First Lien Administrative Agent shall not have any duties or obligations except those expressly set forth herein and in the other First Lien Loan Documents. Without limiting the generality of the foregoing, the First Lien Administrative Agent:</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(a)shall not be subject to any fiduciary or other implied duties, regardless of whether a Default has occurred and is continuing;</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(b)shall not have any duty to take any discretionary action or exercise any discretionary powers, except discretionary rights and powers expressly contemplated hereby or by the other First Lien Loan Documents that the First Lien Administrative Agent is required to exercise as directed in writing by the Required Lenders (or such other number or percentage of the Lenders as shall be expressly provided for herein or in the other First Lien Loan Documents);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First Lien Administrative Agent shall not be required to take any action that, in its opinion or the opinion of its counsel, may expose the First Lien Administrative Agent to liability or that is contrary to any First Lien Loan Document or applicable law;</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(c)shall not, except as expressly set forth herein and in the other First Lien Loan Documents, have any duty to disclose, and shall not be liable for the failure to disclose, any information relating to the Borrower or any of their Affiliates that is communicated to or obtained by the Person serving as the First Lien Administrative Agent or any of its Affiliates in any capacity;</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(d)shall not be liable for any action taken or not taken by it (i) with the consent or at the request of the Required Lenders (or such other number or percentage of the Lenders as shall be necessary, or as the First Lien Administrative Agent shall believe in good faith shall be necessary, under the circumstances as provided in Section 9.02 and in the last paragraph of Section 7.01) or (ii) in the absence of its own gross negligence, bad faith or willful misconduct as determined by a court of competent jurisdiction by final and non-appealable judgment;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First Lien Administrative Agent shall be deemed not to have knowledge of any Default unless and until written notice describing such Default is given to the First Lien Administrative Agent by the Borrower, a Lender or the Issuing Bank; and</w:t>
      </w:r>
    </w:p>
    <w:p>
      <w:pPr>
        <w:pStyle w:val="TextBody"/>
        <w:bidi w:val="0"/>
        <w:spacing w:before="14"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(e)shall not be responsible for or have any duty to ascertain or inquire into (i) any statement, warranty or representation made in or in connection with this Agreement or any other First Lien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First Lien Loan Document or any other agreement, instrument or document, or the creation, perfection or priority of any Lien purported to be created by the Security Documents, (v) the value or the sufficiency of any Collateral, or (vi) the satisfaction of any condition set forth in Article IV or elsewhere herein, other than to confirm receipt of items expressly required to be delivered to the First Lien Administrative Agent.</w:t>
      </w:r>
    </w:p>
    <w:p>
      <w:pPr>
        <w:pStyle w:val="TextBody"/>
        <w:bidi w:val="0"/>
        <w:spacing w:before="14"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8.04    </w:t>
      </w:r>
      <w:r>
        <w:rPr>
          <w:rFonts w:ascii="Times New Roman;sans-serif" w:hAnsi="Times New Roman;sans-serif"/>
          <w:b w:val="false"/>
          <w:color w:val="000000"/>
          <w:sz w:val="20"/>
          <w:u w:val="single"/>
        </w:rPr>
        <w:t>Reliance by First Lien Administrative Agent</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51155"/>
                <wp:effectExtent l="0" t="0" r="0" b="0"/>
                <wp:wrapNone/>
                <wp:docPr id="237" name="Frame2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The First Lien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First Lien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First Lien Administrative Agent may presume that such condition is satisfactory to such Lender or the Issuing Bank unless the First Lien Administrative Agent shall have received notice to the contrary from such Lender or the Issuing Bank prior to the making of such Loan or the issuance of such Letter of Credit. The First Lien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8.05    </w:t>
      </w:r>
      <w:r>
        <w:rPr>
          <w:rFonts w:ascii="Times New Roman;sans-serif" w:hAnsi="Times New Roman;sans-serif"/>
          <w:b w:val="false"/>
          <w:color w:val="000000"/>
          <w:sz w:val="20"/>
          <w:u w:val="single"/>
        </w:rPr>
        <w:t>Delegation of Duties</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The First Lien Administrative Agent may perform any and all of its duties and exercise its rights and powers hereunder or under any other First Lien Loan Document by or through any one or more sub-agents (which may include such of the First Lien Administrative Agent’s affiliates or branches as it deems appropriate) appointed by the First Lien Administrative Agent. The First Lien Administrative Agent and any such sub-agent may perform any and all of its duties and exercise its rights and powers by or through their respective Related Parties. The exculpatory provisions of this Article VIII shall apply to any such sub-agent and to the Related Parties of the First Lien Administrative Agent and any such sub-agent, and shall apply to their respective activities in connection with the syndication of the credit facilities provided for herein as well as activities as First Lien Administrative Agent.</w:t>
      </w:r>
    </w:p>
    <w:p>
      <w:pPr>
        <w:pStyle w:val="TextBody"/>
        <w:bidi w:val="0"/>
        <w:spacing w:before="14"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8.06    </w:t>
      </w:r>
      <w:r>
        <w:rPr>
          <w:rFonts w:ascii="Times New Roman;sans-serif" w:hAnsi="Times New Roman;sans-serif"/>
          <w:b w:val="false"/>
          <w:color w:val="000000"/>
          <w:sz w:val="20"/>
          <w:u w:val="single"/>
        </w:rPr>
        <w:t>Resignation of First Lien Administrative Agent</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Subject to the appointment and acceptance of a successor First Lien Administrative Agent as provided in this paragraph, the First Lien Administrative Agent may resign upon thirty (30) days’ notice to the Lenders, the Issuing Banks and the Borrower. Upon receipt of any such notice of resignation, the Required Lenders shall have the right, with the Borrower’s consent (such consent not to be unreasonably withheld or delayed) unless a Specified 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First Lien Administrative Agent gives notice of its resignation, then such resignation shall nevertheless be effective and the retiring First Lien Administrative Agent may (but shall not be obligated to) on behalf of the Lenders and the Issuing Banks, appoint a successor First Lien Administrative Agent, which shall be an Approved Bank with an office in New York, New York, or an Affiliate of any such Approved Bank (the date upon which the retiring First Lien Administrative Agent is replaced, the “</w:t>
      </w:r>
      <w:r>
        <w:rPr>
          <w:rFonts w:ascii="Times New Roman;sans-serif" w:hAnsi="Times New Roman;sans-serif"/>
          <w:b w:val="false"/>
          <w:color w:val="000000"/>
          <w:sz w:val="20"/>
          <w:u w:val="single"/>
        </w:rPr>
        <w:t>Resignation Effective Date</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the First Lien Administrative Agent shall notify the Borrower and the Lenders that no qualifying Person accepted such appointment, then such resignation shall nonetheless become effective in accordance with such notice.</w:t>
      </w:r>
    </w:p>
    <w:p>
      <w:pPr>
        <w:pStyle w:val="TextBody"/>
        <w:bidi w:val="0"/>
        <w:spacing w:before="16"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If the Person serving as First Lien Administrative Agent is a Defaulting Lender, the Required Lenders and Holdings may, to the extent permitted by applicable law, by notice in writing to such Person remove such Person as First Lien Administrative Agent and, with the consent of the Borrower, appoint a successor. If no such successor shall have been so appointed by the Required Lenders and shall have accepted such appointment within thirty (30) days (the “</w:t>
      </w:r>
      <w:r>
        <w:rPr>
          <w:rFonts w:ascii="Times New Roman;sans-serif" w:hAnsi="Times New Roman;sans-serif"/>
          <w:b w:val="false"/>
          <w:color w:val="000000"/>
          <w:sz w:val="20"/>
          <w:u w:val="single"/>
        </w:rPr>
        <w:t>Removal Effective Date</w:t>
      </w:r>
      <w:r>
        <w:rPr>
          <w:color w:val="000000"/>
        </w:rPr>
        <w:t>”</w:t>
      </w:r>
      <w:r>
        <w:rPr>
          <w:rFonts w:ascii="Times New Roman;sans-serif" w:hAnsi="Times New Roman;sans-serif"/>
          <w:b w:val="false"/>
          <w:color w:val="000000"/>
          <w:sz w:val="20"/>
        </w:rPr>
        <w:t>), then such removal shall nonetheless become effective in accordance with such notice on the Removal Effective Date.</w:t>
      </w:r>
    </w:p>
    <w:p>
      <w:pPr>
        <w:pStyle w:val="TextBody"/>
        <w:bidi w:val="0"/>
        <w:spacing w:before="12"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effect from the Resignation Effective Date or the Removal Effective Date (as applicable) (1) the retiring or removed First Lien Administrative Agent shall be discharged from its duties and obligations hereunder and under the other First Lien Loan Documents (except (i) that in the case of any collateral security held by the First Lien Administrative Agent on behalf of the Lenders under any of the First Lien Loan Documents, the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51155"/>
                <wp:effectExtent l="0" t="0" r="0" b="0"/>
                <wp:wrapNone/>
                <wp:docPr id="238" name="Frame2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retiring or removed First Lien Administrative Agent shall continue to hold such collateral security until such time as a successor First Lien Administrative Agent is appointed and (ii) with respect to any outstanding payment obligations) and (2) except for any indemnity payments or other amounts then owed to the retiring or removed First Lien Administrative Agent, all payments, communications and determinations provided to be made by, to or through the First Lien Administrative Agent shall instead be made by or to each Lender directly, until such time, if any, as the Required Lenders appoint a successor First Lien Administrative Agent as provided for above. Upon the acceptance of a successor’s appointment as First Lien Administrative Agent hereunder, such successor shall succeed to and become vested with all of the rights, powers, privileges and duties of the retiring (or removed) First Lien Administrative Agent (other than any rights to indemnity payments or other amounts owed to the retiring or removed First Lien Administrative Agent as of the Resignation Effective Date or the Removal Effective Date, as applicable), and the retiring or removed First Lien Administrative Agent shall be discharged from all of its duties and obligations hereunder and under the other First Lien Loan Documents as set forth in this Section. The fees payable by the Borrower to a successor First Lien Administrative Agent shall be the same as those payable to its predecessor unless otherwise agreed between the Borrower and such successor. After the retiring or removed First Lien Administrative Agent’s resignation or removal hereunder and under the other First Lien Loan Documents, the provisions of this Article and Section 9.04 shall continue in effect for the benefit of such retiring or removed First Lien Administrative Agent, its sub-agents and their respective Related Parties in respect of any actions taken or omitted to be taken by any of them while the retiring or removed First Lien Administrative Agent was acting as First Lien Administrative Agent.</w:t>
      </w:r>
    </w:p>
    <w:p>
      <w:pPr>
        <w:pStyle w:val="TextBody"/>
        <w:bidi w:val="0"/>
        <w:spacing w:before="14"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8.07    </w:t>
      </w:r>
      <w:r>
        <w:rPr>
          <w:rFonts w:ascii="Times New Roman;sans-serif" w:hAnsi="Times New Roman;sans-serif"/>
          <w:b w:val="false"/>
          <w:color w:val="000000"/>
          <w:sz w:val="20"/>
          <w:u w:val="single"/>
        </w:rPr>
        <w:t>Non-Reliance on First Lien Administrative Agent and Other Lenders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Each Lender and the Issuing Bank acknowledges that it has, independently and without reliance upon the First Lien Administrative Agent or any other Lender or any of their Related Parties and based on such documents and information as it has deemed appropriate, made its own credit analysis and decision to enter into this Agreement. Each Lender and the Issuing Bank also acknowledges that it will, independently and without reliance upon the First Lien Administrative Agent or any other Lender or any of their Related Parties and based on such documents and information as it shall from time to time deem appropriate, continue to make its own decisions in taking or not taking action under or based upon this Agreement, any other First Lien Loan Document or any related agreement or any document furnished hereunder or thereunder.</w:t>
      </w:r>
    </w:p>
    <w:p>
      <w:pPr>
        <w:pStyle w:val="TextBody"/>
        <w:bidi w:val="0"/>
        <w:spacing w:before="14"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 First Lien Loan Document and each other document required to be delivered to, or be approved by or satisfactory to, the First Lien Administrative Agent or the Lenders on the Effective Date.</w:t>
      </w:r>
    </w:p>
    <w:p>
      <w:pPr>
        <w:pStyle w:val="TextBody"/>
        <w:bidi w:val="0"/>
        <w:spacing w:before="12"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No Lender shall have any right individually to realize upon any of the Collateral or to enforce any Guarantee of the Secured Obligations, it being understood and agreed that all powers, rights and remedies under the First Lien Loan Documents may be exercised solely by the First Lien Administrative Agent and First Lien Collateral Agent on behalf of the Lenders in accordance with the terms thereof. In the event of a foreclosure by the First Lien Administrative Agent or First Lien Collateral Agent on any of the Collateral pursuant to a public or private sale or other disposition, the First Lien Administrative Agent, the First Lien Collateral Agent or any Lender may be the purchaser or licensor of any or all of such Collateral at any such sale or other disposition, and the First Lien Administrative Agent or First Lien Collateral Agent, as agent for and representative of the Lenders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the First Lien Administrative Agent or First Lien Collateral Agent on behalf of the Lenders at such sale or other disposition. Each Lender, whether or not a party hereto, will be deemed, by its acceptance of the benefits of the Collateral and of the Guarantees of the Secured Obligations, to have agreed to the foregoing provisions.</w:t>
      </w:r>
    </w:p>
    <w:p>
      <w:pPr>
        <w:pStyle w:val="TextBody"/>
        <w:bidi w:val="0"/>
        <w:spacing w:before="16"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51155"/>
                <wp:effectExtent l="0" t="0" r="0" b="0"/>
                <wp:wrapNone/>
                <wp:docPr id="239" name="Frame2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left"/>
        <w:rPr/>
      </w:pPr>
      <w:r>
        <w:rPr>
          <w:rFonts w:ascii="Times New Roman;sans-serif" w:hAnsi="Times New Roman;sans-serif"/>
          <w:b w:val="false"/>
          <w:color w:val="000000"/>
          <w:sz w:val="20"/>
        </w:rPr>
        <w:t>SECTION 8.08    </w:t>
      </w:r>
      <w:r>
        <w:rPr>
          <w:rFonts w:ascii="Times New Roman;sans-serif" w:hAnsi="Times New Roman;sans-serif"/>
          <w:b w:val="false"/>
          <w:color w:val="000000"/>
          <w:sz w:val="20"/>
          <w:u w:val="single"/>
        </w:rPr>
        <w:t>No Other Duties, Etc.</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Anything herein to the contrary notwithstanding, neither any Joint Lead Arrangers nor any person named on the cover page hereof as a Joint Lead Arranger shall have any powers, duties or responsibilities under this Agreement or any of the other First Lien Loan Documents, except in its capacity, as applicable, as the First Lien Administrative Agent, a Lender or an Issuing Bank hereunder.</w:t>
      </w:r>
    </w:p>
    <w:p>
      <w:pPr>
        <w:pStyle w:val="TextBody"/>
        <w:bidi w:val="0"/>
        <w:spacing w:before="60" w:after="283"/>
        <w:jc w:val="left"/>
        <w:rPr/>
      </w:pPr>
      <w:r>
        <w:rPr/>
      </w:r>
    </w:p>
    <w:p>
      <w:pPr>
        <w:pStyle w:val="TextBody"/>
        <w:bidi w:val="0"/>
        <w:spacing w:lineRule="auto" w:line="288" w:before="60" w:after="283"/>
        <w:jc w:val="left"/>
        <w:rPr/>
      </w:pPr>
      <w:r>
        <w:rPr>
          <w:rFonts w:ascii="Times New Roman;sans-serif" w:hAnsi="Times New Roman;sans-serif"/>
          <w:b w:val="false"/>
          <w:color w:val="000000"/>
          <w:sz w:val="20"/>
        </w:rPr>
        <w:t>SECTION 8.09    </w:t>
      </w:r>
      <w:r>
        <w:rPr>
          <w:rFonts w:ascii="Times New Roman;sans-serif" w:hAnsi="Times New Roman;sans-serif"/>
          <w:b w:val="false"/>
          <w:color w:val="000000"/>
          <w:sz w:val="20"/>
          <w:u w:val="single"/>
        </w:rPr>
        <w:t>First Lien Administrative Agent May File Proofs of Claim</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In case of the pendency of any proceeding under any Debtor Relief Law or any other judicial proceeding relative to any Loan Party, the First Lien Administrative Agent (irrespective of whether the principal of any Loan or outstanding Letter of Credit shall then be due and payable as herein expressed or by declaration or otherwise and irrespective of whether the First Lien Administrative Agent shall have made any demand on the Borrower) shall be entitled and empowered, by intervention in such proceeding or otherwise:</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(a)to file and prove a claim for the whole amount of the principal and interest owing and unpaid in respect of the Loans, Letter of Credit outstandings and all other Secured Obligations that are owing and unpaid and to file such other documents as may be necessary or advisable in order to have the claims of the Lenders, the Issuing Bank and the First Lien Administrative Agent (including any claim for the reasonable compensation, expenses, disbursements and advances of the Lenders, the Issuing Bank and the First Lien Administrative Agent and their respective agents and counsel and all other amounts due the Lenders, the Issuing Bank and the First Lien Administrative Agent under Sections 2.12 and 9.03) allowed in such judicial proceeding; and</w:t>
      </w:r>
    </w:p>
    <w:p>
      <w:pPr>
        <w:pStyle w:val="TextBody"/>
        <w:bidi w:val="0"/>
        <w:spacing w:before="13"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(b)to collect and receive any monies or other property payable or deliverable on any such claims and to distribute the same;</w:t>
      </w:r>
    </w:p>
    <w:p>
      <w:pPr>
        <w:pStyle w:val="TextBody"/>
        <w:bidi w:val="0"/>
        <w:spacing w:before="11"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any custodian, receiver, assignee, trustee, liquidator, sequestrator or other similar official in any such judicial proceeding is hereby authorized by each Lender and the Issuing Bank to make such payments to the First Lien Administrative Agent and, if the First Lien Administrative Agent shall consent to the making of such payments directly to the Lenders and the Issuing Bank, to pay to the First Lien Administrative Agent any amount due for the reasonable compensation, expenses, disbursements and advances of the First Lien Administrative Agent and its agents and counsel, and any other amounts due the First Lien Administrative Agent under Sections 2.12 and 9.03.</w:t>
      </w:r>
    </w:p>
    <w:p>
      <w:pPr>
        <w:pStyle w:val="TextBody"/>
        <w:bidi w:val="0"/>
        <w:spacing w:before="12"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Nothing contained herein shall be deemed to authorize the First Lien Administrative Agent to authorize or consent to or accept or adopt on behalf of any Lender or the Issuing Bank any plan of reorganization, arrangement, adjustment or composition affecting the Secured Obligations or the rights of any Lender or the Issuing Bank to authorize the First Lien Administrative Agent to vote in respect of the claim of any Lender or the Issuing Bank or in any such proceeding.</w:t>
      </w:r>
    </w:p>
    <w:p>
      <w:pPr>
        <w:pStyle w:val="TextBody"/>
        <w:bidi w:val="0"/>
        <w:spacing w:before="11" w:after="283"/>
        <w:jc w:val="left"/>
        <w:rPr/>
      </w:pPr>
      <w:r>
        <w:rPr/>
      </w:r>
    </w:p>
    <w:p>
      <w:pPr>
        <w:pStyle w:val="TextBody"/>
        <w:bidi w:val="0"/>
        <w:spacing w:lineRule="auto" w:line="288" w:before="1" w:after="283"/>
        <w:jc w:val="left"/>
        <w:rPr/>
      </w:pPr>
      <w:r>
        <w:rPr>
          <w:rFonts w:ascii="Times New Roman;sans-serif" w:hAnsi="Times New Roman;sans-serif"/>
          <w:b w:val="false"/>
          <w:color w:val="000000"/>
          <w:sz w:val="20"/>
        </w:rPr>
        <w:t>SECTION 8.10    </w:t>
      </w:r>
      <w:r>
        <w:rPr>
          <w:rFonts w:ascii="Times New Roman;sans-serif" w:hAnsi="Times New Roman;sans-serif"/>
          <w:b w:val="false"/>
          <w:color w:val="000000"/>
          <w:sz w:val="20"/>
          <w:u w:val="single"/>
        </w:rPr>
        <w:t>No Waiver; Cumulative Remedies; Enforcement</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No failure by any Lender, any Issuing Bank or the First Lien Administrative Agent to exercise, and no delay by any such Person in exercising, any right, remedy, power or privilege hereunder or under any other First Lien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First Lien Loan Document, are cumulative and not exclusive of any rights, remedies, powers and privileges provided by law.</w:t>
      </w:r>
    </w:p>
    <w:p>
      <w:pPr>
        <w:pStyle w:val="TextBody"/>
        <w:bidi w:val="0"/>
        <w:spacing w:before="13"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anything to the contrary contained herein or in any other First Lien Loan Document, the authority to enforce rights and remedies hereunder and under the other First Lien Loan Documents against the Loan Parties or any of them shall be vested exclusively in, and all actions and proceedings at law in connection with such enforcement shall be instituted and maintained exclusively by, the First Lien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51155"/>
                <wp:effectExtent l="0" t="0" r="0" b="0"/>
                <wp:wrapNone/>
                <wp:docPr id="240" name="Frame2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 xml:space="preserve">Agent in accordance with Article VII for the benefit of all the Lenders and the Issuing Banks;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foregoing shall not prohibit (a) the First Lien Administrative Agent from exercising on its own behalf the rights and remedies that inure to its benefit (solely in its capacity as First Lien Administrative Agent) hereunder and under the other First Lien Loan Documents, (b) the Issuing Banks or the Swingline Lender from exercising the rights and remedies that inure to its benefit (solely in its capacity as Issuing Bank or Swingline Lender, as the case may be) hereunder and under the other First Lien Loan Documents, (c) any Lender from exercising setoff rights in accordance with Section 9.08 (subject to the terms of Section 2.18), or (d) any Lender from filing proofs of claim or appearing and filing pleadings on its own behalf during the pendency of a proceeding relative to any Loan Party under any Debtor Relief Law; and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that if at any time there is no Person acting as First Lien Administrative Agent hereunder and under the other First Lien Loan Documents, then (i) the Required Lenders shall have the rights otherwise ascribed to the First Lien Administrative Agent pursuant to Article VII and (ii) in addition to the matters set forth in clauses (b), (c) and (d) of the preceding proviso and subject to Section 2.18, any Lender may, with the consent of the Required Lenders, enforce any rights and remedies available to it and as authorized by the Required Lenders.</w:t>
      </w:r>
    </w:p>
    <w:p>
      <w:pPr>
        <w:pStyle w:val="TextBody"/>
        <w:bidi w:val="0"/>
        <w:spacing w:before="13"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8.11    </w:t>
      </w:r>
      <w:r>
        <w:rPr>
          <w:rFonts w:ascii="Times New Roman;sans-serif" w:hAnsi="Times New Roman;sans-serif"/>
          <w:b w:val="false"/>
          <w:color w:val="000000"/>
          <w:sz w:val="20"/>
          <w:u w:val="single"/>
        </w:rPr>
        <w:t xml:space="preserve">Certain ERISA Matters. </w:t>
      </w:r>
    </w:p>
    <w:p>
      <w:pPr>
        <w:pStyle w:val="TextBody"/>
        <w:bidi w:val="0"/>
        <w:spacing w:before="10" w:after="283"/>
        <w:jc w:val="left"/>
        <w:rPr/>
      </w:pPr>
      <w:r>
        <w:rPr/>
      </w:r>
    </w:p>
    <w:p>
      <w:pPr>
        <w:pStyle w:val="TextBody"/>
        <w:bidi w:val="0"/>
        <w:spacing w:lineRule="auto" w:line="288" w:before="1" w:after="283"/>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(a)Each Lender (x) represents and warrants, as of the date such Person became a Lender party hereto, to, and (y) covenants, from the date such Person became a Lender party hereto to the date such Person ceases being a Lender party hereto, for the benefit of, the First Lien Administrative Agent, and not, for the avoidance of doubt, to or for the benefit of the Borrower or any other Loan Party, that at least one of the following is and will be true:</w:t>
      </w:r>
    </w:p>
    <w:p>
      <w:pPr>
        <w:pStyle w:val="TextBody"/>
        <w:bidi w:val="0"/>
        <w:spacing w:lineRule="auto" w:line="288" w:before="198"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lineRule="auto" w:line="288" w:before="199"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88" w:before="20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4"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(iv)such other representation, warranty and covenant as may be agreed in writing between the First Lien Administrative Agent, in its sole discretion, and such Lender.</w:t>
      </w:r>
    </w:p>
    <w:p>
      <w:pPr>
        <w:pStyle w:val="TextBody"/>
        <w:bidi w:val="0"/>
        <w:spacing w:before="1" w:after="283"/>
        <w:jc w:val="left"/>
        <w:rPr/>
      </w:pPr>
      <w:r>
        <w:rPr/>
      </w:r>
    </w:p>
    <w:p>
      <w:pPr>
        <w:pStyle w:val="TextBody"/>
        <w:bidi w:val="0"/>
        <w:spacing w:lineRule="auto" w:line="288" w:before="60" w:after="283"/>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51155"/>
                <wp:effectExtent l="0" t="0" r="0" b="0"/>
                <wp:wrapNone/>
                <wp:docPr id="241" name="Frame2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the First Lien Administrative Agent, and not, for the avoidance of doubt, to or for the benefit of the Borrower or any other Loan Party, that the Administrative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First Lien Administrative Agent under this Agreement, any First Lien Loan Document or any documents related hereto or thereto).</w:t>
      </w:r>
    </w:p>
    <w:p>
      <w:pPr>
        <w:pStyle w:val="TextBody"/>
        <w:bidi w:val="0"/>
        <w:spacing w:before="10" w:after="283"/>
        <w:jc w:val="left"/>
        <w:rPr/>
      </w:pPr>
      <w:r>
        <w:rPr/>
      </w:r>
    </w:p>
    <w:p>
      <w:pPr>
        <w:pStyle w:val="TextBody"/>
        <w:bidi w:val="0"/>
        <w:spacing w:lineRule="auto" w:line="288"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ARTICLE IX</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MISCELLANEOUS</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9.01    </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w:t>
      </w:r>
    </w:p>
    <w:p>
      <w:pPr>
        <w:pStyle w:val="TextBody"/>
        <w:bidi w:val="0"/>
        <w:spacing w:before="12" w:after="283"/>
        <w:jc w:val="left"/>
        <w:rPr/>
      </w:pPr>
      <w:r>
        <w:rPr/>
      </w:r>
    </w:p>
    <w:p>
      <w:pPr>
        <w:pStyle w:val="TextBody"/>
        <w:bidi w:val="0"/>
        <w:spacing w:lineRule="auto" w:line="288" w:before="0" w:after="0"/>
        <w:ind w:left="0" w:right="0" w:firstLine="818"/>
        <w:jc w:val="both"/>
        <w:rPr>
          <w:rFonts w:ascii="Times New Roman;sans-serif" w:hAnsi="Times New Roman;sans-serif"/>
          <w:b w:val="false"/>
          <w:color w:val="000000"/>
          <w:sz w:val="20"/>
        </w:rPr>
      </w:pPr>
      <w:r>
        <w:rPr>
          <w:rFonts w:ascii="Times New Roman;sans-serif" w:hAnsi="Times New Roman;sans-serif"/>
          <w:b w:val="false"/>
          <w:color w:val="000000"/>
          <w:sz w:val="20"/>
        </w:rPr>
        <w:t>(i)if to Holdings, the Borrower, the First Lien Administrative Agent, the Issuing Bank or the Swingline Lender, to the address, fax number, e-mail address or telephone number specified for such Person on Schedule 9.01; and</w:t>
      </w:r>
    </w:p>
    <w:p>
      <w:pPr>
        <w:pStyle w:val="TextBody"/>
        <w:bidi w:val="0"/>
        <w:spacing w:before="11" w:after="283"/>
        <w:jc w:val="left"/>
        <w:rPr/>
      </w:pPr>
      <w:r>
        <w:rPr/>
      </w:r>
    </w:p>
    <w:p>
      <w:pPr>
        <w:pStyle w:val="TextBody"/>
        <w:bidi w:val="0"/>
        <w:spacing w:lineRule="auto" w:line="288" w:before="0" w:after="0"/>
        <w:ind w:left="0" w:right="0" w:firstLine="763"/>
        <w:jc w:val="both"/>
        <w:rPr>
          <w:rFonts w:ascii="Times New Roman;sans-serif" w:hAnsi="Times New Roman;sans-serif"/>
          <w:b w:val="false"/>
          <w:color w:val="000000"/>
          <w:sz w:val="20"/>
        </w:rPr>
      </w:pPr>
      <w:r>
        <w:rPr>
          <w:rFonts w:ascii="Times New Roman;sans-serif" w:hAnsi="Times New Roman;sans-serif"/>
          <w:b w:val="false"/>
          <w:color w:val="000000"/>
          <w:sz w:val="20"/>
        </w:rPr>
        <w:t>(ii)if to any other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pStyle w:val="TextBody"/>
        <w:bidi w:val="0"/>
        <w:spacing w:before="12"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w:t>
      </w:r>
    </w:p>
    <w:p>
      <w:pPr>
        <w:pStyle w:val="TextBody"/>
        <w:bidi w:val="0"/>
        <w:spacing w:lineRule="auto" w:line="288" w:before="2" w:after="283"/>
        <w:ind w:left="0" w:right="0" w:hanging="285"/>
        <w:jc w:val="left"/>
        <w:rPr>
          <w:rFonts w:ascii="Times New Roman;sans-serif" w:hAnsi="Times New Roman;sans-serif"/>
          <w:b w:val="false"/>
          <w:color w:val="000000"/>
          <w:sz w:val="20"/>
        </w:rPr>
      </w:pPr>
      <w:r>
        <w:rPr>
          <w:rFonts w:ascii="Times New Roman;sans-serif" w:hAnsi="Times New Roman;sans-serif"/>
          <w:b w:val="false"/>
          <w:color w:val="000000"/>
          <w:sz w:val="20"/>
        </w:rPr>
        <w:t>(b)below shall be effective as provided in such subsection (b).</w:t>
      </w:r>
    </w:p>
    <w:p>
      <w:pPr>
        <w:pStyle w:val="TextBody"/>
        <w:bidi w:val="0"/>
        <w:spacing w:before="10"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Electronic Communications</w:t>
      </w:r>
      <w:r>
        <w:rPr>
          <w:rFonts w:ascii="Times New Roman;sans-serif" w:hAnsi="Times New Roman;sans-serif"/>
          <w:b w:val="false"/>
          <w:color w:val="000000"/>
          <w:sz w:val="20"/>
        </w:rPr>
        <w:t xml:space="preserve">. Notices and other communications to the Lenders, the Issuing Bank and the Swingline Lender hereunder may be delivered or furnished by electronic communication (including e-mail and Internet or intranet websites) pursuant to procedures reasonably approved by the First Lien Administrative Agent,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foregoing shall not apply to notices to any Lender, the Issuing Bank or Swingline Lender pursuant to Article II if such Lender, the Issuing Bank or the Swingline Lender, as applicable, has notified the First Lien Administrative Agent that it is incapable of receiving notices under such Article by electronic communication.</w:t>
      </w:r>
    </w:p>
    <w:p>
      <w:pPr>
        <w:pStyle w:val="TextBody"/>
        <w:bidi w:val="0"/>
        <w:spacing w:before="12"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0"/>
        </w:rPr>
        <w:t xml:space="preserve">Unless the First Lien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before="13"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The Platform</w:t>
      </w:r>
      <w:r>
        <w:rPr>
          <w:rFonts w:ascii="Times New Roman;sans-serif" w:hAnsi="Times New Roman;sans-serif"/>
          <w:b w:val="false"/>
          <w:color w:val="000000"/>
          <w:sz w:val="20"/>
        </w:rPr>
        <w:t xml:space="preserve">. THE PLATFORM IS PROVIDED “AS IS” AND “AS AVAILABLE.” THE AGENT PARTIES (AS DEFINED BELOW) DO NOT WARRANT THE ACCURACY OR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51155"/>
                <wp:effectExtent l="0" t="0" r="0" b="0"/>
                <wp:wrapNone/>
                <wp:docPr id="242" name="Frame2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pPr>
      <w:r>
        <w:rPr>
          <w:rFonts w:ascii="Times New Roman;sans-serif" w:hAnsi="Times New Roman;sans-serif"/>
          <w:b w:val="false"/>
          <w:color w:val="000000"/>
          <w:sz w:val="20"/>
        </w:rPr>
        <w:t xml:space="preserve">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w:t>
      </w:r>
      <w:r>
        <w:rPr>
          <w:rFonts w:ascii="Times New Roman;sans-serif" w:hAnsi="Times New Roman;sans-serif"/>
          <w:b w:val="false"/>
          <w:color w:val="000000"/>
          <w:sz w:val="22"/>
        </w:rPr>
        <w:t>ANY AGENT PARTY IN CONNECTION WITH THE BORROWER MATERIALS OR THE PLATFORM. In no</w:t>
      </w:r>
    </w:p>
    <w:p>
      <w:pPr>
        <w:pStyle w:val="TextBody"/>
        <w:bidi w:val="0"/>
        <w:spacing w:lineRule="auto" w:line="288" w:before="1" w:after="283"/>
        <w:jc w:val="both"/>
        <w:rPr/>
      </w:pPr>
      <w:r>
        <w:rPr>
          <w:rFonts w:ascii="Times New Roman;sans-serif" w:hAnsi="Times New Roman;sans-serif"/>
          <w:b w:val="false"/>
          <w:color w:val="000000"/>
          <w:sz w:val="20"/>
        </w:rPr>
        <w:t>event shall the First Lien Administrative Agent or any of its Related Parties (collectively, the “</w:t>
      </w:r>
      <w:r>
        <w:rPr>
          <w:rFonts w:ascii="Times New Roman;sans-serif" w:hAnsi="Times New Roman;sans-serif"/>
          <w:b w:val="false"/>
          <w:color w:val="000000"/>
          <w:sz w:val="20"/>
          <w:u w:val="single"/>
        </w:rPr>
        <w:t>Agent Parties</w:t>
      </w:r>
      <w:r>
        <w:rPr>
          <w:color w:val="000000"/>
        </w:rPr>
        <w:t>”</w:t>
      </w:r>
      <w:r>
        <w:rPr>
          <w:rFonts w:ascii="Times New Roman;sans-serif" w:hAnsi="Times New Roman;sans-serif"/>
          <w:b w:val="false"/>
          <w:color w:val="000000"/>
          <w:sz w:val="20"/>
        </w:rPr>
        <w:t xml:space="preserve">) have any liability to Holdings, the Borrower, any Lender, the Issuing Bank or any other Person for losses, claims, damages, liabilities or expenses of any kind (whether in tort, contract or otherwise) arising out of the Borrower’s or the First Lien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in no event shall any Agent Party have any liability to Holdings, the Borrower, any Lender, the Issuing Bank or any other Person for indirect, special, incidental, consequential or punitive damages (as opposed to direct or actual damages).</w:t>
      </w:r>
    </w:p>
    <w:p>
      <w:pPr>
        <w:pStyle w:val="TextBody"/>
        <w:bidi w:val="0"/>
        <w:spacing w:before="13"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Change of Address, Etc</w:t>
      </w:r>
      <w:r>
        <w:rPr>
          <w:rFonts w:ascii="Times New Roman;sans-serif" w:hAnsi="Times New Roman;sans-serif"/>
          <w:b w:val="false"/>
          <w:color w:val="000000"/>
          <w:sz w:val="20"/>
        </w:rPr>
        <w:t>. Each of Holdings, the Borrower, the First Lien Administrative Agent, the Issuing Bank and the Swingline Lender may change its address, electronic mail address, fax or telephone number for notices and other communications or website hereunder by notice to the other parties hereto. Each other Lender may change its address, fax or telephone number for notices and other communications hereunder by notice to the Borrower, the First Lien Administrative Agent, the Issuing Bank and the Swingline Lender. In addition, each Lender agrees to notify the First Lien Administrative Agent from time to time to ensure that the First Lien Administrative Agent has on record (i) an effective address, contact name, telephone number, fax number and electronic mail address to which notices and other communications may be sent and (ii) accurate wire instructions for such Lender.</w:t>
      </w:r>
    </w:p>
    <w:p>
      <w:pPr>
        <w:pStyle w:val="TextBody"/>
        <w:bidi w:val="0"/>
        <w:spacing w:before="14"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 xml:space="preserve">Reliance by </w:t>
      </w:r>
      <w:r>
        <w:rPr>
          <w:rFonts w:ascii="Times New Roman;sans-serif" w:hAnsi="Times New Roman;sans-serif"/>
          <w:b w:val="false"/>
          <w:color w:val="000000"/>
          <w:sz w:val="20"/>
        </w:rPr>
        <w:t xml:space="preserve">First Lien </w:t>
      </w:r>
      <w:r>
        <w:rPr>
          <w:rFonts w:ascii="Times New Roman;sans-serif" w:hAnsi="Times New Roman;sans-serif"/>
          <w:b w:val="false"/>
          <w:color w:val="000000"/>
          <w:sz w:val="20"/>
          <w:u w:val="single"/>
        </w:rPr>
        <w:t>Administrative Agent, Issuing Bank and Lenders</w:t>
      </w:r>
      <w:r>
        <w:rPr>
          <w:rFonts w:ascii="Times New Roman;sans-serif" w:hAnsi="Times New Roman;sans-serif"/>
          <w:b w:val="false"/>
          <w:color w:val="000000"/>
          <w:sz w:val="20"/>
        </w:rPr>
        <w:t>. The First Lien Administrative Agent, the Issuing Bank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First Lien Administrative Agent, the Issuing Bank, each Lender and the Related Parties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and other telephonic communications with the First Lien Administrative Agent may be recorded by the First Lien Administrative Agent and each of the parties hereto hereby consents to such recording.</w:t>
      </w:r>
    </w:p>
    <w:p>
      <w:pPr>
        <w:pStyle w:val="TextBody"/>
        <w:bidi w:val="0"/>
        <w:spacing w:before="15"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9.02    </w:t>
      </w:r>
      <w:r>
        <w:rPr>
          <w:rFonts w:ascii="Times New Roman;sans-serif" w:hAnsi="Times New Roman;sans-serif"/>
          <w:b w:val="false"/>
          <w:color w:val="000000"/>
          <w:sz w:val="20"/>
          <w:u w:val="single"/>
        </w:rPr>
        <w:t>Waivers; Amendments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(a)No failure or delay by the First Lien Administrative Agent, any Issuing Bank or any Lender in exercising any right or power under this Agreement or any First Lien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First Lien Administrative Agent, the Issuing Banks and the Lenders hereunder and under the other First Lien Loan Documents are cumulative and are not exclusive of any rights or remedies that they would otherwise have. No waiver of any provision of this Agreement or any First Lien Loan Document or consent to any departure by any Loan Party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First Lien Administrative Agent, any Lender or any Issuing Bank may have had notice or knowledge of such Default at the time. No notice or demand on the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51155"/>
                <wp:effectExtent l="0" t="0" r="0" b="0"/>
                <wp:wrapNone/>
                <wp:docPr id="243" name="Frame2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Borrower or Holdings in any case shall entitle the Borrower or Holdings to any other or further notice or demand in similar or other circumstances.</w:t>
      </w:r>
    </w:p>
    <w:p>
      <w:pPr>
        <w:pStyle w:val="TextBody"/>
        <w:bidi w:val="0"/>
        <w:spacing w:before="16"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 xml:space="preserve">(b)Except as provided in Section 2.20 with respect to any Incremental Facility Amendment, Section 2.21 with respect to any Refinancing Amendment or Section 2.24 with respect to any Permitted Amendment, neither this Agreement, any First Lien Loan Document nor any provision hereof or thereof may be waived, amended or modified except, in the case of this Agreement, pursuant to an agreement or agreements in writing entered into by Holdings, the Borrower, the First Lien Administrative Agent (to the extent that such waiver, amendment or modification does not affect the rights, duties, privileges or obligations of the First Lien Administrative Agent under this Agreement, the First Lien Administrative Agent shall execute such waiver, amendment or other modification to the extent approved by the Required Lenders) and the Required Lenders or, in the case of any other First Lien Loan Document, pursuant to an agreement or agreements in writing entered into by the First Lien Administrative Agent and the Loan Party or Loan Parties that are parties thereto, in each case with the consent of the Required Lenders;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no such agreement shall (i) increase the Commitment of any Lender without the written consent of such Lender (it being understood that a waiver of any condition precedent set forth in Section 4.02 or the waiver of any Default, Event of Default, mandatory prepayment or mandatory reduction of the Commitments shall not constitute an extension or increase of any Commitment of any Lender), (ii) reduce the principal amount of any Loan or LC Disbursement or reduce the reimbursement obligations of the Borrower for the LC Exposure at such time (it being understood that a waiver of any Default, Event of Default, mandatory prepayment or mandatory reduction of the Commitments shall not constitute a reduction or forgiveness of principal) or reduce the rate of interest thereon, or reduce any fees payable hereunder, without the written consent of each Lender directly and adversely affected thereby (it being understood that any change to the definition of Total Net Leverage Ratio, Senior Secured Net Leverage Ratio, Senior Secured First Lien Net Leverage Ratio or Interest Coverage Ratio or in the component definitions thereof shall not constitute a reduction of interest or fees),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only the consent of the Required Lenders shall be necessary to waive any obligation of the Borrower to pay default interest pursuant to Section 2.13(c), (iii) postpone the maturity of any Loan (it being understood that a waiver of any Default, Event of Default, mandatory prepayment or mandatory reduction of the Commitments shall not constitute a reduction or forgiveness of principal or an extension of any maturity date, date of any scheduled amortization payment or date for payment of interest or fees), or the date of any scheduled amortization payment of the principal amount of any Term Loan under Section 2.10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(it being understood that a waiver of any Default or Event of Default shall not constitute an extension of any maturity date, date of any scheduled amortization payment or date for payment of interest or fees) without the written consent of each Lender directly and adversely affected thereby, (iv) change any of the provisions of Sections 2.18(a), Section 2.18 (b), Section 2.18(c), Section 7.03 or this Section 9.02 without the written consent of each Lender directly and adversely affected thereby;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any such change which is in favor of a Class of Lenders holding Loans maturing after the maturity of other Classes of Lenders (and only takes effect after the maturity of such other Classes of Loans or Commitments) will require the written consent of the Required Lenders with respect to each Class directly and adversely affected thereby, (v) change the percentage set forth in the definition of “Required Lenders”, “Required Revolving Lenders” or any other provision of any First Lien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 release all or substantially all the value of the Guarantees under the First Lien Guarantee Agreement (except as expressly provided in the First Lien Loan Documents) without the written consent of each Lender (other than a Defaulting Lender or a Net Short Lender), or (vii) release all or substantially all the Collateral from the Liens of the Security Documents, without the written consent of each Lender (other than a Defaulting Lender or a Net Short Lender), except as expressly provided in the First Lien Loan Documents;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u w:val="single"/>
        </w:rPr>
        <w:t>further</w:t>
      </w:r>
      <w:r>
        <w:rPr>
          <w:color w:val="000000"/>
        </w:rPr>
        <w:t xml:space="preserve"> </w:t>
      </w:r>
      <w:r>
        <w:rPr>
          <w:rFonts w:ascii="Times New Roman;sans-serif" w:hAnsi="Times New Roman;sans-serif"/>
          <w:b w:val="false"/>
          <w:color w:val="000000"/>
          <w:sz w:val="20"/>
        </w:rPr>
        <w:t xml:space="preserve">that (A) no such agreement shall amend, modify or otherwise affect the rights or duties of the First Lien Administrative Agent, any Issuing Bank or the Swingline Lender without the prior written consent of the First Lien Administrative Agent, such Issuing Bank or the Swingline Lender, as the case may be, (B) any provision of this Agreement or any other First Lien Loan Document may be amended by an agreement in writing entered into by Holdings, the Borrower and the First Lien Administrative Agent to cure any ambiguity, omission, mistake, defect, incorrect cross-reference, inconsistency, obvious error or technical or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51155"/>
                <wp:effectExtent l="0" t="0" r="0" b="0"/>
                <wp:wrapNone/>
                <wp:docPr id="244" name="Frame2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immaterial errors (as reasonably determined by the First Lien Administrative Agent and the Borrower) and (C)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Intermediate Parent, the Borrower and the requisite percentage in interest of the affected Class of Lenders stating that would be required to consent thereto under this Section 9.02 if such Class of Lenders were the only Class of Lenders hereunder at the time. Notwithstanding the foregoing, (a) this Agreement may be amended (or amended and restated) with the written consent of the Required Lenders, the First Lien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First Lien Loan Documents and (ii) to include appropriately the Lenders holding such credit facilities in any determination of the Required Lenders on substantially the same basis as the Lenders prior to such inclusion and (b) guarantees, collateral security documents (including Mortgages) and related documents in connection with this Agreement may be in a form reasonably determined by the First Lien Administrative Agent and may be, together with this Agreement and the other First Lien Loan Documents, amended and waived with the consent of the First Lien Administrative Agent at the request of the Borrower without the need to obtain the consent of any other Lender if such amendment or waiver is delivered in order (i) to comply with local law or advice of local counsel, (ii) to cure ambiguities, defects, omissions, inconsistencies or to make related modifications to provisions of other First Lien Loan Documents, (iii) to cause any guarantee, collateral security document (including Mortgages) or other document to be consistent with this Agreement and the other First Lien Loan Documents, (iv) to give effect to the provisions of Section 2.14(b) or (v) to integrate any First Lien Incremental Facility or Credit Agreement Refinancing Indebtedness in a manner consistent with this Agreement and the other First Lien Loan Documents.</w:t>
      </w:r>
    </w:p>
    <w:p>
      <w:pPr>
        <w:pStyle w:val="TextBody"/>
        <w:bidi w:val="0"/>
        <w:spacing w:before="17"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(c)In connection with any proposed amendment, modification, waiver or termination (a “</w:t>
      </w:r>
      <w:r>
        <w:rPr>
          <w:rFonts w:ascii="Times New Roman;sans-serif" w:hAnsi="Times New Roman;sans-serif"/>
          <w:b w:val="false"/>
          <w:color w:val="000000"/>
          <w:sz w:val="20"/>
          <w:u w:val="single"/>
        </w:rPr>
        <w:t>Proposed Change</w:t>
      </w:r>
      <w:r>
        <w:rPr>
          <w:color w:val="000000"/>
        </w:rPr>
        <w:t>”</w:t>
      </w:r>
      <w:r>
        <w:rPr>
          <w:rFonts w:ascii="Times New Roman;sans-serif" w:hAnsi="Times New Roman;sans-serif"/>
          <w:b w:val="false"/>
          <w:color w:val="000000"/>
          <w:sz w:val="20"/>
        </w:rPr>
        <w:t>) requiring the consent of all Lenders or all directly and adversely affected Lenders, if the consent of the Required Lenders (and, to the extent any Proposed Change requires the consent of Lenders holding Loans of any Class pursuant to clause (iv) of paragraph (b) of this Section 9.02,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9.02 being referred to as a “</w:t>
      </w:r>
      <w:r>
        <w:rPr>
          <w:rFonts w:ascii="Times New Roman;sans-serif" w:hAnsi="Times New Roman;sans-serif"/>
          <w:b w:val="false"/>
          <w:color w:val="000000"/>
          <w:sz w:val="20"/>
          <w:u w:val="single"/>
        </w:rPr>
        <w:t>Non-Consenting Lender</w:t>
      </w:r>
      <w:r>
        <w:rPr>
          <w:color w:val="000000"/>
        </w:rPr>
        <w:t>”</w:t>
      </w:r>
      <w:r>
        <w:rPr>
          <w:rFonts w:ascii="Times New Roman;sans-serif" w:hAnsi="Times New Roman;sans-serif"/>
          <w:b w:val="false"/>
          <w:color w:val="000000"/>
          <w:sz w:val="20"/>
        </w:rPr>
        <w:t xml:space="preserve">), then, so long as the Lender that is acting as First Lien Administrative Agent is not a Non-Consenting Lender, the Borrower may, at its sole expense and effort, upon notice to such Non-Consenting Lender and the First Lien Administrative Agent, either (i) if exists, permanently prepay all of the Loans of any Class owing by it to, and terminating any Commitments of such Non-Consenting Lender or (ii) 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 the Borrower shall have received the prior written consent of the First Lien Administrative Agent to the extent such consent would be required under Section 9.04(b) for an assignment of Loans or Commitments, as applicable (and, if a Revolving Commitment is being assigned, each Issuing Bank and Swingline Lender), which consent shall not unreasonably be withheld, (b) such Non-Consenting Lender shall have received payment of an amount equal to the outstanding par principal amount of its Loans and participations in LC Disbursements and Swingline Loans, accrued interest thereon, accrued fees and all other amounts payable to it hereunder (including pursuant to Section 2.11(a)(i)) from the Eligible Assignee (to the extent of such outstanding principal and accrued interest and fees) or the Borrower (in the case of all other amounts) and (c) unless waived, the Borrower or such Eligible Assignee shall have paid to the First Lien Administrative Agent the processing and recordation fee specified in Section 9.04(b). Each party hereto agrees that an assignment required pursuant to this Section 9.02(c) may be effected pursuant to an Assignment and Assumption executed by the Borrower, the First Lien Administrative Agent and the assignee and that the Non-Consenting Lender required to make such assignment need not be a party thereto, and each Lender hereby authorizes and directs the First Lien Administrative Agent to execute and deliver such documentation as may be required to give effect to an assignment in accordance with Section 9.04 on behalf of a Non-Consenting Lender and any such documentation so executed by the First Lien Administrative Agent shall be effective for purposes of documenting an assignment pursuant to Section 9.04.</w:t>
      </w:r>
    </w:p>
    <w:p>
      <w:pPr>
        <w:pStyle w:val="TextBody"/>
        <w:bidi w:val="0"/>
        <w:spacing w:before="22"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51155"/>
                <wp:effectExtent l="0" t="0" r="0" b="0"/>
                <wp:wrapNone/>
                <wp:docPr id="245" name="Frame2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 xml:space="preserve">(d)Notwithstanding anything in this Agreement or the other First Lien Loan Documents to the contrary, (i) the Revolving Commitments, Term Loans and Revolving Exposure of any Lender that is at the time a Defaulting Lender shall not have any voting or approval rights under the First Lien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Section 9.02);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w:t>
      </w:r>
    </w:p>
    <w:p>
      <w:pPr>
        <w:pStyle w:val="TextBody"/>
        <w:bidi w:val="0"/>
        <w:spacing w:lineRule="auto" w:line="288" w:before="1" w:after="283"/>
        <w:jc w:val="both"/>
        <w:rPr/>
      </w:pPr>
      <w:r>
        <w:rPr>
          <w:rFonts w:ascii="Times New Roman;sans-serif" w:hAnsi="Times New Roman;sans-serif"/>
          <w:b w:val="false"/>
          <w:color w:val="000000"/>
          <w:sz w:val="20"/>
        </w:rPr>
        <w:t xml:space="preserve">(ii) no Disqualified Lender shall have any right to approve or disapprove any amendment, waiver or consent hereunder or under any of the First Lien Loan Documents, and (iii) no Net Short Lender shall have any right to approve or disapprove any amendment, waiver or consent hereunder or under any of the First Lien Loan Documents and instead shall be deemed to have voted its interest as a Lender as provided in </w:t>
      </w:r>
      <w:r>
        <w:rPr>
          <w:rFonts w:ascii="Times New Roman;sans-serif" w:hAnsi="Times New Roman;sans-serif"/>
          <w:b w:val="false"/>
          <w:color w:val="000000"/>
          <w:sz w:val="20"/>
          <w:u w:val="single"/>
        </w:rPr>
        <w:t>Section 9.02(h)</w:t>
      </w:r>
      <w:r>
        <w:rPr>
          <w:color w:val="000000"/>
        </w:rPr>
        <w:t xml:space="preserve"> </w:t>
      </w:r>
      <w:r>
        <w:rPr>
          <w:rFonts w:ascii="Times New Roman;sans-serif" w:hAnsi="Times New Roman;sans-serif"/>
          <w:b w:val="false"/>
          <w:color w:val="000000"/>
          <w:sz w:val="20"/>
        </w:rPr>
        <w:t xml:space="preserve">(for the avoidance of doubt, other than a Net Short Lender that is also a Disqualified Lender, which shall be subject to the preceding </w:t>
      </w:r>
      <w:r>
        <w:rPr>
          <w:rFonts w:ascii="Times New Roman;sans-serif" w:hAnsi="Times New Roman;sans-serif"/>
          <w:b w:val="false"/>
          <w:color w:val="000000"/>
          <w:sz w:val="20"/>
          <w:u w:val="single"/>
        </w:rPr>
        <w:t>clause (ii)</w:t>
      </w:r>
      <w:r>
        <w:rPr>
          <w:rFonts w:ascii="Times New Roman;sans-serif" w:hAnsi="Times New Roman;sans-serif"/>
          <w:b w:val="false"/>
          <w:color w:val="000000"/>
          <w:sz w:val="20"/>
        </w:rPr>
        <w:t>).</w:t>
      </w:r>
    </w:p>
    <w:p>
      <w:pPr>
        <w:pStyle w:val="TextBody"/>
        <w:bidi w:val="0"/>
        <w:spacing w:before="13"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(e)Notwithstanding anything in this Agreement or the other First Lien Loan Documents to the contrary, each Affiliated Lender (other than an Affiliated Debt Fund) hereby agrees that, for purposes of any plan of reorganization, such Affiliated Lender will be deemed to have voted in the same proportion as non-Affiliated Lenders voting on such matter;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such Affiliated Lender shall be entitled to vote in accordance with its sole discretion in connection with any plan of reorganization (a) to the extent (a)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the Borrower, (b) that would deprive such Affiliated Lender of its pro rata share of any payments to which it is entitled or (c) if such plan of reorganization does not require the consent of each Lender or each affected Lender.</w:t>
      </w:r>
    </w:p>
    <w:p>
      <w:pPr>
        <w:pStyle w:val="TextBody"/>
        <w:bidi w:val="0"/>
        <w:spacing w:before="14"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(f)Notwithstanding anything in this Agreement or the other First Lien Loan Documents to the contrary, only the consent of the Required Revolving Lenders shall be necessary to (1) waive or consent to a waiver of an Event of Default under Section 7.01(d)(ii) or waive or amend the conditions set forth in Section 4.02 (and Section 4.02 may not be waived or amended in a manner that affects the making of any Revolving Borrowing without the consent of the Required Revolving Lenders), (2) modify or amend Section 6.11 (and Section 6.11 may not be modified or amended without the consent of the Required Revolving Lenders) or Section 7.02 (including, in each case, the related definitions, solely to the extent such definitions are used in such Sections (but not otherwise)) or this sentence, (3) increase or decrease the rate of interest or any fees payable with respect to the Revolving Commitments and the Revolving Loans or (4) amend any other provision of this Agreement in a manner that (x) is no less favorable to the Lenders than such provision prior to such amendment, (y) does not directly and adversely affect any Class of Lenders in any material respect as compared to any other Class of Lenders, and (z) does not require the consent of all Lenders or all directly and adversely affected Lenders.</w:t>
      </w:r>
    </w:p>
    <w:p>
      <w:pPr>
        <w:pStyle w:val="TextBody"/>
        <w:bidi w:val="0"/>
        <w:spacing w:before="15"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(g)Notwithstanding anything in this Agreement or the other First Lien Loan Documents to the contrary, any modifications and amendments permitted to be made to this Agreement pursuant to the Fee Letter at the election of the Majority Lenders (as defined in the Fee Letter) shall be deemed to have been incorporated into this Agreement for all purposes, and the Loan Parties shall execute any agreements reasonably requested by the Majority Lenders to confirm the incorporation of such modifications and amendments.</w:t>
      </w:r>
    </w:p>
    <w:p>
      <w:pPr>
        <w:pStyle w:val="TextBody"/>
        <w:bidi w:val="0"/>
        <w:spacing w:before="12" w:after="283"/>
        <w:jc w:val="left"/>
        <w:rPr/>
      </w:pPr>
      <w:r>
        <w:rPr/>
      </w:r>
    </w:p>
    <w:p>
      <w:pPr>
        <w:pStyle w:val="TextBody"/>
        <w:bidi w:val="0"/>
        <w:spacing w:lineRule="auto" w:line="288" w:before="6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(h)Notwithstanding anything in this Agreement or the other First Lien Loan Documents to the contrary, in connection with any determination as to whether the requisite Lenders have (A) consented (or not consented) to any amendment or waiver of any provision of this Agreement or any other First Lien Loan Document or any departure by any Loan Party therefrom, (B) otherwise acted on any matter related to any First Lien Loan Document, or (C) directed or required the First Lien Administrative Agent or any Lender to undertake any action (or refrain from taking any action) with respect to or under any First Lien Loan Document, any Lender (other than (x) any Lender that is a Regulated Bank or an Affiliate of a Regulated Bank and (y) any Revolving Lender as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51155"/>
                <wp:effectExtent l="0" t="0" r="0" b="0"/>
                <wp:wrapNone/>
                <wp:docPr id="246" name="Frame2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Date or any Affiliate of such a Revolving Lender)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“Net Short Lender”)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U.S.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and (y) the Borrower and other Loan Parties and any instrument issued or guaranteed by any of the Borrower or other Loan Parties, collectively, shall represent less than 5% of the components of such index, (iv) derivative transactions that are documented using either the 2014 ISDA Credit Derivatives Definitions or the 2003 ISDA Credit Derivatives Definitions (collectively, the “ISDA CDS Definitions”)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or its Affiliates protection in respect of the Loans or the Commitments, or as to the credit quality of the Borrower or other Loan Parties other than, in each case, as part of an index so long as (x) such index is not created, designed, administered or requested by such Lender and (y) the Borrower and other Loan Parties and any instrument issued or guaranteed by any of the Borrower or other Loan Parties, collectively, shall represent less than 5% of the components of such index. In connection with any such determination, each Lender shall promptly notify the First Lien Administrative Agent in writing that it is a Net Short Lender, or shall otherwise be deemed to have represented and warranted to the Borrower and the First Lien Administrative Agent that it is not a Net Short Lender (it being understood and agreed that the Borrower and the First Lien Administrative Agent shall be entitled to rely on each such representation and deemed representation).</w:t>
      </w:r>
    </w:p>
    <w:p>
      <w:pPr>
        <w:pStyle w:val="TextBody"/>
        <w:bidi w:val="0"/>
        <w:spacing w:before="23"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9.03    </w:t>
      </w:r>
      <w:r>
        <w:rPr>
          <w:rFonts w:ascii="Times New Roman;sans-serif" w:hAnsi="Times New Roman;sans-serif"/>
          <w:b w:val="false"/>
          <w:color w:val="000000"/>
          <w:sz w:val="20"/>
          <w:u w:val="single"/>
        </w:rPr>
        <w:t>Expenses; Indemnity; Damage Waiver</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6"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Borrower shall pay, if the Effective Date occurs and the Transactions have been consummated, (i) all reasonable and documented or invoiced out-of-pocket costs and expenses incurred by the First Lien Administrative Agent, the Joint Lead Arrangers, each Issuing Bank, the Swingline Lender and their respective Affiliates (without duplication), limited, in the case of (x) legal fees and expenses to the reasonable, documented and invoiced fees, charges and disbursements of one primary counsel (which shall be Latham &amp; Watkins LLP for any and all of the foregoing in connection with Amendment No. 2 and Amendment No. 3, including the primary syndication, to occur on or prior to or otherwise in connection with the Amendment No.2 Effective Date or the Amendment No. 3 Effective Date)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First Lien Administrative Agent, each Issuing Bank or any Lender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the Borrower’s consent in writing (such consent not to be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51155"/>
                <wp:effectExtent l="0" t="0" r="0" b="0"/>
                <wp:wrapNone/>
                <wp:docPr id="247" name="Frame2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unreasonably withheld or delayed)), in each case for the First Lien Administrative Agent, in connection with the syndication of the credit facilities provided for herein, and the preparation, execution, delivery and administration of the First Lien Loan Documents or any amendments, modifications or waivers of the provisions thereof, (ii) all reasonable, documented and invoiced out-of-pocket costs and expenses incurred by each Issuing Bank in connection with the issuance, amendment, renewal or extension of any Letter of Credit or any demand for payment thereunder and (iii) all reasonable and documented and invoiced out-of-pocket expenses incurred by the First Lien Administrative Agent, each Issuing Bank or any Lender, including the fees, charges and disbursements of counsel for the First Lien Administrative Agent, the Issuing Banks and the Lenders (without duplication) (limited, in the case of (x) legal fees and expenses, to the reasonable, documented and invoiced fees, charges and disbursements of one primary counsel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documented and invoiced fees, charges and disbursements of such advisor or consultant, but solely to the extent that such consultant or advisor has been retained with the Borrower’s written consent (such consent not to be unreasonably withheld or delayed), in connection with the enforcement or protection of any rights or remedies (A) in connection with the First Lien Loan Documents (including all such costs and expenses incurred during any legal proceeding, including any proceeding under any Debtor Relief Laws), including its rights under this Section 9.03 or (B) in connection with the Loans made or Letters of Credit issued hereunder, including all such out-of-pocket costs and expenses incurred during any workout, restructuring or negotiations in respect of such Loans or Letters of Credit.</w:t>
      </w:r>
    </w:p>
    <w:p>
      <w:pPr>
        <w:pStyle w:val="TextBody"/>
        <w:bidi w:val="0"/>
        <w:spacing w:before="11"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(b)Without duplication of the expense reimbursement obligations pursuant to clause (a) above, the Borrower shall indemnify the First Lien Administrative Agent, each Issuing Bank, each Lender, the Joint Lead Arrangers and each Related Party (other than Excluded Affiliates to the extent acting in their capacities as such) of any of the foregoing Persons (each such Person being called an “</w:t>
      </w:r>
      <w:r>
        <w:rPr>
          <w:rFonts w:ascii="Times New Roman;sans-serif" w:hAnsi="Times New Roman;sans-serif"/>
          <w:b w:val="false"/>
          <w:color w:val="000000"/>
          <w:sz w:val="20"/>
          <w:u w:val="single"/>
        </w:rPr>
        <w:t>Indemnitee</w:t>
      </w:r>
      <w:r>
        <w:rPr>
          <w:color w:val="000000"/>
        </w:rPr>
        <w:t>”</w:t>
      </w:r>
      <w:r>
        <w:rPr>
          <w:rFonts w:ascii="Times New Roman;sans-serif" w:hAnsi="Times New Roman;sans-serif"/>
          <w:b w:val="false"/>
          <w:color w:val="000000"/>
          <w:sz w:val="20"/>
        </w:rPr>
        <w:t xml:space="preserve">) against, and hold each Indemnitee harmless from, any and all losses, claims, damages, liabilities and reasonable and documented and invoiced out-of-pocket fees and expenses (limited, in the case of (x) legal fees and expenses, to the reasonable, documented and invoiced fees, charges and disbursements of one counsel for all Indemnitees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Holdings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the Borrower’s consent in writing (such consent not to be unreasonably withheld or delayed)), incurred by or asserted against any Indemnitee by any third party or by the Borrower, Holdings or any Subsidiary to the extent arising out of, in connection with, or as a result of (i) the execution or delivery of this Agreement, any First Lien Loan Document or any other agreement or instrument contemplated hereby or thereby, the performance by the parties to the First Lien Loan Documents of their respective obligations thereunder or the consummation of the Transactions or any other transactions contemplated thereby, the syndication of the credit facilities provided for herein,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to the extent in any way arising from or relating to any of the foregoing, any Release or threatened Release of Hazardous Materials on, at, to or from any Mortgaged Property or any other real property owned or operated by Holdings, any Intermediate Parent, the Borrower or any Subsidiary, or any other Environmental Liability related in any way to Holdings, any Intermediate Parent, the Borrower or any Subsidiary, or (iv) any actual or prospective claim, litigation, investigation or proceeding relating to any of the foregoing, whether based on contract, tort or any other theory, whether brought by a third party or by the Borrower, Holdings or any Subsidiary or their Affiliates and regardless of whether any Indemnitee is a party thereto;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such indemnity shall not, as to any Indemnitee, be available to the extent that such losses, claims, damages, liabilities, costs or related expenses (w) resulted from the gross negligence, bad faith or willful misconduct of such Indemnitee or its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51155"/>
                <wp:effectExtent l="0" t="0" r="0" b="0"/>
                <wp:wrapNone/>
                <wp:docPr id="248" name="Frame2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pPr>
      <w:r>
        <w:rPr>
          <w:rFonts w:ascii="Times New Roman;sans-serif" w:hAnsi="Times New Roman;sans-serif"/>
          <w:b w:val="false"/>
          <w:color w:val="000000"/>
          <w:sz w:val="20"/>
        </w:rPr>
        <w:t xml:space="preserve">Parties (as determined by a court of competent jurisdiction in a final and non-appealable judgment), (x) resulted from a material breach of the First Lien Loan Documents by such Indemnitee or its Related Parties (as determined by a court of competent jurisdiction in a final and non-appealable judgment), (y) arise from disputes between or among Indemnitees (other than disputes involving claims against the First Lien Administrative Agent, the First Lien Collateral Agent or the Joint Lead Arrangers, the Swingline Lender or any Issuing Bank, in each case, in their respective capacities) that do not involve an act or omission by Holdings, the Borrower or any Restricted Subsidiary or (z) resulted from any settlement effected without the Borrower’s prior written consent;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to the extent any amounts paid to an Indemnitee in respect of this Section 9.03, such Indemnitee, by its acceptance of the benefits hereof, agrees to refund and return any and all amounts paid by the Borrower to it if, pursuant to the operation of the foregoing clauses (w) through (z), such Indemnitee was not entitled to receipt of such amount. This Section 9.03(b) shall not apply with respect to Taxes other than any Taxes that represent losses, claims, damages, etc. arising from any non-Tax claim.</w:t>
      </w:r>
    </w:p>
    <w:p>
      <w:pPr>
        <w:pStyle w:val="TextBody"/>
        <w:bidi w:val="0"/>
        <w:spacing w:before="12"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(c)To the extent that the Borrower fails to pay any amount required to be paid by it to the First Lien Administrative Agent, any Lender or any Issuing Bank under paragraph (a) or (b) of this Section 9.03, each Lender severally agrees to pay to the First Lien Administrative Agent, such Lender or such Issuing Bank, as the case may be, such Lender’s pro rata share (determined as of the time that the applicable unreimbursed expense or indemnity payment is sought) of such unpaid amount;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unreimbursed expense or indemnified loss, claim, damage, liability or related expense, as the case may be, was incurred by or asserted against the First Lien Administrative Agent, such Lender or such Issuing Bank in its capacity as such. For purposes hereof, a Lender’s “pro rata share” shall be determined based upon its share of the aggregate Revolving Exposures, outstanding Term Loans and unused Commitments at such time. The obligations of the Lenders under this paragraph (c) are subject to the last sentence of Section 2.02(a) (which shall apply </w:t>
      </w:r>
      <w:r>
        <w:rPr>
          <w:rFonts w:ascii="Times New Roman;sans-serif" w:hAnsi="Times New Roman;sans-serif"/>
          <w:b w:val="false"/>
          <w:i/>
          <w:color w:val="000000"/>
          <w:sz w:val="20"/>
        </w:rPr>
        <w:t xml:space="preserve">mutatis mutandis </w:t>
      </w:r>
      <w:r>
        <w:rPr>
          <w:rFonts w:ascii="Times New Roman;sans-serif" w:hAnsi="Times New Roman;sans-serif"/>
          <w:b w:val="false"/>
          <w:color w:val="000000"/>
          <w:sz w:val="20"/>
        </w:rPr>
        <w:t>to the Lenders’ obligations under this paragraph (c)).</w:t>
      </w:r>
    </w:p>
    <w:p>
      <w:pPr>
        <w:pStyle w:val="TextBody"/>
        <w:bidi w:val="0"/>
        <w:spacing w:before="14"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0"/>
        </w:rPr>
        <w:t xml:space="preserve">(d)To the extent permitted by applicable law, no party hereto nor any Affiliate of any party hereto, nor any officer, director, employee, agent, controlling person, advisor or other representative of the foregoing or any successor or permitted assign of any of the foregoing shall assert, and each hereby waives, any claim against any other such Person on any theory of liability for special, indirect, consequential or punitive damages (as opposed to direct or actual damages, but in any event including, without limitation, any lost profits, business or anticipated savings) (whether or not the claim therefor is based on contract, tort or duty imposed by any applicable legal requirement) arising out of, in connection with, arising out of, as a result of, or in any way related to, this Agreement or any agreement or instrument contemplated hereby or referred to herein, the transactions contemplated hereby or thereby, or any act or omission or event occurring in connection therewith and each such Person further agrees not to sue upon any such claim or any such damages, whether or not accrued and whether or not known or suspected to exist in its favor;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foregoing shall in no event limit the Borrower’s indemnification obligations under clause (b) above.</w:t>
      </w:r>
    </w:p>
    <w:p>
      <w:pPr>
        <w:pStyle w:val="TextBody"/>
        <w:bidi w:val="0"/>
        <w:spacing w:before="14"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00000"/>
          <w:sz w:val="20"/>
        </w:rPr>
        <w:t xml:space="preserve">(e)In case any proceeding is instituted involving any Indemnitee for which indemnification is to be sought hereunder by such Indemnitee, then such Indemnitee will promptly notify the Borrower of the commencement of any proceeding;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the failure to do so will not relieve the Borrower from any liability that it may have to such Indemnitee hereunder, except to the extent that the Borrower is materially prejudiced by such failure. Notwithstanding the above, following such notification, the Borrower may elect in writing to assume the defense of such proceeding, and, upon such election, the Borrower will not be liable for any legal costs subsequently incurred by such Indemnitee (other than reasonable costs of investigation and providing evidence) in connection therewith, unless (i) the Borrower has failed to provide counsel reasonably satisfactory to such Indemnitee in a timely manner, (ii) counsel provided by the Borrower reasonably determines its representation of such Indemnitee would present it with a conflict of interest or (iii) the Indemnitee reasonably determines that there are actual conflicts of interest between the Borrower and the Indemnitee, including situations in which there may be legal defenses available to the Indemnitee which are different from or in addition to those available to the Borrower.</w:t>
      </w:r>
    </w:p>
    <w:p>
      <w:pPr>
        <w:pStyle w:val="TextBody"/>
        <w:bidi w:val="0"/>
        <w:spacing w:before="14"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(f)Notwithstanding anything to the contrary in this Agreement, to the extent permitted by applicable law, no party hereto nor any Indemnitee shall assert, and each hereby waives, any claim against any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51155"/>
                <wp:effectExtent l="0" t="0" r="0" b="0"/>
                <wp:wrapNone/>
                <wp:docPr id="249" name="Frame2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pPr>
      <w:r>
        <w:rPr>
          <w:rFonts w:ascii="Times New Roman;sans-serif" w:hAnsi="Times New Roman;sans-serif"/>
          <w:b w:val="false"/>
          <w:color w:val="000000"/>
          <w:sz w:val="20"/>
        </w:rPr>
        <w:t xml:space="preserve">Indemnitee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First Lien Loan Documents or the transactions contemplated hereby or thereby; </w:t>
      </w:r>
      <w:r>
        <w:rPr>
          <w:rFonts w:ascii="Times New Roman;sans-serif" w:hAnsi="Times New Roman;sans-serif"/>
          <w:b w:val="false"/>
          <w:color w:val="000000"/>
          <w:sz w:val="20"/>
          <w:u w:val="single"/>
        </w:rPr>
        <w:t>except</w:t>
      </w:r>
      <w:r>
        <w:rPr>
          <w:color w:val="000000"/>
        </w:rPr>
        <w:t xml:space="preserve"> </w:t>
      </w:r>
      <w:r>
        <w:rPr>
          <w:rFonts w:ascii="Times New Roman;sans-serif" w:hAnsi="Times New Roman;sans-serif"/>
          <w:b w:val="false"/>
          <w:color w:val="000000"/>
          <w:sz w:val="20"/>
        </w:rPr>
        <w:t>to the extent that such direct or actual damages are determined by a court of competent jurisdiction by final, non-appealable judgment to have resulted from the gross negligence, bad faith or willful misconduct of, or a material breach of the First Lien Loan Documents by, such Indemnitee or its Related Parties.</w:t>
      </w:r>
    </w:p>
    <w:p>
      <w:pPr>
        <w:pStyle w:val="TextBody"/>
        <w:bidi w:val="0"/>
        <w:spacing w:before="0" w:after="0"/>
        <w:jc w:val="both"/>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 xml:space="preserve">(g)All amounts due under this Section 9.03 shall be payable not later than ten (10) Business Days after written demand therefor;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any Indemnitee shall promptly refund an indemnification payment received hereunder to the extent that there is a final judicial determination that such Indemnitee was not entitled to indemnification with respect to such payment pursuant to this Section 9.03.</w:t>
      </w:r>
    </w:p>
    <w:p>
      <w:pPr>
        <w:pStyle w:val="TextBody"/>
        <w:bidi w:val="0"/>
        <w:spacing w:before="12"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9.04    </w:t>
      </w:r>
      <w:r>
        <w:rPr>
          <w:rFonts w:ascii="Times New Roman;sans-serif" w:hAnsi="Times New Roman;sans-serif"/>
          <w:b w:val="false"/>
          <w:color w:val="000000"/>
          <w:sz w:val="20"/>
          <w:u w:val="single"/>
        </w:rPr>
        <w:t>Successors and Assigns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their rights or obligations hereunder without the prior written consent of each Lender, each Issuing Bank and the acknowledgement of the First Lien Administrative Agent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9.04.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9.04), the Indemnitees and, to the extent expressly contemplated hereby, the Related Parties of each of the First Lien Administrative Agent, the Issuing Bank and the Lenders) any legal or equitable right, remedy or claim under or by reason of this Agreement.</w:t>
      </w:r>
    </w:p>
    <w:p>
      <w:pPr>
        <w:pStyle w:val="TextBody"/>
        <w:bidi w:val="0"/>
        <w:spacing w:before="16" w:after="283"/>
        <w:jc w:val="left"/>
        <w:rPr/>
      </w:pPr>
      <w:r>
        <w:rPr/>
      </w:r>
    </w:p>
    <w:p>
      <w:pPr>
        <w:pStyle w:val="TextBody"/>
        <w:bidi w:val="0"/>
        <w:spacing w:lineRule="auto" w:line="288"/>
        <w:ind w:left="0" w:right="0" w:firstLine="1440"/>
        <w:jc w:val="left"/>
        <w:rPr/>
      </w:pPr>
      <w:r>
        <w:rPr>
          <w:rFonts w:ascii="Times New Roman;sans-serif" w:hAnsi="Times New Roman;sans-serif"/>
          <w:b w:val="false"/>
          <w:color w:val="000000"/>
          <w:sz w:val="20"/>
        </w:rPr>
        <w:t xml:space="preserve">(b)(i)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(except with respect to assignments to competitors (as described in the definition of “Disqualified Lenders”) of the Borrower) not to be unreasonably withheld or delayed) of (A) the Borrower;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no consent of the Borrower shall be required for an assignment (w) by any Joint Lead Arranger (or its Affiliate) to the extent that an assignment by such Joint Lead Arranger (or such Affiliate) is made in the primary syndication to Eligible Assignees to whom the Borrower has consented or to any other Joint Lead Arranger (or its Affiliate), (x) by a Term Lender to any Lender, an Affiliate of any Lender or an Approved Fund, (y) if a Specified Event of Default has occurred and is continuing (other than with respect to any assignment to a Disqualified Lender) or (z) by a Revolving Lender to another Revolving Lender, an Affiliate of a Revolving Lender or an Approved Fund;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 xml:space="preserve">that no assignee contemplated by the immediately preceding proviso shall be entitled to receive any greater payment under Section 2.15 or Section 2.17 than the applicable assignor would have been entitled to receive with respect to the assignment made to such assignee, unless the assignment to such assignee is made with the Borrower’s prior written consent;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u w:val="single"/>
        </w:rPr>
        <w:t>further</w:t>
      </w:r>
      <w:r>
        <w:rPr>
          <w:color w:val="000000"/>
        </w:rPr>
        <w:t xml:space="preserve"> </w:t>
      </w:r>
      <w:r>
        <w:rPr>
          <w:rFonts w:ascii="Times New Roman;sans-serif" w:hAnsi="Times New Roman;sans-serif"/>
          <w:b w:val="false"/>
          <w:color w:val="000000"/>
          <w:sz w:val="20"/>
        </w:rPr>
        <w:t xml:space="preserve">that the Borrower shall have the right to withhold its consent to any assignment if in order for such assignment to comply with applicable law, the Borrower would be required to obtain the consent of, or make any filing or registration with, any Governmental Authority, (B) the First Lien Administrative Agent;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no consent of the First Lien Administrative Agent shall be required for an assignment of a Term Loan or assignments pursuant to the proviso in clause (z) of Section 9.04(b)(i)(A) to (x) a Revolving Lender, an Affiliate of a Lender or an Approved Fund or (y) subject to Section 9.04(f) and (g), an Affiliated Lender, Holdings, the Borrower or any of its Subsidiaries and (C) solely in the case of Revolving Loans and Revolving Commitments, each Issuing Bank and the Swingline Lender (not to be unreasonably withheld or delayed);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for the avoidance of doubt, no consent of any Issuing Bank or the Swingline Lender shall be required for an assignment of all or any portion of a Term Loan or Term Commitment. Notwithstanding anything in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51155"/>
                <wp:effectExtent l="0" t="0" r="0" b="0"/>
                <wp:wrapNone/>
                <wp:docPr id="250" name="Frame2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Section 9.04 to the contrary, if the Borrower has not given the First Lien Administrative Agent written notice of its objection to an assignment of Term Loans within ten (10) Business Days after written notice of such assignment, the Borrower shall be deemed to have consented to such assignment.</w:t>
      </w:r>
    </w:p>
    <w:p>
      <w:pPr>
        <w:pStyle w:val="TextBody"/>
        <w:bidi w:val="0"/>
        <w:spacing w:before="21"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 xml:space="preserve">(ii)Assignments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First Lien Administrative Agent and determined on an aggregate basis in the event of concurrent assignments to Related Funds or by Related Funds) shall, in the case of Revolving Loans, not be less than $2,500,000 or, in the case of a Term Loan, $1,000,000, unless the Borrower and the First Lien Administrative Agent otherwise consent (in each case, such consent not to be unreasonably withheld or delayed);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no such consent of the Borrower shall be required if a Specified Event of Default has occurred and is continuing, (B) each partial assignment shall be made as an assignment of a proportionate part of all the assigning Lender’s rights and obligations under this Agreement;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this clause (B) shall not be construed to prohibit assignment of a proportionate part of all the assigning Lender’s rights and obligations in respect of one Class of Commitments or Loans, (C) the parties to each assignment shall execute and deliver to the First Lien Administrative Agent an Assignment and Assumption via an electronic settlement system acceptable to the First Lien Administrative Agent or, if previously agreed with the First Lien Administrative Agent, manually execute and deliver to the First Lien Administrative Agent an Assignment and Assumption, and, in each case, together with a processing and recordation fee of $3,500;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First Lien Administrative Agent, in its sole discretion, may elect to waive or reduce such processing and recordation fee; </w:t>
      </w:r>
      <w:r>
        <w:rPr>
          <w:rFonts w:ascii="Times New Roman;sans-serif" w:hAnsi="Times New Roman;sans-serif"/>
          <w:b w:val="false"/>
          <w:color w:val="000000"/>
          <w:sz w:val="20"/>
          <w:u w:val="single"/>
        </w:rPr>
        <w:t>provided further</w:t>
      </w:r>
      <w:r>
        <w:rPr>
          <w:rFonts w:ascii="Times New Roman;sans-serif" w:hAnsi="Times New Roman;sans-serif"/>
          <w:b w:val="false"/>
          <w:color w:val="000000"/>
          <w:sz w:val="20"/>
        </w:rPr>
        <w:t xml:space="preserve">, that such processing and recordation fee shall not be payable in the case of assignments by any Agent or any Lender to any of its Affiliates;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 xml:space="preserve">that any such Assignment and Assumption shall include a representation by the assignee that the assignee is not a Disqualified Lender or an Affiliate of a Disqualified Lender;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 xml:space="preserve">that assignments made pursuant to Section 2.19(b) or Section 9.02(c) shall not require the signature of the assigning Lender to become effective, (D) the assignee, if it shall not be a Lender, shall deliver to the First Lien Administrative Agent any tax forms required by Section 2.17(f)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 (E) unless the Borrower otherwise consents, no assignment of all or any portion of the Revolving Commitment of a Lender that is also the Swingline Lender or an Issuing Bank may be made unless (1) the assignee shall be or become a Swingline Lender and/or an Issuing Bank, as applicable, and assume a ratable portion of the rights and obligations of such assignor in its capacity as Swingline Lender and Issuing Bank, or (2) 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Sections 2.04(a) and 2.05(b) by an amount not to exceed the difference between the assignor’s Revolving Commitment prior to such assignment and the assignor’s Revolving Commitment following such assignment;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no such consent of the Borrower shall be required if a Specified Event of Default has occurred and is continuing.</w:t>
      </w:r>
    </w:p>
    <w:p>
      <w:pPr>
        <w:pStyle w:val="TextBody"/>
        <w:bidi w:val="0"/>
        <w:spacing w:before="25" w:after="283"/>
        <w:jc w:val="left"/>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(iii)Subject to acceptance and recording thereof pursuant to paragraph (b)(v)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2.15, 2.16, 2.17 and 9.03 and to any fees payable hereunder that have accrued for such Lender’s account but have not yet been paid). Any assignment or transfer by a Lender of rights or obligations under this Agreement that does not comply with this Section 9.04 shall be treated for purposes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51155"/>
                <wp:effectExtent l="0" t="0" r="0" b="0"/>
                <wp:wrapNone/>
                <wp:docPr id="251" name="Frame2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this Agreement as a sale by such Lender of a participation in such rights and obligations in accordance with paragraph (c)(i) of this Section 9.04.</w:t>
      </w:r>
    </w:p>
    <w:p>
      <w:pPr>
        <w:pStyle w:val="TextBody"/>
        <w:bidi w:val="0"/>
        <w:spacing w:before="15"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(iv)The First Lien Administrative Agent, acting for this purpose as a non-fiduciary agent of the Borrower, shall maintain at one of its offices in the United States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Times New Roman;sans-serif" w:hAnsi="Times New Roman;sans-serif"/>
          <w:b w:val="false"/>
          <w:color w:val="000000"/>
          <w:sz w:val="20"/>
          <w:u w:val="single"/>
        </w:rPr>
        <w:t>Register</w:t>
      </w:r>
      <w:r>
        <w:rPr>
          <w:color w:val="000000"/>
        </w:rPr>
        <w:t>”</w:t>
      </w:r>
      <w:r>
        <w:rPr>
          <w:rFonts w:ascii="Times New Roman;sans-serif" w:hAnsi="Times New Roman;sans-serif"/>
          <w:b w:val="false"/>
          <w:color w:val="000000"/>
          <w:sz w:val="20"/>
        </w:rPr>
        <w:t>). Notwithstanding the foregoing, in no event shall the First Lien Administrative Agent be obligated to ascertain, monitor or inquire as to whether any Lender is an Affiliated Lender, nor shall the First Lien Administrative Agent be obligated to monitor the aggregate amount of the Loans or Incremental Loans held by Affiliated Lenders. The entries in the Register shall be conclusive absent manifest error, and Holdings, the Borrower, the First Lien Administrative Agent, the Issuing Banks and the Lenders shall treat each Person whose name is recorded in the Register pursuant to the terms hereof as a Lender hereunder for all purposes of this Agreement, notwithstanding notice to the contrary. In addition, the First Lien Administrative Agent shall maintain on the Register information regarding the designation, and revocation of designation, of any Lender as a Defaulting Lender. The Register shall be available for inspection by the Borrower, the Issuing Banks and any Lender, at any reasonable time and from time to time upon reasonable prior notice.</w:t>
      </w:r>
    </w:p>
    <w:p>
      <w:pPr>
        <w:pStyle w:val="TextBody"/>
        <w:bidi w:val="0"/>
        <w:spacing w:before="14"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(v)Upon its receipt of a duly completed Assignment and Assumption executed by an assigning Lender and an assignee, the assignee’s completed Administrative Questionnaire and any tax forms required by Section 2.17(f) (unless the assignee shall already be a Lender hereunder), the processing and recordation fee referred to in paragraph (b) of this Section 9.04 and any written consent to such assignment required by paragraph (b) of this Section 9.04, the First Lien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pStyle w:val="TextBody"/>
        <w:bidi w:val="0"/>
        <w:spacing w:before="13"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(vi)The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13"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(c)(i) Any Lender may, without the consent of the Borrower, the First Lien Administrative Agent, the Issuing Banks or the Swingline Lender, sell participations to one or more banks or other Persons (other than to a Person that is not an Eligible Assignee) (a “</w:t>
      </w:r>
      <w:r>
        <w:rPr>
          <w:rFonts w:ascii="Times New Roman;sans-serif" w:hAnsi="Times New Roman;sans-serif"/>
          <w:b w:val="false"/>
          <w:color w:val="000000"/>
          <w:sz w:val="20"/>
          <w:u w:val="single"/>
        </w:rPr>
        <w:t>Participant</w:t>
      </w:r>
      <w:r>
        <w:rPr>
          <w:color w:val="000000"/>
        </w:rPr>
        <w:t>”</w:t>
      </w:r>
      <w:r>
        <w:rPr>
          <w:rFonts w:ascii="Times New Roman;sans-serif" w:hAnsi="Times New Roman;sans-serif"/>
          <w:b w:val="false"/>
          <w:color w:val="000000"/>
          <w:sz w:val="20"/>
        </w:rPr>
        <w:t xml:space="preserve">) in all or a portion of such Lender’s rights and obligations under this Agreement (including all or a portion of its Commitment and the Loans owing to it);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 such Lender’s obligations under this Agreement shall remain unchanged, (B) such Lender shall remain solely responsible to the other parties hereto for the performance of such obligations and (C) Holdings, the Borrower, the First Lien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First Lien Loan Documents and to approve any amendment, modification or waiver of any provision of this Agreement and any other First Lien Loan Documents;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such agreement or instrument may provide that such Lender will not, without the consent of the Participant, agree to any amendment, modification or waiver described in clauses (i), (ii), (iii), (vi) and (vii) of the first proviso to Section 9.02(b) that directly and adversely affects such Participant. Subject to paragraph (c)(iii) of this Section, the Borrower agrees that each Participant shall be entitled to the benefits of Sections 2.15, 2.16 and</w:t>
      </w:r>
    </w:p>
    <w:p>
      <w:pPr>
        <w:pStyle w:val="TextBody"/>
        <w:bidi w:val="0"/>
        <w:spacing w:lineRule="auto" w:line="288" w:before="6" w:after="283"/>
        <w:jc w:val="both"/>
        <w:rPr/>
      </w:pPr>
      <w:r>
        <w:rPr>
          <w:rFonts w:ascii="Times New Roman;sans-serif" w:hAnsi="Times New Roman;sans-serif"/>
          <w:b w:val="false"/>
          <w:color w:val="000000"/>
          <w:sz w:val="20"/>
        </w:rPr>
        <w:t xml:space="preserve">2.17 (subject to the obligations and limitations thereof and Section 2.19, it being understood that any tax forms required by Section 2.17(f) shall be provided solely to the participating Lender) to the same extent as if it were a Lender and had acquired its interest by assignment pursuant to paragraph (b) of this Section 9.04. To the extent permitted by law, each Participant also shall be entitled to the benefits of Section 9.08 as though it were a Lender;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such Participant agrees to be subject to Section 2.18(c) as though it were a Lender.</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51155"/>
                <wp:effectExtent l="0" t="0" r="0" b="0"/>
                <wp:wrapNone/>
                <wp:docPr id="252" name="Frame2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p>
                    <w:p>
                      <w:pPr>
                        <w:pStyle w:val="TextBody"/>
                        <w:bidi w:val="0"/>
                        <w:spacing w:before="0" w:after="0"/>
                        <w:jc w:val="left"/>
                        <w:rPr/>
                      </w:pPr>
                      <w:r>
                        <w:rPr/>
                      </w:r>
                    </w:p>
                  </w:txbxContent>
                </v:textbox>
                <w10:wrap type="none"/>
              </v:rect>
            </w:pict>
          </mc:Fallback>
        </mc:AlternateContent>
      </w:r>
    </w:p>
    <w:p>
      <w:pPr>
        <w:pStyle w:val="TextBody"/>
        <w:bidi w:val="0"/>
        <w:spacing w:before="12"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(ii)Each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Times New Roman;sans-serif" w:hAnsi="Times New Roman;sans-serif"/>
          <w:b w:val="false"/>
          <w:color w:val="000000"/>
          <w:sz w:val="20"/>
          <w:u w:val="single"/>
        </w:rPr>
        <w:t>Participant Register</w:t>
      </w:r>
      <w:r>
        <w:rPr>
          <w:color w:val="000000"/>
        </w:rPr>
        <w:t>”</w:t>
      </w:r>
      <w:r>
        <w:rPr>
          <w:rFonts w:ascii="Times New Roman;sans-serif" w:hAnsi="Times New Roman;sans-serif"/>
          <w:b w:val="false"/>
          <w:color w:val="000000"/>
          <w:sz w:val="20"/>
        </w:rPr>
        <w:t>). The entries in the Participant Register shall be conclusive, absent manifest error, and the parties hereto shall treat each person whose name is recorded in the Participant Register as the owner of such participation for all purposes of this Agreement notwithstanding any notice to the contrary. No Lender shall have any obligation to disclose all or any portion of its Participant Register to any Person (including the identity of any Participant or any information relating to a Participant’s interest in any Commitments, Loans or other obligations under the First Lien Loan Documents) except to the extent that the relevant parties, acting reasonably and in good faith, determine that such disclosure is necessary in connection with a Tax audit or other proceeding to establish that any Loan or other obligation under the First Lien Loan Documents is in registered form for U.S. federal income tax purposes.</w:t>
      </w:r>
    </w:p>
    <w:p>
      <w:pPr>
        <w:pStyle w:val="TextBody"/>
        <w:bidi w:val="0"/>
        <w:spacing w:before="12"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(iii)A Participant (other than a Revolving Lender pursuant to Section 2.05(e)) shall not be entitled to receive any greater payment under Section 2.15, 2.16 or 2.17 than the applicable Lender would have been entitled to receive with respect to the participation sold to such Participant, unless the sale of the participation to such Participant is made with the Borrower’s prior written consent.</w:t>
      </w:r>
    </w:p>
    <w:p>
      <w:pPr>
        <w:pStyle w:val="TextBody"/>
        <w:bidi w:val="0"/>
        <w:spacing w:before="12"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(d)Any Lender may, without the consent of the Borrower or the First Lien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9.04 shall not apply to any such pledge or assignment of a security interest,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no such pledge or assignment of a security interest shall release a Lender from any of its obligations hereunder or substitute any such pledgee or assignee for such Lender as a party hereto.</w:t>
      </w:r>
    </w:p>
    <w:p>
      <w:pPr>
        <w:pStyle w:val="TextBody"/>
        <w:bidi w:val="0"/>
        <w:spacing w:before="12"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First Lien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First Lien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First Lien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15"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(f)Notwithstanding anything to the contrary herein, any Lender may, at any time, assign all or a portion of its rights and obligations under this Agreement to an Affiliated Lender subject to the following limitations:</w:t>
      </w:r>
    </w:p>
    <w:p>
      <w:pPr>
        <w:pStyle w:val="TextBody"/>
        <w:bidi w:val="0"/>
        <w:spacing w:before="12" w:after="283"/>
        <w:jc w:val="left"/>
        <w:rPr/>
      </w:pPr>
      <w:r>
        <w:rPr/>
      </w:r>
    </w:p>
    <w:p>
      <w:pPr>
        <w:pStyle w:val="TextBody"/>
        <w:bidi w:val="0"/>
        <w:spacing w:lineRule="auto" w:line="288" w:before="0" w:after="0"/>
        <w:ind w:left="0" w:right="0" w:firstLine="818"/>
        <w:jc w:val="both"/>
        <w:rPr>
          <w:rFonts w:ascii="Times New Roman;sans-serif" w:hAnsi="Times New Roman;sans-serif"/>
          <w:b w:val="false"/>
          <w:color w:val="000000"/>
          <w:sz w:val="20"/>
        </w:rPr>
      </w:pPr>
      <w:r>
        <w:rPr>
          <w:rFonts w:ascii="Times New Roman;sans-serif" w:hAnsi="Times New Roman;sans-serif"/>
          <w:b w:val="false"/>
          <w:color w:val="000000"/>
          <w:sz w:val="20"/>
        </w:rPr>
        <w:t>(i)Affiliated Lenders (other than Affiliated Debt Funds) will not receive information provided solely to Lenders by the First Lien Administrative Agent or any Lender and will not be permitted to attend or participate in meetings attended solely by the Lenders and the First Lien Administrative Agent, other than the right to receives notices of Borrowings, notices of prepayments and other administrative notices in respect of its Loans or Commitments required to be delivered to Lenders pursuant to Article II;</w:t>
      </w:r>
    </w:p>
    <w:p>
      <w:pPr>
        <w:pStyle w:val="TextBody"/>
        <w:bidi w:val="0"/>
        <w:spacing w:before="12" w:after="283"/>
        <w:jc w:val="left"/>
        <w:rPr/>
      </w:pPr>
      <w:r>
        <w:rPr/>
      </w:r>
    </w:p>
    <w:p>
      <w:pPr>
        <w:pStyle w:val="TextBody"/>
        <w:bidi w:val="0"/>
        <w:spacing w:lineRule="auto" w:line="288" w:before="60" w:after="283"/>
        <w:ind w:left="0" w:right="0" w:firstLine="76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(ii)for purposes of any amendment, waiver or modification of any First Lien Loan Document (including such modifications pursuant to Section 9.02), or, subject to Section 9.02(e), any plan of reorganization pursuant to the U.S. Bankruptcy Code, that in either case does not require the consent of each Lender or each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51155"/>
                <wp:effectExtent l="0" t="0" r="0" b="0"/>
                <wp:wrapNone/>
                <wp:docPr id="253" name="Frame2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pPr>
      <w:r>
        <w:rPr>
          <w:rFonts w:ascii="Times New Roman;sans-serif" w:hAnsi="Times New Roman;sans-serif"/>
          <w:b w:val="false"/>
          <w:color w:val="000000"/>
          <w:sz w:val="20"/>
        </w:rPr>
        <w:t xml:space="preserve">affected Lender or does not adversely affect such Affiliated Lender in any material respect as compared to other Lenders, or that would not deprive such Affiliated Lender of its pro rata share of any payments to which it is entitled,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U.S. Bankruptcy Code is not deemed to have been so voted, then such vote will be (x) deemed not to be in good faith and (y) “designated” pursuant to Section 1126(e) of the U.S. Bankruptcy Code such that the vote is not counted in determining whether the applicable class has accepted or rejected such plan in accordance with Section 1126(c) of the U.S. Bankruptcy Code;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Affiliated Debt Funds will not be subject to such voting limitations and will be entitled to vote as any other Lender;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further that Affiliated Debt Funds may not account for more than 49.9% of the “Required Lenders” in any Required Lender vote;</w:t>
      </w:r>
    </w:p>
    <w:p>
      <w:pPr>
        <w:pStyle w:val="TextBody"/>
        <w:bidi w:val="0"/>
        <w:spacing w:before="11" w:after="283"/>
        <w:jc w:val="left"/>
        <w:rPr/>
      </w:pPr>
      <w:r>
        <w:rPr/>
      </w:r>
    </w:p>
    <w:p>
      <w:pPr>
        <w:pStyle w:val="TextBody"/>
        <w:bidi w:val="0"/>
        <w:spacing w:lineRule="auto" w:line="288" w:before="0" w:after="0"/>
        <w:ind w:left="0" w:right="0" w:hanging="1164"/>
        <w:jc w:val="left"/>
        <w:rPr>
          <w:rFonts w:ascii="Times New Roman;sans-serif" w:hAnsi="Times New Roman;sans-serif"/>
          <w:b w:val="false"/>
          <w:color w:val="000000"/>
          <w:sz w:val="20"/>
        </w:rPr>
      </w:pPr>
      <w:r>
        <w:rPr>
          <w:rFonts w:ascii="Times New Roman;sans-serif" w:hAnsi="Times New Roman;sans-serif"/>
          <w:b w:val="false"/>
          <w:color w:val="000000"/>
          <w:sz w:val="20"/>
        </w:rPr>
        <w:t>(iii)Affiliated Lenders may not purchase Revolving Loans, including pursuant to this Section</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9.04;</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(iv)the aggregate principal amount of Term Loans purchased by assignment pursuant to this Section 9.04 and held at any one time by Affiliated Lenders (other than Affiliated Debt Funds) may not exceed 25.0% of the aggregate principal amount of all Term Loans outstanding at the time of such purchase, after giving effect to any substantially simultaneous cancellations thereof;</w:t>
      </w:r>
    </w:p>
    <w:p>
      <w:pPr>
        <w:pStyle w:val="TextBody"/>
        <w:bidi w:val="0"/>
        <w:spacing w:before="12" w:after="283"/>
        <w:jc w:val="left"/>
        <w:rPr/>
      </w:pPr>
      <w:r>
        <w:rPr/>
      </w:r>
    </w:p>
    <w:p>
      <w:pPr>
        <w:pStyle w:val="TextBody"/>
        <w:bidi w:val="0"/>
        <w:spacing w:lineRule="auto" w:line="288" w:before="0" w:after="0"/>
        <w:ind w:left="0" w:right="0" w:firstLine="775"/>
        <w:jc w:val="both"/>
        <w:rPr>
          <w:rFonts w:ascii="Times New Roman;sans-serif" w:hAnsi="Times New Roman;sans-serif"/>
          <w:b w:val="false"/>
          <w:color w:val="000000"/>
          <w:sz w:val="20"/>
        </w:rPr>
      </w:pPr>
      <w:r>
        <w:rPr>
          <w:rFonts w:ascii="Times New Roman;sans-serif" w:hAnsi="Times New Roman;sans-serif"/>
          <w:b w:val="false"/>
          <w:color w:val="000000"/>
          <w:sz w:val="20"/>
        </w:rPr>
        <w:t>(v)Affiliated Lenders shall clearly identify themselves as an Affiliated Lender in the loan assignment documentation. In no event shall the First Lien Administrative Agent be obligated to ascertain, monitor or inquire as to whether any lender is an Affiliated Lender or Affiliated Debt Fund nor shall the First Lien Administrative Agent be obligated to monitor the number of Affiliated Lenders or Affiliated Debt Funds or the aggregate amount of Term Loans or First Lien Incremental Term Loans held by Affiliated Lenders or Affiliated Debt Funds;</w:t>
      </w:r>
    </w:p>
    <w:p>
      <w:pPr>
        <w:pStyle w:val="TextBody"/>
        <w:bidi w:val="0"/>
        <w:spacing w:before="12" w:after="283"/>
        <w:jc w:val="left"/>
        <w:rPr/>
      </w:pPr>
      <w:r>
        <w:rPr/>
      </w:r>
    </w:p>
    <w:p>
      <w:pPr>
        <w:pStyle w:val="TextBody"/>
        <w:bidi w:val="0"/>
        <w:spacing w:lineRule="auto" w:line="288" w:before="1" w:after="283"/>
        <w:ind w:left="0" w:right="0" w:firstLine="818"/>
        <w:jc w:val="both"/>
        <w:rPr/>
      </w:pPr>
      <w:r>
        <w:rPr>
          <w:rFonts w:ascii="Times New Roman;sans-serif" w:hAnsi="Times New Roman;sans-serif"/>
          <w:b w:val="false"/>
          <w:color w:val="000000"/>
          <w:sz w:val="20"/>
        </w:rPr>
        <w:t xml:space="preserve">(i)Affiliated Lenders (other than Affiliated Debt Funds) will not be permitted to vote on matters requiring a Required Lender vote, and the Term Loans held by Affiliated Lenders (other than Affiliated Debt Funds) shall be disregarded in determining (x) other Lenders’ commitment percentages (y) matters submitted to Lenders for consideration that do not require the consent of each Lender or each affected Lender or do not adversely affect such Affiliated Lender in any material respect as compared to other Lenders that are not Affiliated Lenders;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commitments of any Affiliated Lender shall not be increased, the Interest Payment Dates and the dates of any scheduled amortization payments (including at maturity) owed to any Affiliated Lender hereunder will not be extended and the amounts owning to any Affiliated Lender hereunder will not be reduced without the consent of such Affiliated Lender; and</w:t>
      </w:r>
    </w:p>
    <w:p>
      <w:pPr>
        <w:pStyle w:val="TextBody"/>
        <w:bidi w:val="0"/>
        <w:spacing w:before="14"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(vi)each Lender making such assignment to such Affiliated Lender acknowledges and agrees that in connection with such assignment, (1) such Affiliated Lender then may have, and later may come into possession of Material Non-Public Information, (2) such Lender has independently and, without reliance on such Affiliated Lender,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 Administrative Agent, any Affiliated Lender or any of their respective Affiliates shall have any liability to such Lender, and such Lender hereby waives and releases, to the extent permitted by Requirements of Law, any claims such Lender may have against Holdings, its Subsidiaries, the First Lien Administrative Agent, such Affiliated Lender and their respective Affiliates, under applicable laws or otherwise, with respect to the nondisclosure of the Material Non-Public Information. Each Lender entering into such an assignment further acknowledges that the Material Non-Public Information may not be available to the First Lien Administrative Agent or the other Lenders.</w:t>
      </w:r>
    </w:p>
    <w:p>
      <w:pPr>
        <w:pStyle w:val="TextBody"/>
        <w:bidi w:val="0"/>
        <w:spacing w:before="15" w:after="283"/>
        <w:jc w:val="left"/>
        <w:rPr/>
      </w:pPr>
      <w:r>
        <w:rPr/>
      </w:r>
    </w:p>
    <w:p>
      <w:pPr>
        <w:pStyle w:val="TextBody"/>
        <w:bidi w:val="0"/>
        <w:spacing w:lineRule="auto" w:line="288" w:before="6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(g)Any Lender may, at any time, assign all or a portion of its Term Loans (but not Revolving Loans) to Holdings or any of its Subsidiaries, through (x) Dutch auctions or other offers to purchase open to all Lenders on a pro rata basis in accordance with procedures of the type described in Section 2.11(a)(ii) or other customary procedures acceptable to the First Lien Administrative Agent and/or (y) open market purchases on a non-</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51155"/>
                <wp:effectExtent l="0" t="0" r="0" b="0"/>
                <wp:wrapNone/>
                <wp:docPr id="254" name="Frame2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pPr>
      <w:r>
        <w:rPr>
          <w:rFonts w:ascii="Times New Roman;sans-serif" w:hAnsi="Times New Roman;sans-serif"/>
          <w:b w:val="false"/>
          <w:color w:val="000000"/>
          <w:sz w:val="20"/>
        </w:rPr>
        <w:t xml:space="preserve">pro rata basis,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 the Borrower shall not make any Borrowing of Revolving Loans or Swingline Loans to fund such assignment, (ii) any Term Loans that are so assigned will be automatically and irrevocably cancelled and the aggregate principal amount of the tranches and installments of the relevant Term Loans then outstanding shall be reduced by an amount equal to the principal amount of such Term Loans, (iii) no Event of Default shall have occurred and be continuing and (iv) each Lender making such assignment to Holdings or any of its Subsidiaries acknowledges and agrees that in connection with such assignment, (1) Holdings or its Subsidiaries then may have, and later may come into possession of Material Non-Public Information, (2) such Lender has independently and, without reliance on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 Administrative Agent, or any of their respective Affiliates shall have any liability to such Lender, and such Lender hereby waives and releases, to the extent permitted by Requirements of Law, any claims such Lender may have against Holdings, its Subsidiaries, the First Lien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First Lien Administrative Agent or the other Lenders.</w:t>
      </w:r>
    </w:p>
    <w:p>
      <w:pPr>
        <w:pStyle w:val="TextBody"/>
        <w:bidi w:val="0"/>
        <w:spacing w:before="14"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(h)Notwithstanding the foregoing, no assignment may be made or participation sold to a Disqualified Lender without the prior written consent of the Borrower;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upon inquiry by any Lender to the First Lien Administrative Agent as to whether a specified potential assignee or prospective participant is on the list of Disqualified Lenders, the First Lien Administrative Agent shall be permitted to disclose to such Lender whether such specific potential assignee or prospective participant is on the list of Disqualified Lenders;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u w:val="single"/>
        </w:rPr>
        <w:t>further</w:t>
      </w:r>
      <w:r>
        <w:rPr>
          <w:color w:val="000000"/>
        </w:rPr>
        <w:t xml:space="preserve"> </w:t>
      </w:r>
      <w:r>
        <w:rPr>
          <w:rFonts w:ascii="Times New Roman;sans-serif" w:hAnsi="Times New Roman;sans-serif"/>
          <w:b w:val="false"/>
          <w:color w:val="000000"/>
          <w:sz w:val="20"/>
        </w:rPr>
        <w:t xml:space="preserve">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First Lien Loan Document to the contrary, if any Lender was a Disqualified Lender at the time of the assignment of any Loans or Commitments to such Lender, following written notice from the Borrower to such Lender and the First Lien Administrative Agent and otherwise in accordance with Section 2.19(b), as applicable: (1) such Lender shall promptly assign all Loans and Commitments held by such Lender to an Eligible Assignee;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 the First Lien Administrative Agent shall not have any obligation to the Borrower, such Lender or any other Person to find such a replacement Lender, (B) the Borrower shall not have any obligation to such Disqualified Lender or any other Person to find such a replacement Lender or accept or consent to any such assignment to itself or any other Person subject to the Borrower’s consent in accordance with Section 9.04(b)(i) and</w:t>
      </w:r>
    </w:p>
    <w:p>
      <w:pPr>
        <w:pStyle w:val="TextBody"/>
        <w:bidi w:val="0"/>
        <w:spacing w:lineRule="auto" w:line="288" w:before="7" w:after="283"/>
        <w:jc w:val="both"/>
        <w:rPr/>
      </w:pPr>
      <w:r>
        <w:rPr>
          <w:rFonts w:ascii="Times New Roman;sans-serif" w:hAnsi="Times New Roman;sans-serif"/>
          <w:b w:val="false"/>
          <w:color w:val="000000"/>
          <w:sz w:val="20"/>
        </w:rPr>
        <w:t xml:space="preserve">(C) the assignment of such Loans and/or Commitments, as the case may be, shall be at par plus accrued and unpaid interest and fees; (2) such Lender shall not have any voting or approval rights under the First Lien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Section 9.02);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First Lien Administrative Agent or any Lender or will be permitted to attend or participate in meetings attended solely by the Lenders and the First Lien Administrative Agent, other than the right to receive notices or Borrowings, notices or prepayments and other administrative notices in respect of its Loans or Commitments required to be delivered to Lenders pursuant to Article II.</w:t>
      </w:r>
    </w:p>
    <w:p>
      <w:pPr>
        <w:pStyle w:val="TextBody"/>
        <w:bidi w:val="0"/>
        <w:spacing w:before="15"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(i)Notwithstanding the foregoing, any Affiliated Lender shall be permitted, at its option, to contribute any Term Loans so assigned to such Affiliated Lender pursuant to this Section 9.04 to Holdings or any of its Subsidiaries for purposes of cancellation, which contribution may be made (including, with the Borrower’s consent, to the Borrower, whether through Holdings or any Intermediate Parent or otherwise), in exchange for Qualified Equity Interests of Holdings, any Intermediate Parent or the Borrower or Indebtedness of the Borrower to the extent such Indebtedness is permitted to be incurred pursuant to Section 6.01 at such time.</w:t>
      </w:r>
    </w:p>
    <w:p>
      <w:pPr>
        <w:pStyle w:val="TextBody"/>
        <w:bidi w:val="0"/>
        <w:spacing w:before="13"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51155"/>
                <wp:effectExtent l="0" t="0" r="0" b="0"/>
                <wp:wrapNone/>
                <wp:docPr id="255" name="Frame2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20"/>
        </w:rPr>
        <w:t>SECTION 9.05    </w:t>
      </w:r>
      <w:r>
        <w:rPr>
          <w:rFonts w:ascii="Times New Roman;sans-serif" w:hAnsi="Times New Roman;sans-serif"/>
          <w:b w:val="false"/>
          <w:color w:val="000000"/>
          <w:sz w:val="20"/>
          <w:u w:val="single"/>
        </w:rPr>
        <w:t>Survival</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All covenants, agreements, representations and warranties made by the Loan Parties in the First Lien Loan Documents and in the certificates or other instruments delivered in connection with or pursuant to any First Lien Loan Document shall be considered to have been relied upon by the other parties hereto and shall survive the execution and delivery of the First Lien Loan Documents and the making of any Loans and issuance of any Letters of Credit, regardless of any investigation made by any such other party or on its behalf and notwithstanding that the First Lien Administrative Agent, any Issuing Bank or any Lender may have had notice or knowledge of any Default or incorrect representation or warranty at the time any credit is extended hereunder, and shall continue in full force and effect until the Termination Date. The provisions of Sections 2.15, 2.16, 2.17, 8.11 and 9.03 and Article VIII shall survive and remain in full force and effect regardless of the consummation of the transactions contemplated hereby, the repayment of the Loans and all other amounts payable hereunder, the expiration or termination of the Letters of Credit and the Commitments or the termination of this Agreement or any provision hereof. Notwithstanding the foregoing or anything else to the contrary set forth in this Agreement, in the event that, in connection with the refinancing or repayment in full of the credit facilities provided for herein, an Issuing Bank shall have provided to the First Lien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First Lien Loan Documents, and the Revolving Lenders shall be deemed to have no participations in such Letter of Credit, and no obligations with respect thereto, under Section 2.05(e) or (f).</w:t>
      </w:r>
    </w:p>
    <w:p>
      <w:pPr>
        <w:pStyle w:val="TextBody"/>
        <w:bidi w:val="0"/>
        <w:spacing w:before="17"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9.06    </w:t>
      </w:r>
      <w:r>
        <w:rPr>
          <w:rFonts w:ascii="Times New Roman;sans-serif" w:hAnsi="Times New Roman;sans-serif"/>
          <w:b w:val="false"/>
          <w:color w:val="000000"/>
          <w:sz w:val="20"/>
          <w:u w:val="single"/>
        </w:rPr>
        <w:t>Counterparts; Integration; Effectiveness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This Agreement may be executed in counterparts (and by different parties hereto on different counterparts), each of which shall constitute an original, but all of which when taken together shall constitute a single contract. This Agreement, the other First Lien Loan Documents and any separate letter agreements with respect to fees payable to the First Lien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First Lien Administrative Agent and when the First Lien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w:t>
      </w:r>
    </w:p>
    <w:p>
      <w:pPr>
        <w:pStyle w:val="TextBody"/>
        <w:bidi w:val="0"/>
        <w:spacing w:before="15"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9.07    </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9.07, if and to the extent that the enforceability of any provisions in this Agreement relating to Defaulting Lenders shall be limited by Debtor Relief Laws, as determined in good faith by the First Lien Administrative Agent, the Issuing Bank or the Swingline Lender, as applicable, then such provisions shall be deemed to be in effect only to the extent not so limited.</w:t>
      </w:r>
    </w:p>
    <w:p>
      <w:pPr>
        <w:pStyle w:val="TextBody"/>
        <w:bidi w:val="0"/>
        <w:spacing w:before="13"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9.08    </w:t>
      </w:r>
      <w:r>
        <w:rPr>
          <w:rFonts w:ascii="Times New Roman;sans-serif" w:hAnsi="Times New Roman;sans-serif"/>
          <w:b w:val="false"/>
          <w:color w:val="000000"/>
          <w:sz w:val="20"/>
          <w:u w:val="single"/>
        </w:rPr>
        <w:t>Right of Setoff</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Specified Event of Default shall have occurred and be continuing, each Lender and each Issuing Bank is hereby authorized at any time and from time to time, to the fullest extent permitted by law, to set off </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51155"/>
                <wp:effectExtent l="0" t="0" r="0" b="0"/>
                <wp:wrapNone/>
                <wp:docPr id="256" name="Frame2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pPr>
      <w:r>
        <w:rPr>
          <w:rFonts w:ascii="Times New Roman;sans-serif" w:hAnsi="Times New Roman;sans-serif"/>
          <w:b w:val="false"/>
          <w:color w:val="000000"/>
          <w:sz w:val="20"/>
        </w:rPr>
        <w:t xml:space="preserve">and apply any and all deposits (general or special, time or demand, provisional or final, in whatever currency) at any time held and other obligations (in whatever currency) at any time owing by such Lender or such Issuing Bank to or for the credit or the account of the Borrower (excluding, for the avoidance of doubt, any Settlement Assets except to effect Settlement Payments such Lender is obligated to make to a third party in respect of such Settlement Assets or as otherwise agreed in writing between the Borrower and such Lender) against any of and all the obligations of the 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in the event that any Defaulting Lender shall exercise any such right of setoff, (x) all amounts so set off shall be paid over immediately to the First Lien Administrative Agent for further application in accordance with the provisions of Section 2.22 and, pending such payment, shall be segregated by such Defaulting Lender from its other funds and deemed held in trust for the benefit of the First Lien Administrative Agent and the Lenders and (y) the Defaulting Lender shall provide promptly to the First Lien Administrative Agent a statement describing in reasonable detail the Secured Obligations owing to such Defaulting Lender as to which it exercised such right of setoff. The applicable Lender and applicable Issuing Bank shall notify the Borrower and the First Lien Administrative Agent of such setoff and application;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any failure to give or any delay in giving such notice shall not affect the validity of any such setoff and application under this Section 9.08. The rights of each Lender and each Issuing Bank under this Section 9.08 are in addition to other rights and remedies (including other rights of setoff) that such Lender or such Issuing Bank may have. Notwithstanding the foregoing, no amount set off from any Loan Party (other than the Borrower) shall be applied to any Excluded Swap Obligation of such Loan Party (other than the Borrower).</w:t>
      </w:r>
    </w:p>
    <w:p>
      <w:pPr>
        <w:pStyle w:val="TextBody"/>
        <w:bidi w:val="0"/>
        <w:spacing w:before="16"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9.09    </w:t>
      </w:r>
      <w:r>
        <w:rPr>
          <w:rFonts w:ascii="Times New Roman;sans-serif" w:hAnsi="Times New Roman;sans-serif"/>
          <w:b w:val="false"/>
          <w:color w:val="000000"/>
          <w:sz w:val="20"/>
          <w:u w:val="single"/>
        </w:rPr>
        <w:t>Governing Law; Jurisdiction; Consent to Service of Process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(a)This Agreement shall be construed in accordance with and governed by the laws of the State of New York.</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First Lien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First Lien Loan Document shall affect any right that the First Lien Administrative Agent, any Issuing Bank or any Lender may otherwise have to bring any action or proceeding to enforce any award or judgment or exercise any rights under the Security Documents against any Collateral in any other forum in which Collateral is located.</w:t>
      </w:r>
    </w:p>
    <w:p>
      <w:pPr>
        <w:pStyle w:val="TextBody"/>
        <w:bidi w:val="0"/>
        <w:spacing w:before="15"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(c)Each party hereto hereby irrevocably and unconditionally waives, to the fullest extent it may legally and effectively do so, any objection that it may now or hereafter have to the laying of venue of any suit, action or proceeding arising out of or relating to any First Lien Loan Document in any court referred to in paragraph (b) of this Section 9.09. Each of the parties hereto hereby irrevocably waives, to the fullest extent permitted by law, the defense of an inconvenient forum to the maintenance of such action or proceeding in any such court.</w:t>
      </w:r>
    </w:p>
    <w:p>
      <w:pPr>
        <w:pStyle w:val="TextBody"/>
        <w:bidi w:val="0"/>
        <w:spacing w:before="13"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(d)Each party to this Agreement irrevocably consents to service of process in the manner provided for notices in Section 9.01. Nothing in any First Lien Loan Document will affect the right of any party to this Agreement to serve process in any other manner permitted by law.</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9.10    </w:t>
      </w:r>
      <w:r>
        <w:rPr>
          <w:rFonts w:ascii="Times New Roman;sans-serif" w:hAnsi="Times New Roman;sans-serif"/>
          <w:b w:val="false"/>
          <w:color w:val="000000"/>
          <w:sz w:val="20"/>
          <w:u w:val="single"/>
        </w:rPr>
        <w:t>WAIVER OF JURY TRIAL</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PARTY HERETO HEREBY WAIVES, TO THE FULLEST EXTENT PERMITTED BY APPLICABLE LAW, ANY RIGHT IT MAY HAVE TO A TRIAL BY JURY IN ANY LEGAL PROCEEDING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51155"/>
                <wp:effectExtent l="0" t="0" r="0" b="0"/>
                <wp:wrapNone/>
                <wp:docPr id="257" name="Frame2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DIRECTLY OR INDIRECTLY ARISING OUT OF OR RELATING TO ANY FIRST LIEN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9.11    </w:t>
      </w:r>
      <w:r>
        <w:rPr>
          <w:rFonts w:ascii="Times New Roman;sans-serif" w:hAnsi="Times New Roman;sans-serif"/>
          <w:b w:val="false"/>
          <w:color w:val="000000"/>
          <w:sz w:val="20"/>
          <w:u w:val="single"/>
        </w:rPr>
        <w:t>Headings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12"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9.12    </w:t>
      </w:r>
      <w:r>
        <w:rPr>
          <w:rFonts w:ascii="Times New Roman;sans-serif" w:hAnsi="Times New Roman;sans-serif"/>
          <w:b w:val="false"/>
          <w:color w:val="000000"/>
          <w:sz w:val="20"/>
          <w:u w:val="single"/>
        </w:rPr>
        <w:t>Confidentiality</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 xml:space="preserve">(a)Each of the First Lien Administrative Agent, the Issuing Banks and the Lenders agrees to maintain the confidentiality of the Information (as defined below), except that Information may be disclosed (i) to its Affiliates (other than Excluded Affiliates) and its and their respective directors, officers, employees, trustees and agents, including accountants, legal counsel and other agents and advisors and any numbering, administration or settlement service providers (it being understood that the Persons to whom such disclosure is made will be informed of the confidential nature of such Information and instructed to keep such Information confidential and any failure of such Persons acting on behalf of the First Lien Administrative Agent, any Issuing Bank or the relevant Lender to comply with this Section 9.12 shall constitute a breach of this Section 9.12 by the First Lien Administrative Agent, such Issuing Bank or the relevant Lender, as applicable), (ii) to the extent requested by any regulatory authority or self-regulatory authority, required by applicable law or by any subpoena or similar legal process or in connection with the exercise of remedies hereunder or any suit, action or proceeding relating to this Agreement or the enforcement of rights hereunder;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(x) solely to the extent permitted by law and other than in connection with routine audits and reviews by regulatory and self-regulatory authorities, each Lender and the First Lien Administrative Agent shall notify the Borrower as promptly as practicable of any such requested or required disclosure in connection with any legal or regulatory proceeding and (y) in the case of clause (ii) only, each Lender and the First Lien Administrative Agent shall use commercially reasonable efforts to ensure that such Information is kept confidential in connection with the exercise of such remedies; and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u w:val="single"/>
        </w:rPr>
        <w:t>further</w:t>
      </w:r>
      <w:r>
        <w:rPr>
          <w:color w:val="000000"/>
        </w:rPr>
        <w:t xml:space="preserve"> </w:t>
      </w:r>
      <w:r>
        <w:rPr>
          <w:rFonts w:ascii="Times New Roman;sans-serif" w:hAnsi="Times New Roman;sans-serif"/>
          <w:b w:val="false"/>
          <w:color w:val="000000"/>
          <w:sz w:val="20"/>
        </w:rPr>
        <w:t>that in no event shall any Lender or the First Lien Administrative Agent be obligated or required to return any materials furnished by the Borrower or any Subsidiary of Holdings, (iii) to any other party to this Agreement, (iv) subject to an agreement containing confidentiality undertakings substantially similar to those of this Section 9.12, to (A) any assignee of or Participant in, or any prospective assignee of or Participant in, any of its rights or obligations under this Agreement,</w:t>
      </w:r>
    </w:p>
    <w:p>
      <w:pPr>
        <w:pStyle w:val="TextBody"/>
        <w:bidi w:val="0"/>
        <w:spacing w:lineRule="auto" w:line="288" w:before="9" w:after="283"/>
        <w:jc w:val="both"/>
        <w:rPr/>
      </w:pPr>
      <w:r>
        <w:rPr>
          <w:rFonts w:ascii="Times New Roman;sans-serif" w:hAnsi="Times New Roman;sans-serif"/>
          <w:b w:val="false"/>
          <w:color w:val="000000"/>
          <w:sz w:val="20"/>
        </w:rPr>
        <w:t xml:space="preserve">(B) any actual or prospective counterparty (or its advisors) to any Swap Agreement or derivative transaction relating to any Loan Party or its Subsidiaries and its obligations under the First Lien Loan Documents or (C) any pledgee referred to in Section 9.04(d), (v) if required by any rating agency;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prior to any such disclosure, such rating agency shall have agreed in writing to maintain the confidentiality of such Information, (vi) to service providers providing administrative and ministerial services solely in connection with the syndication and administration of the First Lien Loan Documents and the facilities (e.g., identities of parties, maturity dates, interest rates, etc.) on a confidential basis, or (vii) to the extent such Information (x) becomes publicly available other than as a result of a breach of this Section 9.12 or (y) becomes available to the First Lien Administrative Agent, any Issuing Bank, any Lender or any of their respective Affiliates on a nonconfidential basis from a source other than Holdings, the Borrower or any Subsidiary, which source is not known by the recipient of such information to be subject to a confidentiality obligation. For the purposes hereof, “</w:t>
      </w:r>
      <w:r>
        <w:rPr>
          <w:rFonts w:ascii="Times New Roman;sans-serif" w:hAnsi="Times New Roman;sans-serif"/>
          <w:b w:val="false"/>
          <w:color w:val="000000"/>
          <w:sz w:val="20"/>
          <w:u w:val="single"/>
        </w:rPr>
        <w:t>Information</w:t>
      </w:r>
      <w:r>
        <w:rPr>
          <w:color w:val="000000"/>
        </w:rPr>
        <w:t xml:space="preserve">” </w:t>
      </w:r>
      <w:r>
        <w:rPr>
          <w:rFonts w:ascii="Times New Roman;sans-serif" w:hAnsi="Times New Roman;sans-serif"/>
          <w:b w:val="false"/>
          <w:color w:val="000000"/>
          <w:sz w:val="20"/>
        </w:rPr>
        <w:t xml:space="preserve">means all information received from or on behalf of Holdings or the Borrower relating to Holdings, any Intermediate Parent, the Borrower, any other Subsidiary or their business, other than any such information that is available to the First Lien Administrative Agent, any Issuing Bank or any Lender on a nonconfidential basis prior to disclosure by Holdings, any Intermediate Parent, the Borrower or any Subsidiary and other than information pertaining to this Agreement routinely provided by arrangers to data service providers, including league table providers, that serve the lending industry; </w:t>
      </w:r>
      <w:r>
        <w:rPr>
          <w:rFonts w:ascii="Times New Roman;sans-serif" w:hAnsi="Times New Roman;sans-serif"/>
          <w:b w:val="false"/>
          <w:color w:val="000000"/>
          <w:sz w:val="20"/>
          <w:u w:val="single"/>
        </w:rPr>
        <w:t>provided</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51155"/>
                <wp:effectExtent l="0" t="0" r="0" b="0"/>
                <wp:wrapNone/>
                <wp:docPr id="258" name="Frame2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9"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that, in the case of information received from Holdings, any Intermediate Parent, the Borrower or any Subsidiary after the Effective Date, such information is clearly identified at the time of delivery as 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 Notwithstanding the foregoing, no such information shall be disclosed to a Disqualified Lender that constitutes a Disqualified Lender at the time of such disclosure without the Borrower’s prior written consent.</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(b)EACH LENDER ACKNOWLEDGES THAT INFORMATION (AS DEFINED IN SECTION 9.12(a))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before="13"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(c)ALL INFORMATION, INCLUDING REQUESTS FOR WAIVERS AND AMENDMENTS FURNISHED BY THE BORROWER OR THE FIRST LIEN ADMINISTRATIVE AGENT PURSUANT TO, OR IN THE COURSE OF ADMINISTERING, THIS AGREEMENT, WILL BE SYNDICATE-LEVEL INFORMATION, WHICH MAY CONTAIN MATERIAL NON-PUBLIC INFORMATION ABOUT HOLDINGS, THE BORROWER, THE LOAN PARTIES AND THEIR RELATED PARTIES OR THEIR RESPECTIVE SECURITIES. ACCORDINGLY, EACH LENDER REPRESENTS TO THE BORROWER AND THE FIRST LIEN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pStyle w:val="TextBody"/>
        <w:bidi w:val="0"/>
        <w:spacing w:before="14"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9.13    </w:t>
      </w:r>
      <w:r>
        <w:rPr>
          <w:rFonts w:ascii="Times New Roman;sans-serif" w:hAnsi="Times New Roman;sans-serif"/>
          <w:b w:val="false"/>
          <w:color w:val="000000"/>
          <w:sz w:val="20"/>
          <w:u w:val="single"/>
        </w:rPr>
        <w:t>USA PATRIOT Act</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Each Lender that is subject to the USA PATRIOT Act and the First Lien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First Lien Administrative Agent, as applicable, to identify each Loan Party in accordance with the USA PATRIOT Act.</w:t>
      </w:r>
    </w:p>
    <w:p>
      <w:pPr>
        <w:pStyle w:val="TextBody"/>
        <w:bidi w:val="0"/>
        <w:spacing w:before="12"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9.14    </w:t>
      </w:r>
      <w:r>
        <w:rPr>
          <w:rFonts w:ascii="Times New Roman;sans-serif" w:hAnsi="Times New Roman;sans-serif"/>
          <w:b w:val="false"/>
          <w:color w:val="000000"/>
          <w:sz w:val="20"/>
          <w:u w:val="single"/>
        </w:rPr>
        <w:t>Release of Liens and Guarantees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00000"/>
          <w:sz w:val="20"/>
        </w:rPr>
        <w:t xml:space="preserve">(a)A Subsidiary Loan Party shall automatically be released from its obligations under the First Lien Loan Documents, and all security interests created by the Security Documents in Collateral owned by such Subsidiary Loan Party shall be automatically released upon the consummation of any transaction or designation permitted by this Agreement as a result of which such Subsidiary Loan Party ceases to be a Restricted Subsidiary (including pursuant to a permitted merger or amalgamation with a Subsidiary that is not a Loan Party or a designation as an Unrestricted Subsidiary) or becomes an Excluded Subsidiary (other than solely as a result of becoming a Non-Wholly Owned Subsidiary);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if so required by this Agreement, the Required Lenders shall have consented to such transaction and the terms of such consent shall not have provided otherwise. Upon any sale, disposition or other transfer by any Loan Party (other than to any other Loan Party) of any Collateral in a transaction permitted under this Agreement, or upon the effectiveness of any written consent to the release of the security interest created under any Security Document in any Collateral, the security interests in such Collateral created by the Security Documents shall be automatically released. Upon the release of Holdings or any Subsidiary Loan Party from its Guarantee in compliance with this Agreement, the security interest in any Collateral owned by Holdings or such Subsidiary Loan Party created by the Security Documents shall be automatically released. Upon the designation of a Restricted Subsidiary as an Unrestricted Subsidiary in compliance with this Agreement, the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51155"/>
                <wp:effectExtent l="0" t="0" r="0" b="0"/>
                <wp:wrapNone/>
                <wp:docPr id="259" name="Frame2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security interest created by the Security Documents in the Equity Interests of such new Unrestricted Subsidiary shall automatically be released. Upon the Termination Date all obligations under the First Lien Loan Documents and all security interests created by the Security Documents shall be automatically released. In connection with any termination or release pursuant to this Section 9.14, the First Lien Administrative Agent or the First Lien Collateral Agent, as the case may be, shall execute and deliver to any Loan Party, at such Loan Party’s expense, all documents that such Loan Party shall reasonably request to evidence or to file or register in any office such termination or release so long as the Borrower or applicable Loan Party shall have provided the First Lien Administrative Agent or the First Lien Collateral Agent, as the case may be, such certifications or documents as the First Lien Administrative Agent or the First Lien Collateral Agent, as the case may be, shall reasonably request in order to demonstrate compliance with this Agreement.</w:t>
      </w:r>
    </w:p>
    <w:p>
      <w:pPr>
        <w:pStyle w:val="TextBody"/>
        <w:bidi w:val="0"/>
        <w:spacing w:before="12"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(b)The First Lien Administrative Agent or the First Lien Collateral Agent, as the case may be, will, at the Borrower’s expense, execute and deliver to the applicable Loan Party or to file or register in any office such documents as such Loan Party may reasonably request to subordinate its Lien on any property granted to or held by the First Lien Administrative Agent or the First Lien Collateral Agent, as the case may be, under any First Lien Loan Document to the holder of any Lien on such property that is permitted by Section 6.02(iv).</w:t>
      </w:r>
    </w:p>
    <w:p>
      <w:pPr>
        <w:pStyle w:val="TextBody"/>
        <w:bidi w:val="0"/>
        <w:spacing w:before="12"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(c)Each of the Lenders and the Issuing Banks irrevocably authorizes the First Lien Administrative Agent or the First Lien Collateral Agent, as the case may be, to provide any release or evidence of release, termination or subordination contemplated by this Section 9.14. Upon request by the First Lien Administrative Agent or the First Lien Collateral Agent, as the case may be, at any time, the Required Lenders will confirm in writing the First Lien Administrative Agent’s authority or the First Lien Collateral Agent’s authority, as the case may be, to release or subordinate its interest in particular types or items of property, or to release any Loan Party from its obligations under any First Lien Loan Document, in each case in accordance with the terms of the First Lien Loan Documents and this Section 9.14.</w:t>
      </w:r>
    </w:p>
    <w:p>
      <w:pPr>
        <w:pStyle w:val="TextBody"/>
        <w:bidi w:val="0"/>
        <w:spacing w:before="13"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9.15    </w:t>
      </w:r>
      <w:r>
        <w:rPr>
          <w:rFonts w:ascii="Times New Roman;sans-serif" w:hAnsi="Times New Roman;sans-serif"/>
          <w:b w:val="false"/>
          <w:color w:val="000000"/>
          <w:sz w:val="20"/>
          <w:u w:val="single"/>
        </w:rPr>
        <w:t>No Advisory or Fiduciary Responsibility</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all aspects of each transaction contemplated hereby (including in connection with any amendment, waiver or other modification hereof or of any other First Lien Loan Document), each of the Borrower and Holdings acknowledges and agrees that (i) (A) the arranging and other services regarding this Agreement provided by the First Lien Administrative Agent, the Joint Lead Arrangers, the Issuing Banks and the Lenders are arm’s-length commercial transactions between the Borrower, Holdings and their respective Affiliates, on the one hand, and the First Lien Administrative Agent, the Joint Lead Arrangers, the Issuing Banks and the Lenders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First Lien Loan Documents; (ii) (A) each of the First Lien Administrative Agent, the Joint Lead Arrangers, the Issuing Banks and the Lenders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First Lien Administrative Agent, the Joint Lead Arrangers, the Issuing Banks and the Lenders has any obligation to the Borrower, Holdings or any of their respective Affiliates with respect to the transactions contemplated hereby except those obligations expressly set forth herein and in the other First Lien Loan Documents; and (iii) the First Lien Administrative Agent, the Joint Lead Arrangers, the Issuing Banks and the Lenders and their respective Affiliates may be engaged in a broad range of transactions that involve interests that differ from those of the Borrower, Holdings and their respective Affiliates, and none of the First Lien Administrative Agent, the Joint Lead Arrangers, the Issuing Banks and the Lenders has any obligation to disclose any of such interests to the Borrower, Holdings or any of their respective Affiliates. To the fullest extent permitted by law, each of the Borrower and Holdings hereby waives and releases any claims that it may have against the First Lien Administrative Agent, the Joint Lead Arrangers, the Issuing Banks and the Lenders with respect to any breach or alleged breach of agency or fiduciary duty in connection with any aspect of any transaction contemplated hereby.</w:t>
      </w:r>
    </w:p>
    <w:p>
      <w:pPr>
        <w:pStyle w:val="TextBody"/>
        <w:bidi w:val="0"/>
        <w:spacing w:before="20" w:after="283"/>
        <w:jc w:val="left"/>
        <w:rPr/>
      </w:pPr>
      <w:r>
        <w:rPr/>
      </w:r>
    </w:p>
    <w:p>
      <w:pPr>
        <w:pStyle w:val="TextBody"/>
        <w:bidi w:val="0"/>
        <w:spacing w:lineRule="auto" w:line="288"/>
        <w:jc w:val="left"/>
        <w:rPr/>
      </w:pPr>
      <w:r>
        <w:rPr>
          <w:rFonts w:ascii="Times New Roman;sans-serif" w:hAnsi="Times New Roman;sans-serif"/>
          <w:b w:val="false"/>
          <w:color w:val="000000"/>
          <w:sz w:val="20"/>
        </w:rPr>
        <w:t>SECTION 9.16    </w:t>
      </w:r>
      <w:r>
        <w:rPr>
          <w:rFonts w:ascii="Times New Roman;sans-serif" w:hAnsi="Times New Roman;sans-serif"/>
          <w:b w:val="false"/>
          <w:color w:val="000000"/>
          <w:sz w:val="20"/>
          <w:u w:val="single"/>
        </w:rPr>
        <w:t>Interest Rate Limitation</w:t>
      </w:r>
      <w:r>
        <w:rPr>
          <w:rFonts w:ascii="Times New Roman;sans-serif" w:hAnsi="Times New Roman;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51155"/>
                <wp:effectExtent l="0" t="0" r="0" b="0"/>
                <wp:wrapNone/>
                <wp:docPr id="260" name="Frame2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-184-</w:t>
                      </w:r>
                    </w:p>
                    <w:p>
                      <w:pPr>
                        <w:pStyle w:val="TextBody"/>
                        <w:bidi w:val="0"/>
                        <w:spacing w:before="0" w:after="0"/>
                        <w:jc w:val="left"/>
                        <w:rPr/>
                      </w:pPr>
                      <w:r>
                        <w:rPr/>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Notwithstanding anything to the contrary contained in any First Lien Loan Document, the interest paid or agreed to be paid under the First Lien Loan Documents shall not exceed the maximum rate of non-usurious interest permitted by applicable law (the “</w:t>
      </w:r>
      <w:r>
        <w:rPr>
          <w:rFonts w:ascii="Times New Roman;sans-serif" w:hAnsi="Times New Roman;sans-serif"/>
          <w:b w:val="false"/>
          <w:color w:val="000000"/>
          <w:sz w:val="20"/>
          <w:u w:val="single"/>
        </w:rPr>
        <w:t>Maximum Rate</w:t>
      </w:r>
      <w:r>
        <w:rPr>
          <w:color w:val="000000"/>
        </w:rPr>
        <w:t>”</w:t>
      </w:r>
      <w:r>
        <w:rPr>
          <w:rFonts w:ascii="Times New Roman;sans-serif" w:hAnsi="Times New Roman;sans-serif"/>
          <w:b w:val="false"/>
          <w:color w:val="000000"/>
          <w:sz w:val="20"/>
        </w:rPr>
        <w:t>). If the First Lien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First Lien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12"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9.17    </w:t>
      </w:r>
      <w:r>
        <w:rPr>
          <w:rFonts w:ascii="Times New Roman;sans-serif" w:hAnsi="Times New Roman;sans-serif"/>
          <w:b w:val="false"/>
          <w:color w:val="000000"/>
          <w:sz w:val="20"/>
          <w:u w:val="single"/>
        </w:rPr>
        <w:t>Judgment Currency</w:t>
      </w:r>
      <w:r>
        <w:rPr>
          <w:rFonts w:ascii="Times New Roman;sans-serif" w:hAnsi="Times New Roman;sans-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1521"/>
        <w:jc w:val="left"/>
        <w:rPr/>
      </w:pPr>
      <w:r>
        <w:rPr>
          <w:rFonts w:ascii="Times New Roman;sans-serif" w:hAnsi="Times New Roman;sans-serif"/>
          <w:b w:val="false"/>
          <w:color w:val="000000"/>
          <w:sz w:val="20"/>
        </w:rPr>
        <w:t>If, for the purposes of obtaining judgment in any court, it is necessary to convert a sum due hereunder or any other First Lien Loan Document in one currency into another currency, the rate of exchange used shall be that at which in accordance with normal banking procedures the First Lien Administrative Agent could purchase the first currency with such other currency on the Business Day preceding that on which final judgment is given. The obligation of the Borrower in respect of any such sum due from it to the Secured Parties hereunder or under the other First Lien Loan Documents shall, notwithstanding any judgment in a currency (the “</w:t>
      </w:r>
      <w:r>
        <w:rPr>
          <w:rFonts w:ascii="Times New Roman;sans-serif" w:hAnsi="Times New Roman;sans-serif"/>
          <w:b w:val="false"/>
          <w:color w:val="000000"/>
          <w:sz w:val="20"/>
          <w:u w:val="single"/>
        </w:rPr>
        <w:t>Judgment Currency</w:t>
      </w:r>
      <w:r>
        <w:rPr>
          <w:color w:val="000000"/>
        </w:rPr>
        <w:t>”</w:t>
      </w:r>
      <w:r>
        <w:rPr>
          <w:rFonts w:ascii="Times New Roman;sans-serif" w:hAnsi="Times New Roman;sans-serif"/>
          <w:b w:val="false"/>
          <w:color w:val="000000"/>
          <w:sz w:val="20"/>
        </w:rPr>
        <w:t>) other than that in which such sum is denominated in accordance with the applicable provisions of this Agreement (the “</w:t>
      </w:r>
      <w:r>
        <w:rPr>
          <w:rFonts w:ascii="Times New Roman;sans-serif" w:hAnsi="Times New Roman;sans-serif"/>
          <w:b w:val="false"/>
          <w:color w:val="000000"/>
          <w:sz w:val="20"/>
          <w:u w:val="single"/>
        </w:rPr>
        <w:t>Agreement Currency</w:t>
      </w:r>
      <w:r>
        <w:rPr>
          <w:color w:val="000000"/>
        </w:rPr>
        <w:t>”</w:t>
      </w:r>
      <w:r>
        <w:rPr>
          <w:rFonts w:ascii="Times New Roman;sans-serif" w:hAnsi="Times New Roman;sans-serif"/>
          <w:b w:val="false"/>
          <w:color w:val="000000"/>
          <w:sz w:val="20"/>
        </w:rPr>
        <w:t>), be discharged only to the extent that on the Business Day following receipt by the First Lien Administrative Agent of any sum adjudged to be so due in the Judgment Currency, the First Lien Administrative Agent may in accordance with normal banking procedures purchase the Agreement Currency with the Judgment Currency. If the amount of the Agreement Currency so purchased is less than the sum originally due to the First Lien Administrative Agent from the Borrower in the Agreement Currency, the Borrower agrees, as a separate obligation and notwithstanding any such judgment, to indemnify the First Lien Administrative Agent or the Person to whom such obligation was owing against such loss. If the amount of the Agreement Currency so purchased is greater than the sum originally due to the First Lien Administrative Agent in such currency, the First Lien Administrative Agent agrees to return the amount of any excess to the Borrower (or to any other Person who may be entitled thereto under Requirements of Law).</w:t>
      </w:r>
    </w:p>
    <w:p>
      <w:pPr>
        <w:pStyle w:val="TextBody"/>
        <w:bidi w:val="0"/>
        <w:spacing w:before="17"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9.18    </w:t>
      </w:r>
      <w:r>
        <w:rPr>
          <w:rFonts w:ascii="Times New Roman;sans-serif" w:hAnsi="Times New Roman;sans-serif"/>
          <w:b w:val="false"/>
          <w:color w:val="010101"/>
          <w:sz w:val="20"/>
          <w:u w:val="single"/>
        </w:rPr>
        <w:t>Acknowledgement and Consent to Bail-In of Affected Financial Institutions</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to the contrary in any First Lien Loan Document or in any other agreement, arrangement or understanding among any parties to any First Lien Loan Document, each party hereto acknowledges that any liability of any Lender that is an Affected Financial Institution arising under any First Lien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12"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(a)the application of any Write-Down and Conversion Powers by the applicable Resolution Authority to any such liabilities arising hereunder which may be payable to it by any Lender that is an Affected Financial Institution;</w:t>
      </w:r>
    </w:p>
    <w:p>
      <w:pPr>
        <w:pStyle w:val="TextBody"/>
        <w:bidi w:val="0"/>
        <w:spacing w:before="12" w:after="283"/>
        <w:jc w:val="left"/>
        <w:rPr/>
      </w:pPr>
      <w:r>
        <w:rPr/>
      </w:r>
    </w:p>
    <w:p>
      <w:pPr>
        <w:pStyle w:val="TextBody"/>
        <w:bidi w:val="0"/>
        <w:spacing w:lineRule="auto" w:line="288" w:before="0" w:after="0"/>
        <w:ind w:left="0" w:right="0" w:hanging="719"/>
        <w:jc w:val="left"/>
        <w:rPr>
          <w:rFonts w:ascii="Times New Roman;sans-serif" w:hAnsi="Times New Roman;sans-serif"/>
          <w:b w:val="false"/>
          <w:color w:val="000000"/>
          <w:sz w:val="20"/>
        </w:rPr>
      </w:pPr>
      <w:r>
        <w:rPr>
          <w:rFonts w:ascii="Times New Roman;sans-serif" w:hAnsi="Times New Roman;sans-serif"/>
          <w:b w:val="false"/>
          <w:color w:val="000000"/>
          <w:sz w:val="20"/>
        </w:rPr>
        <w:t>(b)the effects of any Bail-In Action on any such liability, including, if applicable:</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88" w:before="1" w:after="283"/>
        <w:ind w:left="0" w:right="0" w:hanging="621"/>
        <w:jc w:val="left"/>
        <w:rPr>
          <w:rFonts w:ascii="Times New Roman;sans-serif" w:hAnsi="Times New Roman;sans-serif"/>
          <w:b w:val="false"/>
          <w:color w:val="000000"/>
          <w:sz w:val="20"/>
        </w:rPr>
      </w:pPr>
      <w:r>
        <w:rPr>
          <w:rFonts w:ascii="Times New Roman;sans-serif" w:hAnsi="Times New Roman;sans-serif"/>
          <w:b w:val="false"/>
          <w:color w:val="000000"/>
          <w:sz w:val="20"/>
        </w:rPr>
        <w:t>(i)a reduction in full or in part or cancellation of any such liability</w:t>
      </w:r>
    </w:p>
    <w:p>
      <w:pPr>
        <w:pStyle w:val="TextBody"/>
        <w:bidi w:val="0"/>
        <w:spacing w:before="10" w:after="283"/>
        <w:jc w:val="left"/>
        <w:rPr/>
      </w:pPr>
      <w:r>
        <w:rPr/>
      </w:r>
    </w:p>
    <w:p>
      <w:pPr>
        <w:pStyle w:val="TextBody"/>
        <w:bidi w:val="0"/>
        <w:spacing w:lineRule="auto" w:line="288"/>
        <w:ind w:left="0" w:right="0" w:firstLine="763"/>
        <w:jc w:val="both"/>
        <w:rPr>
          <w:rFonts w:ascii="Times New Roman;sans-serif" w:hAnsi="Times New Roman;sans-serif"/>
          <w:b w:val="false"/>
          <w:color w:val="000000"/>
          <w:sz w:val="20"/>
        </w:rPr>
      </w:pPr>
      <w:r>
        <w:rPr>
          <w:rFonts w:ascii="Times New Roman;sans-serif" w:hAnsi="Times New Roman;sans-serif"/>
          <w:b w:val="false"/>
          <w:color w:val="000000"/>
          <w:sz w:val="20"/>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First Lien Loan Document; or</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51155"/>
                <wp:effectExtent l="0" t="0" r="0" b="0"/>
                <wp:wrapNone/>
                <wp:docPr id="261" name="Frame26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-185-</w:t>
                      </w:r>
                    </w:p>
                    <w:p>
                      <w:pPr>
                        <w:pStyle w:val="TextBody"/>
                        <w:bidi w:val="0"/>
                        <w:spacing w:before="0" w:after="0"/>
                        <w:jc w:val="left"/>
                        <w:rPr/>
                      </w:pPr>
                      <w:r>
                        <w:rPr/>
                      </w:r>
                    </w:p>
                  </w:txbxContent>
                </v:textbox>
                <w10:wrap type="none"/>
              </v:rect>
            </w:pict>
          </mc:Fallback>
        </mc:AlternateContent>
      </w:r>
    </w:p>
    <w:p>
      <w:pPr>
        <w:pStyle w:val="TextBody"/>
        <w:bidi w:val="0"/>
        <w:spacing w:before="12" w:after="283"/>
        <w:jc w:val="left"/>
        <w:rPr/>
      </w:pPr>
      <w:r>
        <w:rPr/>
      </w:r>
    </w:p>
    <w:p>
      <w:pPr>
        <w:pStyle w:val="TextBody"/>
        <w:bidi w:val="0"/>
        <w:spacing w:lineRule="auto" w:line="288" w:before="0" w:after="0"/>
        <w:ind w:left="0" w:right="0" w:firstLine="708"/>
        <w:jc w:val="both"/>
        <w:rPr>
          <w:rFonts w:ascii="Times New Roman;sans-serif" w:hAnsi="Times New Roman;sans-serif"/>
          <w:b w:val="false"/>
          <w:color w:val="000000"/>
          <w:sz w:val="20"/>
        </w:rPr>
      </w:pPr>
      <w:r>
        <w:rPr>
          <w:rFonts w:ascii="Times New Roman;sans-serif" w:hAnsi="Times New Roman;sans-serif"/>
          <w:b w:val="false"/>
          <w:color w:val="000000"/>
          <w:sz w:val="20"/>
        </w:rPr>
        <w:t>(iii)the variation of the terms of such liability in connection with the exercise of the Write-Down and Conversion Powers of the applicable Resolution Authority.</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9.19    </w:t>
      </w:r>
      <w:r>
        <w:rPr>
          <w:rFonts w:ascii="Times New Roman;sans-serif" w:hAnsi="Times New Roman;sans-serif"/>
          <w:b w:val="false"/>
          <w:color w:val="000000"/>
          <w:sz w:val="20"/>
          <w:u w:val="single"/>
        </w:rPr>
        <w:t>Intercreditor Agreement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6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(a)Each Secured Party hereby agrees that the First Lien Administrative Agent and/or First Lien Collateral Agent may enter into any intercreditor agreement and/or subordination agreement or amendment thereof pursuant to, or contemplated by, the terms of this Agreement (including with respect to Indebtedness permitted pursuant to Section 6.01, any applicable Liens on Collateral permitted pursuant to Section 6.02 and, in each case, together with the defined terms referenced therein) on its behalf and agrees to be bound by the terms thereof and, in each case, consents and agrees to the appointment of JPMorgan (or its affiliated designee, representative, agent or successor) on its behalf as collateral agent, respectively, thereunder.</w:t>
      </w:r>
    </w:p>
    <w:p>
      <w:pPr>
        <w:pStyle w:val="TextBody"/>
        <w:bidi w:val="0"/>
        <w:spacing w:before="13"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(b)Notwithstanding anything to the contrary in this Agreement or in any other First Lien Loan Document: (a) the Liens granted to the First Lien Collateral Agent in favor of the Secured Parties pursuant to the First Lien Loan Documents and the exercise of any right related to any Collateral shall be subject, in each case, to the terms of the Customary Intercreditor Agreements then in effect, (b) in the event of any conflict between the express terms and provisions of this Agreement or any other First Lien Loan Document, on the one hand, and of any Customary Intercreditor Agreements then in effect, on the other hand, the terms and provisions of the relevant Customary Intercreditor Agreements shall control, and (c) each Lender authorizes the First Lien Administrative Agent and/or the First Lien Collateral Agent to execute any such Customary Intercreditor Agreement (or amendment thereof) on behalf of such Lender, and such Lender agrees to be bound by the terms thereof.</w:t>
      </w:r>
    </w:p>
    <w:p>
      <w:pPr>
        <w:pStyle w:val="TextBody"/>
        <w:bidi w:val="0"/>
        <w:spacing w:before="14"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(c)Notwithstanding anything to the contrary in this Agreement or in any other First Lien Loan Document, the Lenders hereby irrevocably agree that in connection with the establishment of an ABL Facility in accordance with this Agreement, the First Lien Loan Documents may be amended, amended and restated, modified or supplemented to cause the security interests in the ABL Priority Collateral (but not in any other Collateral) granted to the First Lien Collateral Agent pursuant to the Security Documents to be made subordinate (on a second-priority basis) to the security interests in the ABL Priority Collateral securing the ABL Obligations, in each case by the First Lien Administrative Agent and the Borrower, but without the consent of any Lender.</w:t>
      </w:r>
    </w:p>
    <w:p>
      <w:pPr>
        <w:pStyle w:val="TextBody"/>
        <w:bidi w:val="0"/>
        <w:spacing w:before="13"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9.20    </w:t>
      </w:r>
      <w:r>
        <w:rPr>
          <w:rFonts w:ascii="Times New Roman;sans-serif" w:hAnsi="Times New Roman;sans-serif"/>
          <w:b w:val="false"/>
          <w:color w:val="000000"/>
          <w:sz w:val="20"/>
          <w:u w:val="single"/>
        </w:rPr>
        <w:t>Cashless Settlement</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First Lien Administrative Agent and such Lender.</w:t>
      </w:r>
    </w:p>
    <w:p>
      <w:pPr>
        <w:pStyle w:val="TextBody"/>
        <w:bidi w:val="0"/>
        <w:spacing w:before="2" w:after="283"/>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SECTION 9.21    </w:t>
      </w:r>
      <w:r>
        <w:rPr>
          <w:rFonts w:ascii="Times New Roman;sans-serif" w:hAnsi="Times New Roman;sans-serif"/>
          <w:b w:val="false"/>
          <w:color w:val="000000"/>
          <w:sz w:val="20"/>
          <w:u w:val="single"/>
        </w:rPr>
        <w:t>Acknowledgment Regarding Any Supported QFCs</w:t>
      </w:r>
      <w:r>
        <w:rPr>
          <w:rFonts w:ascii="Times New Roman;sans-serif" w:hAnsi="Times New Roman;sans-serif"/>
          <w:b w:val="false"/>
          <w:color w:val="000000"/>
          <w:sz w:val="20"/>
        </w:rPr>
        <w:t>. To the extent that the First Lien Loan Documents provide support, through a guarantee or otherwise, for any Swap Agreement or any other agreement or instrument that is a QFC (such support, “</w:t>
      </w:r>
      <w:r>
        <w:rPr>
          <w:rFonts w:ascii="Times New Roman;sans-serif" w:hAnsi="Times New Roman;sans-serif"/>
          <w:b w:val="false"/>
          <w:color w:val="000000"/>
          <w:sz w:val="20"/>
          <w:u w:val="single"/>
        </w:rPr>
        <w:t>QFC Credit Support</w:t>
      </w:r>
      <w:r>
        <w:rPr>
          <w:color w:val="000000"/>
        </w:rPr>
        <w:t>”</w:t>
      </w:r>
      <w:r>
        <w:rPr>
          <w:rFonts w:ascii="Times New Roman;sans-serif" w:hAnsi="Times New Roman;sans-serif"/>
          <w:b w:val="false"/>
          <w:color w:val="000000"/>
          <w:sz w:val="20"/>
        </w:rPr>
        <w:t>, and each such QFC, a “</w:t>
      </w:r>
      <w:r>
        <w:rPr>
          <w:rFonts w:ascii="Times New Roman;sans-serif" w:hAnsi="Times New Roman;sans-serif"/>
          <w:b w:val="false"/>
          <w:color w:val="000000"/>
          <w:sz w:val="20"/>
          <w:u w:val="single"/>
        </w:rPr>
        <w:t>Supported QFC</w:t>
      </w:r>
      <w:r>
        <w:rPr>
          <w:color w:val="000000"/>
        </w:rPr>
        <w:t>”</w:t>
      </w:r>
      <w:r>
        <w:rPr>
          <w:rFonts w:ascii="Times New Roman;sans-serif" w:hAnsi="Times New Roman;sans-serif"/>
          <w:b w:val="false"/>
          <w:color w:val="000000"/>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val="false"/>
          <w:color w:val="000000"/>
          <w:sz w:val="20"/>
          <w:u w:val="single"/>
        </w:rPr>
        <w:t>U.S. Special Resolution Regimes</w:t>
      </w:r>
      <w:r>
        <w:rPr>
          <w:color w:val="000000"/>
        </w:rPr>
        <w:t>”</w:t>
      </w:r>
      <w:r>
        <w:rPr>
          <w:rFonts w:ascii="Times New Roman;sans-serif" w:hAnsi="Times New Roman;sans-serif"/>
          <w:b w:val="false"/>
          <w:color w:val="000000"/>
          <w:sz w:val="20"/>
        </w:rPr>
        <w:t>) in respect of such Supported QFC and QFC Credit Support (with the provisions below applicable notwithstanding that the First Lien Loan Documents and any Supported QFC may in fact be stated to be governed by the laws of the State of New York and/or of the United States or any other state of the United States):</w:t>
      </w:r>
    </w:p>
    <w:p>
      <w:pPr>
        <w:pStyle w:val="TextBody"/>
        <w:bidi w:val="0"/>
        <w:spacing w:before="14" w:after="283"/>
        <w:jc w:val="left"/>
        <w:rPr/>
      </w:pPr>
      <w:r>
        <w:rPr/>
      </w:r>
    </w:p>
    <w:p>
      <w:pPr>
        <w:pStyle w:val="TextBody"/>
        <w:bidi w:val="0"/>
        <w:spacing w:lineRule="auto" w:line="288" w:before="60" w:after="283"/>
        <w:ind w:left="0" w:right="0" w:firstLine="180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51155"/>
                <wp:effectExtent l="0" t="0" r="0" b="0"/>
                <wp:wrapNone/>
                <wp:docPr id="262" name="Frame2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First Lien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First Lien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655" w:before="2" w:after="283"/>
        <w:jc w:val="left"/>
        <w:rPr/>
      </w:pPr>
      <w:r>
        <w:rPr>
          <w:rFonts w:ascii="Times New Roman;sans-serif" w:hAnsi="Times New Roman;sans-serif"/>
          <w:b w:val="false"/>
          <w:color w:val="010000"/>
          <w:sz w:val="20"/>
        </w:rPr>
        <w:t>(b)</w:t>
      </w:r>
      <w:r>
        <w:rPr>
          <w:rFonts w:ascii="Times New Roman;sans-serif" w:hAnsi="Times New Roman;sans-serif"/>
          <w:b w:val="false"/>
          <w:color w:val="000000"/>
          <w:sz w:val="20"/>
        </w:rPr>
        <w:t xml:space="preserve">As used in this </w:t>
      </w:r>
      <w:r>
        <w:rPr>
          <w:rFonts w:ascii="Times New Roman;sans-serif" w:hAnsi="Times New Roman;sans-serif"/>
          <w:b w:val="false"/>
          <w:color w:val="000000"/>
          <w:sz w:val="20"/>
          <w:u w:val="single"/>
        </w:rPr>
        <w:t>Section 9.21</w:t>
      </w:r>
      <w:r>
        <w:rPr>
          <w:rFonts w:ascii="Times New Roman;sans-serif" w:hAnsi="Times New Roman;sans-serif"/>
          <w:b w:val="false"/>
          <w:color w:val="000000"/>
          <w:sz w:val="20"/>
        </w:rPr>
        <w:t>, the following terms have the following meanings: “</w:t>
      </w:r>
      <w:r>
        <w:rPr>
          <w:rFonts w:ascii="Times New Roman;sans-serif" w:hAnsi="Times New Roman;sans-serif"/>
          <w:b w:val="false"/>
          <w:color w:val="000000"/>
          <w:sz w:val="20"/>
          <w:u w:val="single"/>
        </w:rPr>
        <w:t>BHC Act Affiliate</w:t>
      </w:r>
      <w:r>
        <w:rPr>
          <w:color w:val="000000"/>
        </w:rPr>
        <w:t xml:space="preserve">” </w:t>
      </w:r>
      <w:r>
        <w:rPr>
          <w:rFonts w:ascii="Times New Roman;sans-serif" w:hAnsi="Times New Roman;sans-serif"/>
          <w:b w:val="false"/>
          <w:color w:val="000000"/>
          <w:sz w:val="20"/>
        </w:rPr>
        <w:t>of a party means an “affiliate” (as such term is defined under, and</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interpreted in accordance with, 12 U.S.C. 1841(k)) of such party.</w:t>
      </w:r>
    </w:p>
    <w:p>
      <w:pPr>
        <w:pStyle w:val="TextBody"/>
        <w:bidi w:val="0"/>
        <w:spacing w:before="10" w:after="283"/>
        <w:jc w:val="left"/>
        <w:rPr/>
      </w:pPr>
      <w:r>
        <w:rPr/>
      </w:r>
    </w:p>
    <w:p>
      <w:pPr>
        <w:pStyle w:val="TextBody"/>
        <w:bidi w:val="0"/>
        <w:spacing w:lineRule="auto" w:line="288" w:before="0" w:after="0"/>
        <w:ind w:left="0" w:right="0" w:firstLine="1800"/>
        <w:jc w:val="both"/>
        <w:rPr/>
      </w:pPr>
      <w:r>
        <w:rPr>
          <w:color w:val="000000"/>
        </w:rPr>
        <w:t>“</w:t>
      </w:r>
      <w:r>
        <w:rPr>
          <w:rFonts w:ascii="Times New Roman;sans-serif" w:hAnsi="Times New Roman;sans-serif"/>
          <w:b w:val="false"/>
          <w:color w:val="000000"/>
          <w:sz w:val="20"/>
          <w:u w:val="single"/>
        </w:rPr>
        <w:t>Covered Entity</w:t>
      </w:r>
      <w:r>
        <w:rPr>
          <w:color w:val="000000"/>
        </w:rPr>
        <w:t xml:space="preserve">” </w:t>
      </w:r>
      <w:r>
        <w:rPr>
          <w:rFonts w:ascii="Times New Roman;sans-serif" w:hAnsi="Times New Roman;sans-serif"/>
          <w:b w:val="false"/>
          <w:color w:val="000000"/>
          <w:sz w:val="20"/>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12" w:after="283"/>
        <w:jc w:val="left"/>
        <w:rPr/>
      </w:pPr>
      <w:r>
        <w:rPr/>
      </w:r>
    </w:p>
    <w:p>
      <w:pPr>
        <w:pStyle w:val="TextBody"/>
        <w:bidi w:val="0"/>
        <w:spacing w:lineRule="auto" w:line="288" w:before="0" w:after="0"/>
        <w:ind w:left="0" w:right="0" w:firstLine="1800"/>
        <w:jc w:val="both"/>
        <w:rPr/>
      </w:pPr>
      <w:r>
        <w:rPr>
          <w:color w:val="000000"/>
        </w:rPr>
        <w:t>“</w:t>
      </w:r>
      <w:r>
        <w:rPr>
          <w:rFonts w:ascii="Times New Roman;sans-serif" w:hAnsi="Times New Roman;sans-serif"/>
          <w:b w:val="false"/>
          <w:color w:val="000000"/>
          <w:sz w:val="20"/>
          <w:u w:val="single"/>
        </w:rPr>
        <w:t>Default Right</w:t>
      </w:r>
      <w:r>
        <w:rPr>
          <w:color w:val="000000"/>
        </w:rPr>
        <w:t xml:space="preserve">” </w:t>
      </w:r>
      <w:r>
        <w:rPr>
          <w:rFonts w:ascii="Times New Roman;sans-serif" w:hAnsi="Times New Roman;sans-serif"/>
          <w:b w:val="false"/>
          <w:color w:val="000000"/>
          <w:sz w:val="20"/>
        </w:rPr>
        <w:t>has the meaning assigned to that term in, and shall be interpreted in accordance with, 12 C.F.R. §§ 252.81, 47.2 or 382.1, as applicable.</w:t>
      </w:r>
    </w:p>
    <w:p>
      <w:pPr>
        <w:pStyle w:val="TextBody"/>
        <w:bidi w:val="0"/>
        <w:spacing w:before="10" w:after="283"/>
        <w:jc w:val="left"/>
        <w:rPr/>
      </w:pPr>
      <w:r>
        <w:rPr/>
      </w:r>
    </w:p>
    <w:p>
      <w:pPr>
        <w:pStyle w:val="TextBody"/>
        <w:bidi w:val="0"/>
        <w:spacing w:lineRule="auto" w:line="288" w:before="1" w:after="283"/>
        <w:ind w:left="0" w:right="0" w:firstLine="1800"/>
        <w:jc w:val="both"/>
        <w:rPr/>
      </w:pPr>
      <w:r>
        <w:rPr>
          <w:color w:val="000000"/>
        </w:rPr>
        <w:t>“</w:t>
      </w:r>
      <w:r>
        <w:rPr>
          <w:rFonts w:ascii="Times New Roman;sans-serif" w:hAnsi="Times New Roman;sans-serif"/>
          <w:b w:val="false"/>
          <w:color w:val="000000"/>
          <w:sz w:val="20"/>
          <w:u w:val="single"/>
        </w:rPr>
        <w:t>QFC</w:t>
      </w:r>
      <w:r>
        <w:rPr>
          <w:color w:val="000000"/>
        </w:rPr>
        <w:t xml:space="preserve">” </w:t>
      </w:r>
      <w:r>
        <w:rPr>
          <w:rFonts w:ascii="Times New Roman;sans-serif" w:hAnsi="Times New Roman;sans-serif"/>
          <w:b w:val="false"/>
          <w:color w:val="000000"/>
          <w:sz w:val="20"/>
        </w:rPr>
        <w:t>has the meaning assigned to the term “qualified financial contract” in, and shall be interpreted in accordance with, 12 U.S.C. 5390(c)(8)(D).</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SECTION 9.22    </w:t>
      </w:r>
      <w:r>
        <w:rPr>
          <w:rFonts w:ascii="Times New Roman;sans-serif" w:hAnsi="Times New Roman;sans-serif"/>
          <w:b w:val="false"/>
          <w:color w:val="000000"/>
          <w:sz w:val="20"/>
          <w:u w:val="single"/>
        </w:rPr>
        <w:t>Erroneous Payments</w:t>
      </w:r>
      <w:r>
        <w:rPr>
          <w:rFonts w:ascii="Times New Roman;sans-serif" w:hAnsi="Times New Roman;sans-serif"/>
          <w:b w:val="false"/>
          <w:color w:val="000000"/>
          <w:sz w:val="22"/>
        </w:rPr>
        <w:t>.</w:t>
      </w:r>
    </w:p>
    <w:p>
      <w:pPr>
        <w:pStyle w:val="TextBody"/>
        <w:bidi w:val="0"/>
        <w:spacing w:before="8" w:after="283"/>
        <w:jc w:val="left"/>
        <w:rPr/>
      </w:pPr>
      <w:r>
        <w:rPr/>
      </w:r>
    </w:p>
    <w:p>
      <w:pPr>
        <w:pStyle w:val="TextBody"/>
        <w:bidi w:val="0"/>
        <w:spacing w:lineRule="auto" w:line="288" w:before="1" w:after="283"/>
        <w:ind w:left="0" w:right="0" w:firstLine="1440"/>
        <w:jc w:val="left"/>
        <w:rPr/>
      </w:pPr>
      <w:r>
        <w:rPr>
          <w:rFonts w:ascii="Times New Roman;sans-serif" w:hAnsi="Times New Roman;sans-serif"/>
          <w:b w:val="false"/>
          <w:color w:val="010000"/>
          <w:sz w:val="20"/>
        </w:rPr>
        <w:t>(a)</w:t>
      </w:r>
      <w:r>
        <w:rPr>
          <w:rFonts w:ascii="Times New Roman;sans-serif" w:hAnsi="Times New Roman;sans-serif"/>
          <w:b w:val="false"/>
          <w:color w:val="000000"/>
          <w:sz w:val="20"/>
        </w:rPr>
        <w:t>If the First Lien Administrative Agent (x) notifies a Lender or Secured Party, or any Person who has received funds on behalf of a Lender or Secured Party (any such Lender, Secured Party or other recipient (and each of their respective successors and assigns), a “</w:t>
      </w:r>
      <w:r>
        <w:rPr>
          <w:rFonts w:ascii="Times New Roman;sans-serif" w:hAnsi="Times New Roman;sans-serif"/>
          <w:b w:val="false"/>
          <w:color w:val="000000"/>
          <w:sz w:val="20"/>
          <w:u w:val="single"/>
        </w:rPr>
        <w:t>Payment Recipient</w:t>
      </w:r>
      <w:r>
        <w:rPr>
          <w:color w:val="000000"/>
        </w:rPr>
        <w:t>”</w:t>
      </w:r>
      <w:r>
        <w:rPr>
          <w:rFonts w:ascii="Times New Roman;sans-serif" w:hAnsi="Times New Roman;sans-serif"/>
          <w:b w:val="false"/>
          <w:color w:val="000000"/>
          <w:sz w:val="20"/>
        </w:rPr>
        <w:t xml:space="preserve">) that the First Lien Administrative Agent has determined in its sole discretion (whether or not after receipt of any notice under immediately succeeding </w:t>
      </w:r>
      <w:r>
        <w:rPr>
          <w:rFonts w:ascii="Times New Roman;sans-serif" w:hAnsi="Times New Roman;sans-serif"/>
          <w:b w:val="false"/>
          <w:color w:val="000000"/>
          <w:sz w:val="20"/>
          <w:u w:val="single"/>
        </w:rPr>
        <w:t>clause (b)</w:t>
      </w:r>
      <w:r>
        <w:rPr>
          <w:rFonts w:ascii="Times New Roman;sans-serif" w:hAnsi="Times New Roman;sans-serif"/>
          <w:b w:val="false"/>
          <w:color w:val="000000"/>
          <w:sz w:val="20"/>
        </w:rPr>
        <w:t>) that any funds received by such Payment Recipient from the First Lien Administrative Agent or any of its Affiliates were erroneously or mistakenly transmitted to, or otherwise erroneously or mistakenly received by, such Payment Recipient (whether or not known to such Lender, Secured Party or other Payment Recipient on its behalf) (any such funds, whether transmitted or received as a payment, prepayment or repayment of principal, interest, fees, distribution or otherwise, individually and collectively, an “</w:t>
      </w:r>
      <w:r>
        <w:rPr>
          <w:rFonts w:ascii="Times New Roman;sans-serif" w:hAnsi="Times New Roman;sans-serif"/>
          <w:b w:val="false"/>
          <w:color w:val="000000"/>
          <w:sz w:val="20"/>
          <w:u w:val="single"/>
        </w:rPr>
        <w:t>Erroneous Payment</w:t>
      </w:r>
      <w:r>
        <w:rPr>
          <w:color w:val="000000"/>
        </w:rPr>
        <w:t>”</w:t>
      </w:r>
      <w:r>
        <w:rPr>
          <w:rFonts w:ascii="Times New Roman;sans-serif" w:hAnsi="Times New Roman;sans-serif"/>
          <w:b w:val="false"/>
          <w:color w:val="000000"/>
          <w:sz w:val="20"/>
        </w:rPr>
        <w:t xml:space="preserve">) and (y) demands the return of such Erroneous Payment (or a portion thereof), such Erroneous Payment shall at all times remain the property of the First Lien Administrative Agent pending its return or repayment as contemplated below in this </w:t>
      </w:r>
      <w:r>
        <w:rPr>
          <w:rFonts w:ascii="Times New Roman;sans-serif" w:hAnsi="Times New Roman;sans-serif"/>
          <w:b w:val="false"/>
          <w:color w:val="000000"/>
          <w:sz w:val="20"/>
          <w:u w:val="single"/>
        </w:rPr>
        <w:t>Section 9.22</w:t>
      </w:r>
      <w:r>
        <w:rPr>
          <w:color w:val="000000"/>
        </w:rPr>
        <w:t xml:space="preserve"> </w:t>
      </w:r>
      <w:r>
        <w:rPr>
          <w:rFonts w:ascii="Times New Roman;sans-serif" w:hAnsi="Times New Roman;sans-serif"/>
          <w:b w:val="false"/>
          <w:color w:val="000000"/>
          <w:sz w:val="20"/>
        </w:rPr>
        <w:t xml:space="preserve">and held in trust for the benefit of the First Lien Administrative Agent, and such Lender or Secured Party shall (or, with respect to any Payment Recipient who received such funds on its behalf, shall cause such Payment Recipient to) promptly, but in no event later than one Business Day thereafter (or such later date as the First Lien Administrative Agent may, in its sole discretion, specify in writing), return to the First Lien Administrative Agent the amount of any such Erroneous Payment (or portion thereof) as to which such a demand was made, in same day funds (in the currency so received), together with interest thereon (except to the extent waived in writing by the First Lien Administrative Agent) in respect of each day from and including the date such Erroneous Payment (or portion thereof) was received by such Payment Recipient to the date such amount is repaid to the First Lien Administrative Agent in same day funds at the greater of the NYFRB Rate and a rate determined by the First Lien Administrative Agent in accordance with banking industry rules on interbank compensation from time to time in effect. A notice from the First Lien Administrative Agent to any Payment Recipient under this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shall be conclusive, absent manifest error.</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51155"/>
                <wp:effectExtent l="0" t="0" r="0" b="0"/>
                <wp:wrapNone/>
                <wp:docPr id="263" name="Frame2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-187-</w:t>
                      </w:r>
                    </w:p>
                    <w:p>
                      <w:pPr>
                        <w:pStyle w:val="TextBody"/>
                        <w:bidi w:val="0"/>
                        <w:spacing w:before="0" w:after="0"/>
                        <w:jc w:val="left"/>
                        <w:rPr/>
                      </w:pPr>
                      <w:r>
                        <w:rPr/>
                      </w:r>
                    </w:p>
                  </w:txbxContent>
                </v:textbox>
                <w10:wrap type="none"/>
              </v:rect>
            </w:pict>
          </mc:Fallback>
        </mc:AlternateContent>
      </w:r>
    </w:p>
    <w:p>
      <w:pPr>
        <w:pStyle w:val="TextBody"/>
        <w:bidi w:val="0"/>
        <w:spacing w:before="19" w:after="283"/>
        <w:jc w:val="left"/>
        <w:rPr/>
      </w:pPr>
      <w:r>
        <w:rPr/>
      </w:r>
    </w:p>
    <w:p>
      <w:pPr>
        <w:pStyle w:val="TextBody"/>
        <w:bidi w:val="0"/>
        <w:spacing w:lineRule="auto" w:line="288" w:before="60" w:after="283"/>
        <w:ind w:left="0" w:right="0" w:firstLine="144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rPr>
        <w:t xml:space="preserve">Without limiting the immediately preceding </w:t>
      </w:r>
      <w:r>
        <w:rPr>
          <w:rFonts w:ascii="Times New Roman;sans-serif" w:hAnsi="Times New Roman;sans-serif"/>
          <w:b w:val="false"/>
          <w:color w:val="000000"/>
          <w:sz w:val="20"/>
          <w:u w:val="single"/>
        </w:rPr>
        <w:t>clause (a)</w:t>
      </w:r>
      <w:r>
        <w:rPr>
          <w:rFonts w:ascii="Times New Roman;sans-serif" w:hAnsi="Times New Roman;sans-serif"/>
          <w:b w:val="false"/>
          <w:color w:val="000000"/>
          <w:sz w:val="20"/>
        </w:rPr>
        <w:t>, each Lender, Secured Party or any Person who has received funds on behalf of a Lender or Secured Party (and each of their respective successors and assigns), agrees that if it (or a Payment Recipient on its behalf) receives a payment, prepayment or repayment (whether received as a payment, prepayment or repayment of principal, interest, fees, distribution or otherwise) from the First Lien Administrative Agent (or any of its Affiliates) (x) that is in a different amount than, or on a different date from, that specified in this Agreement or in a notice of payment, prepayment or repayment sent by the First Lien Administrative Agent (or any of its Affiliates) with respect to such payment, prepayment or repayment, (y) that was not preceded or accompanied by a notice of payment, prepayment or repayment sent by the First Lien Administrative Agent (or any of its Affiliates), or (z) that such Payment Recipient otherwise becomes aware was transmitted, or received, in error or by mistake (in whole or in part), then in each such case:</w:t>
      </w:r>
    </w:p>
    <w:p>
      <w:pPr>
        <w:pStyle w:val="TextBody"/>
        <w:bidi w:val="0"/>
        <w:spacing w:before="11" w:after="283"/>
        <w:jc w:val="left"/>
        <w:rPr/>
      </w:pPr>
      <w:r>
        <w:rPr/>
      </w:r>
    </w:p>
    <w:p>
      <w:pPr>
        <w:pStyle w:val="TextBody"/>
        <w:bidi w:val="0"/>
        <w:spacing w:lineRule="auto" w:line="288" w:before="0" w:after="0"/>
        <w:ind w:left="0" w:right="0" w:firstLine="818"/>
        <w:jc w:val="both"/>
        <w:rPr>
          <w:rFonts w:ascii="Times New Roman;sans-serif" w:hAnsi="Times New Roman;sans-serif"/>
          <w:b w:val="false"/>
          <w:color w:val="000000"/>
          <w:sz w:val="20"/>
        </w:rPr>
      </w:pPr>
      <w:r>
        <w:rPr>
          <w:rFonts w:ascii="Times New Roman;sans-serif" w:hAnsi="Times New Roman;sans-serif"/>
          <w:b w:val="false"/>
          <w:color w:val="000000"/>
          <w:sz w:val="20"/>
        </w:rPr>
        <w:t>(i)it acknowledges and agrees that (A) in the case of immediately preceding clauses (x) or (y), an error and mistake shall be presumed to have been made (absent written confirmation from the First Lien Administrative Agent to the contrary) or (B) an error and mistake has been made (in the case of immediately preceding clause (z)), in each case, with respect to such payment, prepayment or repayment; and</w:t>
      </w:r>
    </w:p>
    <w:p>
      <w:pPr>
        <w:pStyle w:val="TextBody"/>
        <w:bidi w:val="0"/>
        <w:spacing w:before="12" w:after="283"/>
        <w:jc w:val="left"/>
        <w:rPr/>
      </w:pPr>
      <w:r>
        <w:rPr/>
      </w:r>
    </w:p>
    <w:p>
      <w:pPr>
        <w:pStyle w:val="TextBody"/>
        <w:bidi w:val="0"/>
        <w:spacing w:lineRule="auto" w:line="288" w:before="1" w:after="283"/>
        <w:ind w:left="0" w:right="0" w:firstLine="763"/>
        <w:jc w:val="both"/>
        <w:rPr>
          <w:rFonts w:ascii="Times New Roman;sans-serif" w:hAnsi="Times New Roman;sans-serif"/>
          <w:b w:val="false"/>
          <w:color w:val="000000"/>
          <w:sz w:val="20"/>
        </w:rPr>
      </w:pPr>
      <w:r>
        <w:rPr>
          <w:rFonts w:ascii="Times New Roman;sans-serif" w:hAnsi="Times New Roman;sans-serif"/>
          <w:b w:val="false"/>
          <w:color w:val="000000"/>
          <w:sz w:val="20"/>
        </w:rPr>
        <w:t>(ii)such Lender or Secured Party shall (and shall cause any other recipient that receives funds on its respective behalf to) promptly (and, in all events, within one Business Day of its knowledge of the occurrence of any of the circumstances described in immediately preceding clauses (x), (y) and (z)) notify the First Lien Administrative Agent of its receipt of such payment, prepayment or repayment, the details thereof (in reasonable detail) and that it is so notifying the First Lien Administrative Agent pursuant to this Section 9.22(b).</w:t>
      </w:r>
    </w:p>
    <w:p>
      <w:pPr>
        <w:pStyle w:val="TextBody"/>
        <w:bidi w:val="0"/>
        <w:spacing w:before="12"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For the avoidance of doubt, the failure to deliver a notice to the First Lien Administrative Agent pursuant to this Section 9.22(b) shall not have any effect on a Payment Recipient’s obligations pursuant to Section 9.22(a) or on whether or not an Erroneous Payment has been made.</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rPr>
        <w:t xml:space="preserve">Each Lender or Secured Party hereby authorizes the First Lien Administrative Agent to set off, net and apply any and all amounts at any time owing to such Lender or Secured Party under any Loan Document, or otherwise payable or distributable by the First Lien Administrative Agent to such Lender or Secured Party under any Loan Document or from any other source against any amount that the First Lien Administrative Agent has demanded to be returned under the immediately preceding </w:t>
      </w:r>
      <w:r>
        <w:rPr>
          <w:rFonts w:ascii="Times New Roman;sans-serif" w:hAnsi="Times New Roman;sans-serif"/>
          <w:b w:val="false"/>
          <w:color w:val="000000"/>
          <w:sz w:val="20"/>
          <w:u w:val="single"/>
        </w:rPr>
        <w:t>clause (a)</w:t>
      </w:r>
      <w:r>
        <w:rPr>
          <w:rFonts w:ascii="Times New Roman;sans-serif" w:hAnsi="Times New Roman;sans-serif"/>
          <w:b w:val="false"/>
          <w:color w:val="000000"/>
          <w:sz w:val="20"/>
        </w:rPr>
        <w:t>.</w:t>
      </w:r>
    </w:p>
    <w:p>
      <w:pPr>
        <w:pStyle w:val="TextBody"/>
        <w:bidi w:val="0"/>
        <w:spacing w:before="12"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rPr>
        <w:t>The parties hereto agree that (x) irrespective of whether the First Lien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Secured Party, to the rights and interests of such Lender or Secured Party, as the case may be) under the Loan Documents with respect to such amount (the “</w:t>
      </w:r>
      <w:r>
        <w:rPr>
          <w:rFonts w:ascii="Times New Roman;sans-serif" w:hAnsi="Times New Roman;sans-serif"/>
          <w:b w:val="false"/>
          <w:color w:val="000000"/>
          <w:sz w:val="20"/>
          <w:u w:val="single"/>
        </w:rPr>
        <w:t>Erroneous Payment Subrogation Rights</w:t>
      </w:r>
      <w:r>
        <w:rPr>
          <w:color w:val="000000"/>
        </w:rPr>
        <w:t>”</w:t>
      </w:r>
      <w:r>
        <w:rPr>
          <w:rFonts w:ascii="Times New Roman;sans-serif" w:hAnsi="Times New Roman;sans-serif"/>
          <w:b w:val="false"/>
          <w:color w:val="000000"/>
          <w:sz w:val="20"/>
        </w:rPr>
        <w:t>) and (y) an Erroneous Payment shall not pay, prepay, repay, discharge or otherwise satisfy any Obligations owed by the Borrowers or any other Loan Party; provided, that for the avoidance of doubt, the immediately preceding clauses (x) and (y) shall not apply to the extent any such Erroneous Payment is, and solely with respect to the amount of such Erroneous Payment that is, comprised of funds received by the First Lien Administrative Agent from the Borrower or any other Loan Party for the purpose of making a payment to satisfy certain Obligations and is not otherwise repaid or returned to the Borrower or a Loan Party by the First Lien Administrative Agent, any Lender or any of their respective Affiliates, whether pursuant to a legal proceeding or otherwise.</w:t>
      </w:r>
    </w:p>
    <w:p>
      <w:pPr>
        <w:pStyle w:val="TextBody"/>
        <w:bidi w:val="0"/>
        <w:spacing w:before="15" w:after="283"/>
        <w:jc w:val="left"/>
        <w:rPr/>
      </w:pPr>
      <w:r>
        <w:rPr/>
      </w:r>
    </w:p>
    <w:p>
      <w:pPr>
        <w:pStyle w:val="TextBody"/>
        <w:bidi w:val="0"/>
        <w:spacing w:lineRule="auto" w:line="288"/>
        <w:ind w:left="0" w:right="0" w:firstLine="1440"/>
        <w:jc w:val="both"/>
        <w:rPr/>
      </w:pPr>
      <w:r>
        <w:rPr>
          <w:rFonts w:ascii="Times New Roman;sans-serif" w:hAnsi="Times New Roman;sans-serif"/>
          <w:b w:val="false"/>
          <w:color w:val="010000"/>
          <w:sz w:val="20"/>
        </w:rPr>
        <w:t>(e)</w:t>
      </w:r>
      <w:r>
        <w:rPr>
          <w:rFonts w:ascii="Times New Roman;sans-serif" w:hAnsi="Times New Roman;sans-serif"/>
          <w:b w:val="false"/>
          <w:color w:val="000000"/>
          <w:sz w:val="20"/>
        </w:rPr>
        <w:t xml:space="preserve">Notwithstanding anything to the contrary contained herein, and for the avoidance of doubt, in no event shall the occurrence of an Erroneous Payment (or the existence of any Erroneous Payment Subrogation Rights or other rights of the First Lien Administrative Agent in respect of an Erroneous Payment) result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51155"/>
                <wp:effectExtent l="0" t="0" r="0" b="0"/>
                <wp:wrapNone/>
                <wp:docPr id="264" name="Frame2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Lien Administrative Agent becoming, or being deemed to be, a Lender hereunder or the holder of any Loans hereunder.</w:t>
      </w:r>
    </w:p>
    <w:p>
      <w:pPr>
        <w:pStyle w:val="TextBody"/>
        <w:bidi w:val="0"/>
        <w:spacing w:before="12" w:after="283"/>
        <w:jc w:val="left"/>
        <w:rPr/>
      </w:pPr>
      <w:r>
        <w:rPr/>
      </w:r>
    </w:p>
    <w:p>
      <w:pPr>
        <w:pStyle w:val="TextBody"/>
        <w:bidi w:val="0"/>
        <w:spacing w:lineRule="auto" w:line="288" w:before="1" w:after="283"/>
        <w:ind w:left="0" w:right="0" w:firstLine="1440"/>
        <w:jc w:val="both"/>
        <w:rPr/>
      </w:pPr>
      <w:r>
        <w:rPr>
          <w:rFonts w:ascii="Times New Roman;sans-serif" w:hAnsi="Times New Roman;sans-serif"/>
          <w:b w:val="false"/>
          <w:color w:val="010000"/>
          <w:sz w:val="20"/>
        </w:rPr>
        <w:t>(f)</w:t>
      </w:r>
      <w:r>
        <w:rPr>
          <w:rFonts w:ascii="Times New Roman;sans-serif" w:hAnsi="Times New Roman;sans-serif"/>
          <w:b w:val="false"/>
          <w:color w:val="000000"/>
          <w:sz w:val="20"/>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First Lien Administrative Agent for the return of any Erroneous Payment received, including any defense based on “discharge for value” or any similar doctrine.</w:t>
      </w:r>
    </w:p>
    <w:p>
      <w:pPr>
        <w:pStyle w:val="TextBody"/>
        <w:bidi w:val="0"/>
        <w:spacing w:before="0" w:after="0"/>
        <w:jc w:val="both"/>
        <w:rPr/>
      </w:pPr>
      <w:r>
        <w:rPr/>
      </w:r>
    </w:p>
    <w:p>
      <w:pPr>
        <w:pStyle w:val="TextBody"/>
        <w:bidi w:val="0"/>
        <w:spacing w:lineRule="auto" w:line="288" w:before="60" w:after="283"/>
        <w:ind w:left="0" w:right="0" w:firstLine="1440"/>
        <w:jc w:val="left"/>
        <w:rPr/>
      </w:pPr>
      <w:r>
        <w:rPr>
          <w:rFonts w:ascii="Times New Roman;sans-serif" w:hAnsi="Times New Roman;sans-serif"/>
          <w:b w:val="false"/>
          <w:color w:val="010000"/>
          <w:sz w:val="20"/>
        </w:rPr>
        <w:t>(g)</w:t>
      </w:r>
      <w:r>
        <w:rPr>
          <w:rFonts w:ascii="Times New Roman;sans-serif" w:hAnsi="Times New Roman;sans-serif"/>
          <w:b w:val="false"/>
          <w:color w:val="000000"/>
          <w:sz w:val="20"/>
        </w:rPr>
        <w:t>Each party’s obligations, agreements and waivers under this Section 9.22 shall survive the resignation or replacement of the First Lien Administrative Agent, any transfer of rights or obligations by, or the replacement of, a Lender, the termination of the Commitments and/or the repayment, satisfaction or discharge of all Obligations (or any portion thereof) under any Loan Document.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5" w:after="283"/>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Remainder of Page Intentionally Left Blank.</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351155"/>
                <wp:effectExtent l="0" t="0" r="0" b="0"/>
                <wp:wrapNone/>
                <wp:docPr id="265" name="Frame2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Annex B</w:t>
      </w:r>
    </w:p>
    <w:p>
      <w:pPr>
        <w:pStyle w:val="TextBody"/>
        <w:bidi w:val="0"/>
        <w:spacing w:lineRule="auto" w:line="288" w:before="239"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2.01</w:t>
      </w:r>
    </w:p>
    <w:p>
      <w:pPr>
        <w:pStyle w:val="TextBody"/>
        <w:bidi w:val="0"/>
        <w:spacing w:lineRule="auto" w:line="288" w:before="242"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As of the Amendment No. 5 Effective Date</w:t>
      </w:r>
    </w:p>
    <w:p>
      <w:pPr>
        <w:pStyle w:val="TextBody"/>
        <w:bidi w:val="0"/>
        <w:spacing w:before="7" w:after="1"/>
        <w:jc w:val="left"/>
        <w:rPr/>
      </w:pPr>
      <w:r>
        <w:rPr/>
      </w:r>
    </w:p>
    <w:tbl>
      <w:tblPr>
        <w:tblW w:w="9133" w:type="dxa"/>
        <w:jc w:val="left"/>
        <w:tblInd w:w="0" w:type="dxa"/>
        <w:tblLayout w:type="fixed"/>
        <w:tblCellMar>
          <w:top w:w="28" w:type="dxa"/>
          <w:left w:w="28" w:type="dxa"/>
          <w:bottom w:w="28" w:type="dxa"/>
          <w:right w:w="28" w:type="dxa"/>
        </w:tblCellMar>
      </w:tblPr>
      <w:tblGrid>
        <w:gridCol w:w="1470"/>
        <w:gridCol w:w="1295"/>
        <w:gridCol w:w="1299"/>
        <w:gridCol w:w="834"/>
        <w:gridCol w:w="834"/>
        <w:gridCol w:w="836"/>
        <w:gridCol w:w="751"/>
        <w:gridCol w:w="751"/>
        <w:gridCol w:w="1063"/>
      </w:tblGrid>
      <w:tr>
        <w:trPr/>
        <w:tc>
          <w:tcPr>
            <w:tcW w:w="147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4" w:space="0" w:color="000000"/>
              <w:left w:val="single" w:sz="4" w:space="0" w:color="000000"/>
            </w:tcBorders>
            <w:shd w:fill="E7E6E6" w:val="clear"/>
            <w:tcMar>
              <w:top w:w="30" w:type="dxa"/>
              <w:bottom w:w="0" w:type="dxa"/>
              <w:right w:w="0" w:type="dxa"/>
            </w:tcMar>
            <w:vAlign w:val="center"/>
          </w:tcPr>
          <w:p>
            <w:pPr>
              <w:pStyle w:val="TableContents"/>
              <w:bidi w:val="0"/>
              <w:spacing w:lineRule="auto" w:line="288" w:before="1"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Revolving Lender</w:t>
            </w:r>
          </w:p>
        </w:tc>
        <w:tc>
          <w:tcPr>
            <w:tcW w:w="2504" w:type="dxa"/>
            <w:gridSpan w:val="3"/>
            <w:tcBorders>
              <w:top w:val="single" w:sz="4" w:space="0" w:color="000000"/>
              <w:left w:val="single" w:sz="4" w:space="0" w:color="000000"/>
            </w:tcBorders>
            <w:shd w:fill="E7E6E6" w:val="clear"/>
            <w:tcMar>
              <w:top w:w="30" w:type="dxa"/>
              <w:bottom w:w="0" w:type="dxa"/>
              <w:right w:w="0" w:type="dxa"/>
            </w:tcMar>
            <w:vAlign w:val="center"/>
          </w:tcPr>
          <w:p>
            <w:pPr>
              <w:pStyle w:val="TableContents"/>
              <w:bidi w:val="0"/>
              <w:spacing w:lineRule="auto" w:line="288" w:before="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Revolving Commitments</w:t>
            </w:r>
          </w:p>
        </w:tc>
        <w:tc>
          <w:tcPr>
            <w:tcW w:w="2565" w:type="dxa"/>
            <w:gridSpan w:val="3"/>
            <w:tcBorders>
              <w:top w:val="single" w:sz="4" w:space="0" w:color="000000"/>
              <w:left w:val="single" w:sz="4" w:space="0" w:color="000000"/>
              <w:right w:val="single" w:sz="4" w:space="0" w:color="000000"/>
            </w:tcBorders>
            <w:shd w:fill="E7E6E6" w:val="clear"/>
            <w:tcMar>
              <w:top w:w="30" w:type="dxa"/>
              <w:bottom w:w="0" w:type="dxa"/>
            </w:tcMar>
            <w:vAlign w:val="center"/>
          </w:tcPr>
          <w:p>
            <w:pPr>
              <w:pStyle w:val="TableContents"/>
              <w:bidi w:val="0"/>
              <w:spacing w:lineRule="auto" w:line="288" w:before="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Letter of Credit Sublimit</w:t>
            </w:r>
          </w:p>
        </w:tc>
      </w:tr>
      <w:tr>
        <w:trPr/>
        <w:tc>
          <w:tcPr>
            <w:tcW w:w="4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tc>
        <w:tc>
          <w:tcPr>
            <w:tcW w:w="25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$132,500,000</w:t>
            </w:r>
          </w:p>
        </w:tc>
        <w:tc>
          <w:tcPr>
            <w:tcW w:w="25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$132,500,000</w:t>
            </w:r>
          </w:p>
        </w:tc>
      </w:tr>
      <w:tr>
        <w:trPr/>
        <w:tc>
          <w:tcPr>
            <w:tcW w:w="4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Citibank, N.A.</w:t>
            </w:r>
          </w:p>
        </w:tc>
        <w:tc>
          <w:tcPr>
            <w:tcW w:w="25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$82,500,000</w:t>
            </w:r>
          </w:p>
        </w:tc>
        <w:tc>
          <w:tcPr>
            <w:tcW w:w="25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$82,500,000</w:t>
            </w:r>
          </w:p>
        </w:tc>
      </w:tr>
      <w:tr>
        <w:trPr/>
        <w:tc>
          <w:tcPr>
            <w:tcW w:w="4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Goldman Sachs Bank USA</w:t>
            </w:r>
          </w:p>
        </w:tc>
        <w:tc>
          <w:tcPr>
            <w:tcW w:w="25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$65,000,000</w:t>
            </w:r>
          </w:p>
        </w:tc>
        <w:tc>
          <w:tcPr>
            <w:tcW w:w="25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$65,000,000</w:t>
            </w:r>
          </w:p>
        </w:tc>
      </w:tr>
      <w:tr>
        <w:trPr/>
        <w:tc>
          <w:tcPr>
            <w:tcW w:w="4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Goldman Sachs Lending Partners LLC</w:t>
            </w:r>
          </w:p>
        </w:tc>
        <w:tc>
          <w:tcPr>
            <w:tcW w:w="25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6"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$17,500,000</w:t>
            </w:r>
          </w:p>
        </w:tc>
        <w:tc>
          <w:tcPr>
            <w:tcW w:w="25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6"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$17,500,000</w:t>
            </w:r>
          </w:p>
        </w:tc>
      </w:tr>
      <w:tr>
        <w:trPr/>
        <w:tc>
          <w:tcPr>
            <w:tcW w:w="4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Royal Bank of Canada</w:t>
            </w:r>
          </w:p>
        </w:tc>
        <w:tc>
          <w:tcPr>
            <w:tcW w:w="25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$82,500,000</w:t>
            </w:r>
          </w:p>
        </w:tc>
        <w:tc>
          <w:tcPr>
            <w:tcW w:w="25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$82,500,000</w:t>
            </w:r>
          </w:p>
        </w:tc>
      </w:tr>
      <w:tr>
        <w:trPr/>
        <w:tc>
          <w:tcPr>
            <w:tcW w:w="4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Barclays Bank PLC</w:t>
            </w:r>
          </w:p>
        </w:tc>
        <w:tc>
          <w:tcPr>
            <w:tcW w:w="25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$40,000,000</w:t>
            </w:r>
          </w:p>
        </w:tc>
        <w:tc>
          <w:tcPr>
            <w:tcW w:w="25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$40,000,000</w:t>
            </w:r>
          </w:p>
        </w:tc>
      </w:tr>
      <w:tr>
        <w:trPr/>
        <w:tc>
          <w:tcPr>
            <w:tcW w:w="4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Citizens Bank, N.A.</w:t>
            </w:r>
          </w:p>
        </w:tc>
        <w:tc>
          <w:tcPr>
            <w:tcW w:w="25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$40,000,000</w:t>
            </w:r>
          </w:p>
        </w:tc>
        <w:tc>
          <w:tcPr>
            <w:tcW w:w="25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$40,000,000</w:t>
            </w:r>
          </w:p>
        </w:tc>
      </w:tr>
      <w:tr>
        <w:trPr/>
        <w:tc>
          <w:tcPr>
            <w:tcW w:w="4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KeyBank National Association</w:t>
            </w:r>
          </w:p>
        </w:tc>
        <w:tc>
          <w:tcPr>
            <w:tcW w:w="25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$40,000,000</w:t>
            </w:r>
          </w:p>
        </w:tc>
        <w:tc>
          <w:tcPr>
            <w:tcW w:w="25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$40,000,000</w:t>
            </w:r>
          </w:p>
        </w:tc>
      </w:tr>
      <w:tr>
        <w:trPr/>
        <w:tc>
          <w:tcPr>
            <w:tcW w:w="4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Banco Santander, S.A., New York Branch</w:t>
            </w:r>
          </w:p>
        </w:tc>
        <w:tc>
          <w:tcPr>
            <w:tcW w:w="25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$37,500,000</w:t>
            </w:r>
          </w:p>
        </w:tc>
        <w:tc>
          <w:tcPr>
            <w:tcW w:w="25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8"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$37,500,000</w:t>
            </w:r>
          </w:p>
        </w:tc>
      </w:tr>
      <w:tr>
        <w:trPr/>
        <w:tc>
          <w:tcPr>
            <w:tcW w:w="4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BNP Paribas</w:t>
            </w:r>
          </w:p>
        </w:tc>
        <w:tc>
          <w:tcPr>
            <w:tcW w:w="25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$32,500,000</w:t>
            </w:r>
          </w:p>
        </w:tc>
        <w:tc>
          <w:tcPr>
            <w:tcW w:w="25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$32,500,000</w:t>
            </w:r>
          </w:p>
        </w:tc>
      </w:tr>
      <w:tr>
        <w:trPr/>
        <w:tc>
          <w:tcPr>
            <w:tcW w:w="4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Jefferies Finance LLC</w:t>
            </w:r>
          </w:p>
        </w:tc>
        <w:tc>
          <w:tcPr>
            <w:tcW w:w="25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$30,000,000</w:t>
            </w:r>
          </w:p>
        </w:tc>
        <w:tc>
          <w:tcPr>
            <w:tcW w:w="25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3"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$15,000,000</w:t>
            </w:r>
          </w:p>
        </w:tc>
      </w:tr>
      <w:tr>
        <w:trPr/>
        <w:tc>
          <w:tcPr>
            <w:tcW w:w="40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center"/>
              <w:rPr>
                <w:rFonts w:ascii="Times New Roman;sans-serif" w:hAnsi="Times New Roman;sans-serif"/>
                <w:b/>
                <w:color w:val="000000"/>
                <w:sz w:val="22"/>
              </w:rPr>
            </w:pPr>
            <w:r>
              <w:rPr>
                <w:rFonts w:ascii="Times New Roman;sans-serif" w:hAnsi="Times New Roman;sans-serif"/>
                <w:b/>
                <w:color w:val="000000"/>
                <w:sz w:val="22"/>
              </w:rPr>
              <w:t>Total:</w:t>
            </w:r>
          </w:p>
        </w:tc>
        <w:tc>
          <w:tcPr>
            <w:tcW w:w="25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center"/>
              <w:rPr>
                <w:rFonts w:ascii="Times New Roman;sans-serif" w:hAnsi="Times New Roman;sans-serif"/>
                <w:b/>
                <w:color w:val="000000"/>
                <w:sz w:val="22"/>
              </w:rPr>
            </w:pPr>
            <w:r>
              <w:rPr>
                <w:rFonts w:ascii="Times New Roman;sans-serif" w:hAnsi="Times New Roman;sans-serif"/>
                <w:b/>
                <w:color w:val="000000"/>
                <w:sz w:val="22"/>
              </w:rPr>
              <w:t>$600,000,000</w:t>
            </w:r>
          </w:p>
        </w:tc>
        <w:tc>
          <w:tcPr>
            <w:tcW w:w="256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1" w:after="283"/>
              <w:jc w:val="center"/>
              <w:rPr>
                <w:rFonts w:ascii="Times New Roman;sans-serif" w:hAnsi="Times New Roman;sans-serif"/>
                <w:b/>
                <w:color w:val="000000"/>
                <w:sz w:val="22"/>
              </w:rPr>
            </w:pPr>
            <w:r>
              <w:rPr>
                <w:rFonts w:ascii="Times New Roman;sans-serif" w:hAnsi="Times New Roman;sans-serif"/>
                <w:b/>
                <w:color w:val="000000"/>
                <w:sz w:val="22"/>
              </w:rPr>
              <w:t>$585,000,000</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p>
      <w:pPr>
        <w:pStyle w:val="TextBody"/>
        <w:bidi w:val="0"/>
        <w:spacing w:lineRule="auto" w:line="288" w:before="4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Mr. Jonathan Lyons</w:t>
      </w:r>
    </w:p>
    <w:p>
      <w:pPr>
        <w:pStyle w:val="TextBody"/>
        <w:bidi w:val="0"/>
        <w:spacing w:lineRule="auto" w:line="288" w:before="4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Dear Jon,</w:t>
      </w:r>
    </w:p>
    <w:p>
      <w:pPr>
        <w:pStyle w:val="TextBody"/>
        <w:bidi w:val="0"/>
        <w:spacing w:lineRule="auto" w:line="288" w:before="4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Congratulations on the opportunity to join Sotera Health Company (the “Company”) as its Senior Vice President and Chief Financial Officer. This letter will recap the key elements of our offer. This letter amends and restates the prior offer letter you received from Sotera Health Company dated May 31, 2023, as last amended and restated as of February 26, 2024.</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Start Date:</w:t>
      </w:r>
      <w:r>
        <w:rPr>
          <w:color w:val="000000"/>
        </w:rPr>
        <w:t xml:space="preserve"> </w:t>
      </w:r>
      <w:r>
        <w:rPr>
          <w:rFonts w:ascii="Times New Roman;sans-serif" w:hAnsi="Times New Roman;sans-serif"/>
          <w:b w:val="false"/>
          <w:color w:val="000000"/>
          <w:sz w:val="20"/>
        </w:rPr>
        <w:t>Your employment will commence on June 26, 2023.</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Reporting</w:t>
      </w:r>
      <w:r>
        <w:rPr>
          <w:rFonts w:ascii="Times New Roman;sans-serif" w:hAnsi="Times New Roman;sans-serif"/>
          <w:b w:val="false"/>
          <w:color w:val="000000"/>
          <w:sz w:val="20"/>
        </w:rPr>
        <w:t>: You will report to Michael Petras, Chief Executive Officer, Sotera Health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Status &amp; Salary</w:t>
      </w:r>
      <w:r>
        <w:rPr>
          <w:rFonts w:ascii="Times New Roman;sans-serif" w:hAnsi="Times New Roman;sans-serif"/>
          <w:b w:val="false"/>
          <w:color w:val="000000"/>
          <w:sz w:val="20"/>
        </w:rPr>
        <w:t>: You will be employed as a full-time, exempt, salaried employee. Your starting salary will be $475,000 annually, payable on a bi-weekly basis. The Company may review and/or revise your salary from time to time, in its sole discretion.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 xml:space="preserve">Annual Incentive Plan: </w:t>
      </w:r>
      <w:r>
        <w:rPr>
          <w:rFonts w:ascii="Times New Roman;sans-serif" w:hAnsi="Times New Roman;sans-serif"/>
          <w:b w:val="false"/>
          <w:color w:val="000000"/>
          <w:sz w:val="20"/>
        </w:rPr>
        <w:t xml:space="preserve">You will be eligible to participate in the Annual Incentive Plan, on the terms and conditions set forth therein, at a target of 70% of your base annual salary. For 2023, your participation in the AIP will be prorated based on your hire date.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Sign-on Bonus</w:t>
      </w:r>
      <w:r>
        <w:rPr>
          <w:rFonts w:ascii="Times New Roman;sans-serif" w:hAnsi="Times New Roman;sans-serif"/>
          <w:b w:val="false"/>
          <w:color w:val="000000"/>
          <w:sz w:val="20"/>
        </w:rPr>
        <w:t xml:space="preserve">: You will be eligible for $200,000 to replace the forgone value of your annual cash incentive award from your former employer. This bonus will be payable within the first payroll cycle after your start date.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Long-Term Incentive Plan</w:t>
      </w:r>
      <w:r>
        <w:rPr>
          <w:rFonts w:ascii="Times New Roman;sans-serif" w:hAnsi="Times New Roman;sans-serif"/>
          <w:b w:val="false"/>
          <w:color w:val="000000"/>
          <w:sz w:val="20"/>
        </w:rPr>
        <w:t xml:space="preserve">: In August of 2023, you will be eligible for an equity award with a grant date fair value of $1,000,000 comprised of restricted stock units for foregone long-term incentives from your prior employer. You will also be eligible for an annual award with a target grant date fair value of $1,200,000 subject to the approval of the Leadership Development and Compensation Committee of the Company’s Board of Directors and the Board of Directors. This award will be comprised of stock options and restricted stock units and will be prorated 50% for 2023.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note that this is the value of your initial grant and the value of future grants, if any, may vary. Your equity award will be subject to and contingent upon your acceptance of, the terms and conditions of the Sotera Health Company 2020 Omnibus Incentive Plan, as well as any applicable grant notices and agreements associated with your award. Additional information will be provided upon acceptance of this offer.</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Benefits Program</w:t>
      </w:r>
      <w:r>
        <w:rPr>
          <w:rFonts w:ascii="Times New Roman;sans-serif" w:hAnsi="Times New Roman;sans-serif"/>
          <w:b w:val="false"/>
          <w:color w:val="000000"/>
          <w:sz w:val="20"/>
        </w:rPr>
        <w:t>: You are eligible to participate in the Company’s benefits program, including but not limited to medical, dental, vision and 401(k) plan with company match. All plans are in accordance with the terms and conditions of that program and associated insurance policies, as may be in effect from time to time. The Company reserves the right to amend or discontinue its benefits program at any time, with or without advance notice.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Vacation</w:t>
      </w:r>
      <w:r>
        <w:rPr>
          <w:rFonts w:ascii="Times New Roman;sans-serif" w:hAnsi="Times New Roman;sans-serif"/>
          <w:b w:val="false"/>
          <w:color w:val="000000"/>
          <w:sz w:val="20"/>
        </w:rPr>
        <w:t>: You are entitled to four (4) weeks of vacation annually, subject to the terms and conditions of the Company’s vacation policy as may be in effect from time to time. Your vacation time will be prorated during your first year of employment, according to your hire date.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 xml:space="preserve">Termination of Employment: </w:t>
      </w:r>
      <w:r>
        <w:rPr>
          <w:rFonts w:ascii="Times New Roman;sans-serif" w:hAnsi="Times New Roman;sans-serif"/>
          <w:b w:val="false"/>
          <w:color w:val="000000"/>
          <w:sz w:val="20"/>
        </w:rPr>
        <w:t xml:space="preserve">In the event your employment is terminated by the Company without Cause you will be eligible for separation pay in an aggregate amount equal to the sum of one (1) year of your base salary plus your target AIP award for the year in which termination occurs (the “Separation Payments”). Payment of the Separation Payments shall be made in substantially equal installments over a one (1) year period in accordance with the Company’s normal payroll practices and shall commence on the sixtieth (60th) day following the date of your termination of employment (the “Release Date”) and end on the one (1) year anniversary of the date of your termination, subject to your execution and delivery to the Company of a general release in a form acceptable to the Company (and such release being in full force and effect and having not been timely revoked in accordance with its terms) (the “Release Requirement”). You shall be entitled to receive </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703580"/>
                <wp:effectExtent l="0" t="0" r="0" b="0"/>
                <wp:wrapNone/>
                <wp:docPr id="267" name="Frame266"/>
                <a:graphic xmlns:a="http://schemas.openxmlformats.org/drawingml/2006/main">
                  <a:graphicData uri="http://schemas.microsoft.com/office/word/2010/wordprocessingShape">
                    <wps:wsp>
                      <wps:cNvSpPr txBox="1"/>
                      <wps:spPr>
                        <a:xfrm>
                          <a:off x="0" y="0"/>
                          <a:ext cx="6480175" cy="703580"/>
                        </a:xfrm>
                        <a:prstGeom prst="rect"/>
                        <a:solidFill>
                          <a:srgbClr val="FFFFFF"/>
                        </a:solidFill>
                      </wps:spPr>
                      <wps:txbx>
                        <w:txbxContent>
                          <w:p>
                            <w:pPr>
                              <w:pStyle w:val="TextBody"/>
                              <w:bidi w:val="0"/>
                              <w:spacing w:before="0" w:after="140"/>
                              <w:jc w:val="right"/>
                              <w:rPr/>
                            </w:pPr>
                            <w:r>
                              <w:rPr/>
                            </w:r>
                            <w:r>
                              <w:br w:type="page"/>
                            </w:r>
                          </w:p>
                          <w:p>
                            <w:pPr>
                              <w:pStyle w:val="TextBody"/>
                              <w:bidi w:val="0"/>
                              <w:spacing w:before="0" w:after="14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40"/>
                        <w:jc w:val="right"/>
                        <w:rPr/>
                      </w:pPr>
                      <w:r>
                        <w:rPr/>
                      </w:r>
                    </w:p>
                    <w:p>
                      <w:pPr>
                        <w:pStyle w:val="TextBody"/>
                        <w:bidi w:val="0"/>
                        <w:spacing w:before="0" w:after="14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Separation Payments only so long as you have not breached any of the provisions of such general release or any restrictive covenants to which you are subject. If the Release Requirement is satisfied, then the portion of the Separation Payments which would otherwise have been paid during the period between the date of termination of employment and the Release Date shall instead be paid as soon as reasonably practicable following the Release Date. If the Release Requirement is not satisfied as of the Release Date, you shall not be entitled to any Separation Payments and the Company shall have no further obligations in connection with the Separation Payments.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any provision of this letter to the contrary, in the event that you are a “specified employee” within the meaning of Code Section 409A (as defined below), any payments or benefits that are considered non-qualified deferred compensation under Code Section 409A payable under this section on account of a “separation from service” during the six-month period immediately following the termination date shall, to the extent necessary to comply with Code Section 409A, instead be paid, or provided, as the case may be, on the first business day after the date that is six months following your “separation from service” within the meaning of Code Section 409A. For purposes of Code Section 409A, your right to receive any installment payments pursuant to this section shall be treated as a right to receive a series of separate and distinct payments. In no event may you, directly or indirectly, designate the calendar year of any payment to be made under this section that is considered nonqualified deferred compensation, subject to Code Section 409A.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hereof, “Cause” means (i) your intentional unauthorized use or disclosure of the confidential information or trade secrets of the Company and its affiliates or any of their respective customers or suppliers, (ii) conviction of, a plea of “guilty” or “no contest” to, or indictment for a felony under the laws of the United States, Canada or any province or state thereof or the laws of any other jurisdiction in which you reside, (iii) your engagement in any fraud, willful misconduct or gross neglect in the performance of your duties hereunder, or in any other willful misconduct which has caused material injury to the Company or any of its affiliates or any of their respective customers or suppliers, (iv) your willfully engaging in any act or omission involving dishonesty, breach of trust, unethical business conduct or moral turpitude, in each case involving the Company or any of its affiliates, or any of their respective customers or suppliers, (v) your failure to perform lawful assigned duties or (vi) any breach by you of any restrictive covenant to which you are subject.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Commuting Bonus:</w:t>
      </w:r>
      <w:r>
        <w:rPr>
          <w:color w:val="000000"/>
        </w:rPr>
        <w:t xml:space="preserve"> </w:t>
      </w:r>
      <w:r>
        <w:rPr>
          <w:rFonts w:ascii="Times New Roman;sans-serif" w:hAnsi="Times New Roman;sans-serif"/>
          <w:b w:val="false"/>
          <w:color w:val="000000"/>
          <w:sz w:val="20"/>
        </w:rPr>
        <w:t xml:space="preserve">You will be eligible for a one-time payment of $100,000 to defray costs associated with commuting to Cleveland, Ohio. This payment will be made in the first payroll cycle in April, 2024.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 xml:space="preserve">Pay-Back Provision: </w:t>
      </w:r>
      <w:r>
        <w:rPr>
          <w:rFonts w:ascii="Times New Roman;sans-serif" w:hAnsi="Times New Roman;sans-serif"/>
          <w:b w:val="false"/>
          <w:color w:val="000000"/>
          <w:sz w:val="20"/>
        </w:rPr>
        <w:t xml:space="preserve">In the event you terminate your employment for any reason other than death or disability; or the Company terminates your employment for Cause within 24 months after your start date, by your signature below, you acknowledge and agree to pay back to Sotera Health a pro-rata portion of your sign-on bonus and commuting bonus (on a pre-tax basis) within 5 business days of your termination of employment.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Your employment with the Company is “at will”; it is for no specified term and may be terminated by you or the Company at any time, with or without cause or advance notice. This letter may be executed in counterparts and shall be binding upon the parties upon execution and may only be amended in writing signed by each of the parties hereto. The Company reserves the right to add, delete, or modify all plans, program, policies, procedures, and guidelines at any time, provided, however, that such actions shall not modify the compensation and benefits specifically provided to you under this letter. This letter constitutes the complete agreement between you and the Company with respect to the subject matter hereof, and supersedes any prior understandings or agreements with respect thereto, and shall be governed by the internal substantive laws of the state of Delaware. All compensation and benefits described herein will be subject to applicable tax withholding.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intent of the parties is that payments and benefits under this letter comply with or be exempt from Section 409A of the Internal Revenue Code of 1986, as amended (the “Code”) and the regulations and guidance promulgated thereunder (collectively “Code Section 409A”) and, accordingly, to the maximum extent permitted, this letter shall be interpreted to be exempt from or in compliance therewith. In no event whatsoever shall the Company be liable for any additional tax, interest or penalty that may be imposed on you by Code Section 409A or damages for failing to comply with Code Section 409A.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offer is contingent upon favorable references and successful completion of background and drug screens. </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7955"/>
                <wp:effectExtent l="0" t="0" r="0" b="0"/>
                <wp:wrapNone/>
                <wp:docPr id="268" name="Frame26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19" w:before="0" w:after="0"/>
                              <w:jc w:val="right"/>
                              <w:rPr>
                                <w:rFonts w:ascii="sans-serif" w:hAnsi="sans-serif"/>
                                <w:b w:val="false"/>
                                <w:color w:val="000000"/>
                                <w:sz w:val="20"/>
                              </w:rPr>
                            </w:pPr>
                            <w:r>
                              <w:rPr>
                                <w:rFonts w:ascii="sans-serif" w:hAnsi="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right"/>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condition of your employment, you will be required to provide the Company with documents establishing your identity and right to work in the United States. These documents must be provided to the Company within three days after your employment start date. In addition, you will also be required to sign a restrictive covenants agreement in a form customary for senior executives covering non-competition and non-solicitation (while employed and for one year post employment) and confidentiality.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Without limiting the generality of the foregoing, notwithstanding anything to the contrary in this letter (or in any other agreement, contract or arrangement with the Company or its subsidiaries or affiliates, or in any policy, procedure or practice of the Company or its subsidiaries or affiliates (collectively, the “Arrangements”)): (1) nothing in the Arrangements or otherwise limits your right to any monetary award offered by a government-administered whistleblower award program for providing information directly to a government agency (including the Securities and Exchange Commission pursuant to Section 21F of the Securities Exchange Act of 1934, as amended (the “Exchange Act”), the Dodd-Frank Wall Street Reform and Consumer Protection Act or The Sarbanes-Oxley Act of 2002); and (2) nothing in the Arrangements or otherwise prevents you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you are not prohibited from providing information (including documents) voluntarily to the Securities and Exchange Commission pursuant to Section 21F of the Exchange Act). The Company nonetheless asserts and does not waive its attorney-client privilege over any information appropriately protected by privilege.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Jon, we look forward to you joining the Company and becoming part of our team. We are sure you will find your career with us both challenging and rewarding.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confirm your acceptance of this amended and restated letter, please sign below and return to me.</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Sincerely, </w:t>
      </w:r>
    </w:p>
    <w:tbl>
      <w:tblPr>
        <w:tblW w:w="3269" w:type="dxa"/>
        <w:jc w:val="left"/>
        <w:tblInd w:w="0" w:type="dxa"/>
        <w:tblLayout w:type="fixed"/>
        <w:tblCellMar>
          <w:top w:w="28" w:type="dxa"/>
          <w:left w:w="28" w:type="dxa"/>
          <w:bottom w:w="28" w:type="dxa"/>
          <w:right w:w="28" w:type="dxa"/>
        </w:tblCellMar>
      </w:tblPr>
      <w:tblGrid>
        <w:gridCol w:w="1045"/>
        <w:gridCol w:w="917"/>
        <w:gridCol w:w="1307"/>
      </w:tblGrid>
      <w:tr>
        <w:trPr/>
        <w:tc>
          <w:tcPr>
            <w:tcW w:w="104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B. Petras, Jr.</w:t>
            </w:r>
          </w:p>
        </w:tc>
      </w:tr>
      <w:tr>
        <w:trPr/>
        <w:tc>
          <w:tcPr>
            <w:tcW w:w="32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Michael B. Petras, Jr. </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Company</w:t>
            </w:r>
          </w:p>
        </w:tc>
      </w:tr>
    </w:tbl>
    <w:p>
      <w:pPr>
        <w:pStyle w:val="TextBody"/>
        <w:bidi w:val="0"/>
        <w:spacing w:lineRule="auto" w:line="288" w:before="480" w:after="720"/>
        <w:jc w:val="both"/>
        <w:rPr>
          <w:rFonts w:ascii="Times New Roman;sans-serif" w:hAnsi="Times New Roman;sans-serif"/>
          <w:b w:val="false"/>
          <w:i/>
          <w:color w:val="000000"/>
          <w:sz w:val="20"/>
        </w:rPr>
      </w:pPr>
      <w:r>
        <w:rPr>
          <w:rFonts w:ascii="Times New Roman;sans-serif" w:hAnsi="Times New Roman;sans-serif"/>
          <w:b w:val="false"/>
          <w:i/>
          <w:color w:val="000000"/>
          <w:sz w:val="20"/>
        </w:rPr>
        <w:t>By my signature below, I confirm that I have read, understand and agree with the terms of this amended and restated letter.</w:t>
      </w:r>
    </w:p>
    <w:tbl>
      <w:tblPr>
        <w:tblW w:w="6161" w:type="dxa"/>
        <w:jc w:val="left"/>
        <w:tblInd w:w="0" w:type="dxa"/>
        <w:tblLayout w:type="fixed"/>
        <w:tblCellMar>
          <w:top w:w="28" w:type="dxa"/>
          <w:left w:w="28" w:type="dxa"/>
          <w:bottom w:w="28" w:type="dxa"/>
          <w:right w:w="28" w:type="dxa"/>
        </w:tblCellMar>
      </w:tblPr>
      <w:tblGrid>
        <w:gridCol w:w="912"/>
        <w:gridCol w:w="801"/>
        <w:gridCol w:w="806"/>
        <w:gridCol w:w="109"/>
        <w:gridCol w:w="109"/>
        <w:gridCol w:w="109"/>
        <w:gridCol w:w="968"/>
        <w:gridCol w:w="968"/>
        <w:gridCol w:w="1379"/>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Jonathan Lyons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Jonathan Lyons / February 26, 2025</w:t>
            </w:r>
          </w:p>
        </w:tc>
      </w:tr>
      <w:tr>
        <w:trPr/>
        <w:tc>
          <w:tcPr>
            <w:tcW w:w="25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Jonathan Lyons (please print)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Signature/Date</w:t>
            </w:r>
          </w:p>
        </w:tc>
      </w:tr>
    </w:tbl>
    <w:p>
      <w:pPr>
        <w:pStyle w:val="TextBody"/>
        <w:bidi w:val="0"/>
        <w:spacing w:lineRule="auto" w:line="288" w:before="480" w:after="200"/>
        <w:jc w:val="both"/>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7955"/>
                <wp:effectExtent l="0" t="0" r="0" b="0"/>
                <wp:wrapNone/>
                <wp:docPr id="269" name="Frame26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19" w:before="0" w:after="0"/>
                              <w:jc w:val="right"/>
                              <w:rPr>
                                <w:rFonts w:ascii="sans-serif" w:hAnsi="sans-serif"/>
                                <w:b w:val="false"/>
                                <w:color w:val="000000"/>
                                <w:sz w:val="20"/>
                              </w:rPr>
                            </w:pPr>
                            <w:r>
                              <w:rPr>
                                <w:rFonts w:ascii="sans-serif" w:hAns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19" w:before="0" w:after="0"/>
                        <w:jc w:val="right"/>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Michael B. Petras, Jr., certify that:</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Sotera Health Company;</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2025</w:t>
      </w:r>
    </w:p>
    <w:tbl>
      <w:tblPr>
        <w:tblW w:w="3269" w:type="dxa"/>
        <w:jc w:val="left"/>
        <w:tblInd w:w="0" w:type="dxa"/>
        <w:tblLayout w:type="fixed"/>
        <w:tblCellMar>
          <w:top w:w="28" w:type="dxa"/>
          <w:left w:w="28" w:type="dxa"/>
          <w:bottom w:w="28" w:type="dxa"/>
          <w:right w:w="28" w:type="dxa"/>
        </w:tblCellMar>
      </w:tblPr>
      <w:tblGrid>
        <w:gridCol w:w="1045"/>
        <w:gridCol w:w="917"/>
        <w:gridCol w:w="1307"/>
      </w:tblGrid>
      <w:tr>
        <w:trPr/>
        <w:tc>
          <w:tcPr>
            <w:tcW w:w="104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B. Petras, Jr.</w:t>
            </w:r>
          </w:p>
        </w:tc>
      </w:tr>
      <w:tr>
        <w:trPr/>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B. Petras, Jr.</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Jonathan M. Lyons, certify that:</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Sotera Health Company;</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2025</w:t>
      </w:r>
    </w:p>
    <w:tbl>
      <w:tblPr>
        <w:tblW w:w="4155" w:type="dxa"/>
        <w:jc w:val="left"/>
        <w:tblInd w:w="0" w:type="dxa"/>
        <w:tblLayout w:type="fixed"/>
        <w:tblCellMar>
          <w:top w:w="28" w:type="dxa"/>
          <w:left w:w="28" w:type="dxa"/>
          <w:bottom w:w="28" w:type="dxa"/>
          <w:right w:w="28" w:type="dxa"/>
        </w:tblCellMar>
      </w:tblPr>
      <w:tblGrid>
        <w:gridCol w:w="1328"/>
        <w:gridCol w:w="1167"/>
        <w:gridCol w:w="1660"/>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 Lyons</w:t>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 Lyons</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Officer) </w:t>
            </w:r>
          </w:p>
        </w:tc>
      </w:tr>
    </w:tbl>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CERTIFICATIONS OF PRINCIPAL EXECUTIVE OFFICER AND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480"/>
        <w:ind w:left="0" w:right="0" w:firstLine="720"/>
        <w:jc w:val="left"/>
        <w:rPr/>
      </w:pPr>
      <w:r>
        <w:rPr>
          <w:rFonts w:ascii="Times New Roman;sans-serif" w:hAnsi="Times New Roman;sans-serif"/>
          <w:b w:val="false"/>
          <w:color w:val="000000"/>
          <w:sz w:val="20"/>
        </w:rPr>
        <w:t>Pursuant to section 906 of the Sarbanes-Oxley Act of 2002 (subsections (a) and (b) of Section 1350, Chapter 63 of Title 18, United States Code), each of the undersigned officers of Sotera Health Company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do hereby certify, to each such officer’s knowledge, that the Company’s Quarterly Report on Form 10-Q for the quarter ended March 31, 2025 fully complies with the requirements of Section 13(a) or 15(d) of the Securities Exchange Act of 1934 and information contained in the Form 10-Q fairly presents, in all material respects, the financial condition and results of operations of the Company.</w:t>
      </w:r>
    </w:p>
    <w:tbl>
      <w:tblPr>
        <w:tblW w:w="6374" w:type="dxa"/>
        <w:jc w:val="left"/>
        <w:tblInd w:w="0" w:type="dxa"/>
        <w:tblLayout w:type="fixed"/>
        <w:tblCellMar>
          <w:top w:w="28" w:type="dxa"/>
          <w:left w:w="28" w:type="dxa"/>
          <w:bottom w:w="28" w:type="dxa"/>
          <w:right w:w="28" w:type="dxa"/>
        </w:tblCellMar>
      </w:tblPr>
      <w:tblGrid>
        <w:gridCol w:w="629"/>
        <w:gridCol w:w="553"/>
        <w:gridCol w:w="558"/>
        <w:gridCol w:w="1356"/>
        <w:gridCol w:w="1356"/>
        <w:gridCol w:w="1922"/>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 2025</w:t>
            </w:r>
          </w:p>
        </w:tc>
        <w:tc>
          <w:tcPr>
            <w:tcW w:w="4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Michael B. Petras, Jr.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B. Petras, Jr.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Chairman and Chief Executive Officer</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 2025</w:t>
            </w:r>
          </w:p>
        </w:tc>
        <w:tc>
          <w:tcPr>
            <w:tcW w:w="4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 Lyons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Jonathan M. Lyons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 and 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certifications are furnished and are not deemed filed with the Securities and Exchange Commission for purposes of Section 18 of the Securities Exchange Act of 1934, as amended (the “Exchange Act”), and are not deemed to be incorporated by reference into any filing of Sotera Health Company under the Securities Act of 1933, as amended, or the Exchange Act, except to the extent that Sotera Health Company specifically incorporates them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233</Pages>
  <Words>166254</Words>
  <Characters>895645</Characters>
  <CharactersWithSpaces>1059556</CharactersWithSpaces>
  <Paragraphs>4856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