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9a0eea5510f4d469c84e2501614122e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200" w:after="283"/>
        <w:jc w:val="center"/>
        <w:rPr>
          <w:rFonts w:ascii="Times New Roman;serif" w:hAnsi="Times New Roman;serif"/>
          <w:b/>
          <w:color w:val="000000"/>
          <w:sz w:val="22"/>
        </w:rPr>
      </w:pPr>
      <w:r>
        <w:rPr>
          <w:rFonts w:ascii="Times New Roman;serif" w:hAnsi="Times New Roman;serif"/>
          <w:b/>
          <w:color w:val="000000"/>
          <w:sz w:val="22"/>
        </w:rPr>
        <w:t>FORM 10-Q</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For the transition period from              to</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Commission File Number   001-39729</w:t>
      </w:r>
    </w:p>
    <w:p>
      <w:pPr>
        <w:pStyle w:val="TextBody"/>
        <w:bidi w:val="0"/>
        <w:spacing w:before="120" w:after="283"/>
        <w:jc w:val="center"/>
        <w:rPr/>
      </w:pPr>
      <w:r>
        <w:rPr/>
        <w:drawing>
          <wp:inline distT="0" distB="0" distL="0" distR="0">
            <wp:extent cx="142875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476250"/>
                    </a:xfrm>
                    <a:prstGeom prst="rect">
                      <a:avLst/>
                    </a:prstGeom>
                  </pic:spPr>
                </pic:pic>
              </a:graphicData>
            </a:graphic>
          </wp:inline>
        </w:drawing>
      </w:r>
      <w:bookmarkStart w:id="0" w:name="i-1"/>
      <w:bookmarkEnd w:id="0"/>
    </w:p>
    <w:p>
      <w:pPr>
        <w:pStyle w:val="TextBody"/>
        <w:bidi w:val="0"/>
        <w:spacing w:lineRule="auto" w:line="288" w:before="120" w:after="283"/>
        <w:jc w:val="center"/>
        <w:rPr>
          <w:rFonts w:ascii="Times New Roman;serif" w:hAnsi="Times New Roman;serif"/>
          <w:b/>
          <w:color w:val="000000"/>
          <w:sz w:val="34"/>
        </w:rPr>
      </w:pPr>
      <w:r>
        <w:rPr>
          <w:rFonts w:ascii="Times New Roman;serif" w:hAnsi="Times New Roman;serif"/>
          <w:b/>
          <w:color w:val="000000"/>
          <w:sz w:val="34"/>
        </w:rPr>
        <w:t>SOTERA HEALTH COMPANY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7359" w:type="dxa"/>
        <w:jc w:val="left"/>
        <w:tblInd w:w="0" w:type="dxa"/>
        <w:tblLayout w:type="fixed"/>
        <w:tblCellMar>
          <w:top w:w="28" w:type="dxa"/>
          <w:left w:w="28" w:type="dxa"/>
          <w:bottom w:w="28" w:type="dxa"/>
          <w:right w:w="28" w:type="dxa"/>
        </w:tblCellMar>
      </w:tblPr>
      <w:tblGrid>
        <w:gridCol w:w="1560"/>
        <w:gridCol w:w="1374"/>
        <w:gridCol w:w="1386"/>
        <w:gridCol w:w="109"/>
        <w:gridCol w:w="109"/>
        <w:gridCol w:w="109"/>
        <w:gridCol w:w="286"/>
        <w:gridCol w:w="286"/>
        <w:gridCol w:w="286"/>
        <w:gridCol w:w="286"/>
        <w:gridCol w:w="286"/>
        <w:gridCol w:w="286"/>
        <w:gridCol w:w="286"/>
        <w:gridCol w:w="286"/>
        <w:gridCol w:w="424"/>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47-3531161</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9100 South Hills Blvd, Suite 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Broadview Heights, 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44147</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(440) 262-1410</w:t>
            </w:r>
          </w:p>
        </w:tc>
      </w:tr>
      <w:tr>
        <w:trPr/>
        <w:tc>
          <w:tcPr>
            <w:tcW w:w="735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382" w:type="dxa"/>
        <w:jc w:val="left"/>
        <w:tblInd w:w="0" w:type="dxa"/>
        <w:tblLayout w:type="fixed"/>
        <w:tblCellMar>
          <w:top w:w="28" w:type="dxa"/>
          <w:left w:w="28" w:type="dxa"/>
          <w:bottom w:w="28" w:type="dxa"/>
          <w:right w:w="28" w:type="dxa"/>
        </w:tblCellMar>
      </w:tblPr>
      <w:tblGrid>
        <w:gridCol w:w="1209"/>
        <w:gridCol w:w="1064"/>
        <w:gridCol w:w="1071"/>
        <w:gridCol w:w="519"/>
        <w:gridCol w:w="519"/>
        <w:gridCol w:w="521"/>
        <w:gridCol w:w="1019"/>
        <w:gridCol w:w="1019"/>
        <w:gridCol w:w="1441"/>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 $0.01 par value per share</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SHC</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lineRule="auto" w:line="288" w:before="200" w:after="283"/>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18"/>
        </w:rPr>
        <w:t xml:space="preserve">Yes   </w:t>
      </w:r>
      <w:r>
        <w:rPr>
          <w:color w:val="000000"/>
        </w:rPr>
        <w:t xml:space="preserve">☐ </w:t>
      </w:r>
      <w:r>
        <w:rPr>
          <w:rFonts w:ascii="Times New Roman;serif" w:hAnsi="Times New Roman;serif"/>
          <w:b w:val="false"/>
          <w:color w:val="000000"/>
          <w:sz w:val="18"/>
        </w:rPr>
        <w:t>No</w:t>
      </w:r>
    </w:p>
    <w:p>
      <w:pPr>
        <w:pStyle w:val="TextBody"/>
        <w:bidi w:val="0"/>
        <w:spacing w:lineRule="auto" w:line="288" w:before="200" w:after="283"/>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w:t>
      </w:r>
      <w:r>
        <w:rPr>
          <w:rFonts w:ascii="Times New Roman;serif" w:hAnsi="Times New Roman;serif"/>
          <w:b w:val="false"/>
          <w:color w:val="000000"/>
          <w:sz w:val="18"/>
        </w:rPr>
        <w:t xml:space="preserve">Yes   </w:t>
      </w:r>
      <w:r>
        <w:rPr>
          <w:color w:val="000000"/>
        </w:rPr>
        <w:t xml:space="preserve">☐ </w:t>
      </w:r>
      <w:r>
        <w:rPr>
          <w:rFonts w:ascii="Times New Roman;serif" w:hAnsi="Times New Roman;serif"/>
          <w:b w:val="false"/>
          <w:color w:val="000000"/>
          <w:sz w:val="18"/>
        </w:rPr>
        <w:t>No</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200" w:after="283"/>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jc w:val="left"/>
        <w:rPr/>
      </w:pPr>
      <w:r>
        <w:rPr>
          <w:rFonts w:ascii="Times New Roman;serif" w:hAnsi="Times New Roman;serif"/>
          <w:b w:val="false"/>
          <w:color w:val="000000"/>
          <w:sz w:val="18"/>
        </w:rPr>
        <w:t>Indicate by check mark whether the registrant is a shell company (as defined in Rule 12b-2 of the Exchange Act).  </w:t>
      </w:r>
      <w:r>
        <w:rPr>
          <w:color w:val="000000"/>
        </w:rPr>
        <w:t>☐ </w:t>
      </w:r>
      <w:r>
        <w:rPr>
          <w:rFonts w:ascii="Times New Roman;serif" w:hAnsi="Times New Roman;serif"/>
          <w:b w:val="false"/>
          <w:color w:val="000000"/>
          <w:sz w:val="18"/>
        </w:rPr>
        <w:t xml:space="preserve">Yes   </w:t>
      </w:r>
      <w:r>
        <w:rPr>
          <w:color w:val="000000"/>
        </w:rPr>
        <w:t>☒ </w:t>
      </w:r>
      <w:r>
        <w:rPr>
          <w:rFonts w:ascii="Times New Roman;serif" w:hAnsi="Times New Roman;serif"/>
          <w:b w:val="false"/>
          <w:color w:val="000000"/>
          <w:sz w:val="18"/>
        </w:rPr>
        <w:t>No</w:t>
      </w:r>
    </w:p>
    <w:p>
      <w:pPr>
        <w:pStyle w:val="TextBody"/>
        <w:bidi w:val="0"/>
        <w:spacing w:lineRule="auto" w:line="288" w:before="200" w:after="283"/>
        <w:jc w:val="left"/>
        <w:rPr/>
      </w:pPr>
      <w:r>
        <w:rPr>
          <w:rFonts w:ascii="Times New Roman;serif" w:hAnsi="Times New Roman;serif"/>
          <w:b w:val="false"/>
          <w:color w:val="000000"/>
          <w:sz w:val="18"/>
        </w:rPr>
        <w:t xml:space="preserve">As of July 30, 2026, there were </w:t>
      </w:r>
      <w:r>
        <w:rPr>
          <w:rFonts w:ascii="Times New Roman;serif" w:hAnsi="Times New Roman;serif"/>
          <w:b w:val="false"/>
          <w:color w:val="000000"/>
          <w:sz w:val="18"/>
          <w:shd w:fill="FFFFFF" w:val="clear"/>
        </w:rPr>
        <w:t>285,374,795</w:t>
      </w:r>
      <w:r>
        <w:rPr>
          <w:color w:val="000000"/>
        </w:rPr>
        <w:t xml:space="preserve"> </w:t>
      </w:r>
      <w:r>
        <w:rPr>
          <w:rFonts w:ascii="Times New Roman;serif" w:hAnsi="Times New Roman;serif"/>
          <w:b w:val="false"/>
          <w:color w:val="000000"/>
          <w:sz w:val="18"/>
        </w:rPr>
        <w:t>shares of the registrant’s common stock, $0.01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9a0eea5510f4d469c84e2501614122e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SOTERA HEALTH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TABLE OF CONTENTS -</w:t>
      </w:r>
    </w:p>
    <w:tbl>
      <w:tblPr>
        <w:tblW w:w="8396" w:type="dxa"/>
        <w:jc w:val="left"/>
        <w:tblInd w:w="0" w:type="dxa"/>
        <w:tblLayout w:type="fixed"/>
        <w:tblCellMar>
          <w:top w:w="28" w:type="dxa"/>
          <w:left w:w="28" w:type="dxa"/>
          <w:bottom w:w="28" w:type="dxa"/>
          <w:right w:w="28" w:type="dxa"/>
        </w:tblCellMar>
      </w:tblPr>
      <w:tblGrid>
        <w:gridCol w:w="2907"/>
        <w:gridCol w:w="2554"/>
        <w:gridCol w:w="2563"/>
        <w:gridCol w:w="109"/>
        <w:gridCol w:w="109"/>
        <w:gridCol w:w="154"/>
      </w:tblGrid>
      <w:tr>
        <w:trPr/>
        <w:tc>
          <w:tcPr>
            <w:tcW w:w="2907"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a0eea5510f4d469c84e2501614122e_13">
              <w:r>
                <w:rPr>
                  <w:rStyle w:val="InternetLink"/>
                  <w:rFonts w:ascii="Times New Roman;serif" w:hAnsi="Times New Roman;serif"/>
                  <w:b/>
                  <w:color w:val="0000FF"/>
                  <w:sz w:val="20"/>
                  <w:u w:val="single"/>
                </w:rPr>
                <w:t>Part I—FINANCIAL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9a0eea5510f4d469c84e2501614122e_13">
              <w:r>
                <w:rPr>
                  <w:rStyle w:val="InternetLink"/>
                  <w:rFonts w:ascii="Times New Roman;serif" w:hAnsi="Times New Roman;serif"/>
                  <w:b w:val="false"/>
                  <w:color w:val="0000FF"/>
                  <w:sz w:val="20"/>
                  <w:u w:val="single"/>
                </w:rPr>
                <w:t>5</w:t>
              </w:r>
            </w:hyperlink>
          </w:p>
        </w:tc>
      </w:tr>
      <w:tr>
        <w:trPr/>
        <w:tc>
          <w:tcPr>
            <w:tcW w:w="80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a0eea5510f4d469c84e2501614122e_16">
              <w:r>
                <w:rPr>
                  <w:rStyle w:val="InternetLink"/>
                  <w:rFonts w:ascii="Times New Roman;serif" w:hAnsi="Times New Roman;serif"/>
                  <w:b w:val="false"/>
                  <w:color w:val="000080"/>
                  <w:sz w:val="20"/>
                  <w:u w:val="single"/>
                </w:rPr>
                <w:t>Item 1. Financial Statements</w:t>
              </w:r>
            </w:hyperlink>
            <w:hyperlink w:anchor="i99a0eea5510f4d469c84e2501614122e_16">
              <w:r>
                <w:rPr>
                  <w:rStyle w:val="InternetLink"/>
                  <w:rFonts w:ascii="Times New Roman;serif" w:hAnsi="Times New Roman;serif"/>
                  <w:b w:val="false"/>
                  <w:color w:val="000080"/>
                  <w:sz w:val="20"/>
                  <w:u w:val="single"/>
                </w:rPr>
                <w: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9a0eea5510f4d469c84e2501614122e_16">
              <w:r>
                <w:rPr>
                  <w:rStyle w:val="InternetLink"/>
                  <w:rFonts w:ascii="Times New Roman;serif" w:hAnsi="Times New Roman;serif"/>
                  <w:b w:val="false"/>
                  <w:color w:val="0000FF"/>
                  <w:sz w:val="20"/>
                  <w:u w:val="single"/>
                </w:rPr>
                <w:t>5</w:t>
              </w:r>
            </w:hyperlink>
          </w:p>
        </w:tc>
      </w:tr>
      <w:tr>
        <w:trPr/>
        <w:tc>
          <w:tcPr>
            <w:tcW w:w="80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a0eea5510f4d469c84e2501614122e_85">
              <w:r>
                <w:rPr>
                  <w:rStyle w:val="InternetLink"/>
                  <w:rFonts w:ascii="Times New Roman;serif" w:hAnsi="Times New Roman;serif"/>
                  <w:b w:val="false"/>
                  <w:color w:val="000080"/>
                  <w:sz w:val="20"/>
                  <w:u w:val="single"/>
                </w:rPr>
                <w:t>Item 2. Management’s Discussion and Analysis of Financial Condition and Results of Operations</w:t>
              </w:r>
            </w:hyperlink>
            <w:hyperlink w:anchor="i99a0eea5510f4d469c84e2501614122e_85">
              <w:r>
                <w:rPr>
                  <w:rStyle w:val="InternetLink"/>
                  <w:rFonts w:ascii="Times New Roman;serif" w:hAnsi="Times New Roman;serif"/>
                  <w:b w:val="false"/>
                  <w:color w:val="000080"/>
                  <w:sz w:val="20"/>
                  <w:u w:val="single"/>
                </w:rPr>
                <w:t>.</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9a0eea5510f4d469c84e2501614122e_85">
              <w:r>
                <w:rPr>
                  <w:rStyle w:val="InternetLink"/>
                  <w:rFonts w:ascii="Times New Roman;serif" w:hAnsi="Times New Roman;serif"/>
                  <w:b w:val="false"/>
                  <w:color w:val="0000FF"/>
                  <w:sz w:val="20"/>
                  <w:u w:val="single"/>
                </w:rPr>
                <w:t>27</w:t>
              </w:r>
            </w:hyperlink>
          </w:p>
        </w:tc>
      </w:tr>
      <w:tr>
        <w:trPr/>
        <w:tc>
          <w:tcPr>
            <w:tcW w:w="80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a0eea5510f4d469c84e2501614122e_109">
              <w:r>
                <w:rPr>
                  <w:rStyle w:val="InternetLink"/>
                  <w:rFonts w:ascii="Times New Roman;serif" w:hAnsi="Times New Roman;serif"/>
                  <w:b w:val="false"/>
                  <w:color w:val="000080"/>
                  <w:sz w:val="20"/>
                  <w:u w:val="single"/>
                </w:rPr>
                <w:t>Item 3. Quantitative and Qualitative Disclosures About Market Risk</w:t>
              </w:r>
            </w:hyperlink>
            <w:hyperlink w:anchor="i99a0eea5510f4d469c84e2501614122e_109">
              <w:r>
                <w:rPr>
                  <w:rStyle w:val="InternetLink"/>
                  <w:rFonts w:ascii="Times New Roman;serif" w:hAnsi="Times New Roman;serif"/>
                  <w:b w:val="false"/>
                  <w:color w:val="000080"/>
                  <w:sz w:val="20"/>
                  <w:u w:val="single"/>
                </w:rPr>
                <w: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9a0eea5510f4d469c84e2501614122e_109">
              <w:r>
                <w:rPr>
                  <w:rStyle w:val="InternetLink"/>
                  <w:rFonts w:ascii="Times New Roman;serif" w:hAnsi="Times New Roman;serif"/>
                  <w:b w:val="false"/>
                  <w:color w:val="0000FF"/>
                  <w:sz w:val="20"/>
                  <w:u w:val="single"/>
                </w:rPr>
                <w:t>39</w:t>
              </w:r>
            </w:hyperlink>
          </w:p>
        </w:tc>
      </w:tr>
      <w:tr>
        <w:trPr/>
        <w:tc>
          <w:tcPr>
            <w:tcW w:w="80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a0eea5510f4d469c84e2501614122e_112">
              <w:r>
                <w:rPr>
                  <w:rStyle w:val="InternetLink"/>
                  <w:rFonts w:ascii="Times New Roman;serif" w:hAnsi="Times New Roman;serif"/>
                  <w:b w:val="false"/>
                  <w:color w:val="000080"/>
                  <w:sz w:val="20"/>
                  <w:u w:val="single"/>
                </w:rPr>
                <w:t>Item 4. Controls and Procedures</w:t>
              </w:r>
            </w:hyperlink>
            <w:hyperlink w:anchor="i99a0eea5510f4d469c84e2501614122e_112">
              <w:r>
                <w:rPr>
                  <w:rStyle w:val="InternetLink"/>
                  <w:rFonts w:ascii="Times New Roman;serif" w:hAnsi="Times New Roman;serif"/>
                  <w:b w:val="false"/>
                  <w:color w:val="000080"/>
                  <w:sz w:val="20"/>
                  <w:u w:val="single"/>
                </w:rPr>
                <w:t>.</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9a0eea5510f4d469c84e2501614122e_112">
              <w:r>
                <w:rPr>
                  <w:rStyle w:val="InternetLink"/>
                  <w:rFonts w:ascii="Times New Roman;serif" w:hAnsi="Times New Roman;serif"/>
                  <w:b w:val="false"/>
                  <w:color w:val="0000FF"/>
                  <w:sz w:val="20"/>
                  <w:u w:val="single"/>
                </w:rPr>
                <w:t>39</w:t>
              </w:r>
            </w:hyperlink>
          </w:p>
        </w:tc>
      </w:tr>
      <w:tr>
        <w:trPr/>
        <w:tc>
          <w:tcPr>
            <w:tcW w:w="80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a0eea5510f4d469c84e2501614122e_115">
              <w:r>
                <w:rPr>
                  <w:rStyle w:val="InternetLink"/>
                  <w:rFonts w:ascii="Times New Roman;serif" w:hAnsi="Times New Roman;serif"/>
                  <w:b/>
                  <w:color w:val="0000FF"/>
                  <w:sz w:val="20"/>
                  <w:u w:val="single"/>
                </w:rPr>
                <w:t>Part II—OTHER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9a0eea5510f4d469c84e2501614122e_115">
              <w:r>
                <w:rPr>
                  <w:rStyle w:val="InternetLink"/>
                  <w:rFonts w:ascii="Times New Roman;serif" w:hAnsi="Times New Roman;serif"/>
                  <w:b w:val="false"/>
                  <w:color w:val="0000FF"/>
                  <w:sz w:val="20"/>
                  <w:u w:val="single"/>
                </w:rPr>
                <w:t>40</w:t>
              </w:r>
            </w:hyperlink>
          </w:p>
        </w:tc>
      </w:tr>
      <w:tr>
        <w:trPr/>
        <w:tc>
          <w:tcPr>
            <w:tcW w:w="80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a0eea5510f4d469c84e2501614122e_118">
              <w:r>
                <w:rPr>
                  <w:rStyle w:val="InternetLink"/>
                  <w:rFonts w:ascii="Times New Roman;serif" w:hAnsi="Times New Roman;serif"/>
                  <w:b w:val="false"/>
                  <w:color w:val="0000FF"/>
                  <w:sz w:val="20"/>
                  <w:u w:val="single"/>
                </w:rPr>
                <w:t>Item 1. Legal Proceedings.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9a0eea5510f4d469c84e2501614122e_118">
              <w:r>
                <w:rPr>
                  <w:rStyle w:val="InternetLink"/>
                  <w:rFonts w:ascii="Times New Roman;serif" w:hAnsi="Times New Roman;serif"/>
                  <w:b w:val="false"/>
                  <w:color w:val="0000FF"/>
                  <w:sz w:val="20"/>
                  <w:u w:val="single"/>
                </w:rPr>
                <w:t>40</w:t>
              </w:r>
            </w:hyperlink>
          </w:p>
        </w:tc>
      </w:tr>
      <w:tr>
        <w:trPr/>
        <w:tc>
          <w:tcPr>
            <w:tcW w:w="80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a0eea5510f4d469c84e2501614122e_121">
              <w:r>
                <w:rPr>
                  <w:rStyle w:val="InternetLink"/>
                  <w:rFonts w:ascii="Times New Roman;serif" w:hAnsi="Times New Roman;serif"/>
                  <w:b w:val="false"/>
                  <w:color w:val="0000FF"/>
                  <w:sz w:val="20"/>
                  <w:u w:val="single"/>
                </w:rPr>
                <w:t>Item 1A. Risk Factors.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9a0eea5510f4d469c84e2501614122e_121">
              <w:r>
                <w:rPr>
                  <w:rStyle w:val="InternetLink"/>
                  <w:rFonts w:ascii="Times New Roman;serif" w:hAnsi="Times New Roman;serif"/>
                  <w:b w:val="false"/>
                  <w:color w:val="0000FF"/>
                  <w:sz w:val="20"/>
                  <w:u w:val="single"/>
                </w:rPr>
                <w:t>40</w:t>
              </w:r>
            </w:hyperlink>
          </w:p>
        </w:tc>
      </w:tr>
      <w:tr>
        <w:trPr/>
        <w:tc>
          <w:tcPr>
            <w:tcW w:w="80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a0eea5510f4d469c84e2501614122e_124">
              <w:r>
                <w:rPr>
                  <w:rStyle w:val="InternetLink"/>
                  <w:rFonts w:ascii="Times New Roman;serif" w:hAnsi="Times New Roman;serif"/>
                  <w:b w:val="false"/>
                  <w:color w:val="000080"/>
                  <w:sz w:val="20"/>
                  <w:u w:val="single"/>
                </w:rPr>
                <w:t>Item 5. Other Information</w:t>
              </w:r>
            </w:hyperlink>
            <w:hyperlink w:anchor="i99a0eea5510f4d469c84e2501614122e_124">
              <w:r>
                <w:rPr>
                  <w:rStyle w:val="InternetLink"/>
                  <w:rFonts w:ascii="Times New Roman;serif" w:hAnsi="Times New Roman;serif"/>
                  <w:b w:val="false"/>
                  <w:color w:val="000080"/>
                  <w:sz w:val="20"/>
                  <w:u w:val="single"/>
                </w:rPr>
                <w:t>.</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9a0eea5510f4d469c84e2501614122e_124">
              <w:r>
                <w:rPr>
                  <w:rStyle w:val="InternetLink"/>
                  <w:rFonts w:ascii="Times New Roman;serif" w:hAnsi="Times New Roman;serif"/>
                  <w:b w:val="false"/>
                  <w:color w:val="0000FF"/>
                  <w:sz w:val="20"/>
                  <w:u w:val="single"/>
                </w:rPr>
                <w:t>40</w:t>
              </w:r>
            </w:hyperlink>
          </w:p>
        </w:tc>
      </w:tr>
      <w:tr>
        <w:trPr/>
        <w:tc>
          <w:tcPr>
            <w:tcW w:w="80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a0eea5510f4d469c84e2501614122e_127">
              <w:r>
                <w:rPr>
                  <w:rStyle w:val="InternetLink"/>
                  <w:rFonts w:ascii="Times New Roman;serif" w:hAnsi="Times New Roman;serif"/>
                  <w:b w:val="false"/>
                  <w:color w:val="0000FF"/>
                  <w:sz w:val="20"/>
                  <w:u w:val="single"/>
                </w:rPr>
                <w:t>Item 6. Exhibits.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9a0eea5510f4d469c84e2501614122e_127">
              <w:r>
                <w:rPr>
                  <w:rStyle w:val="InternetLink"/>
                  <w:rFonts w:ascii="Times New Roman;serif" w:hAnsi="Times New Roman;serif"/>
                  <w:b w:val="false"/>
                  <w:color w:val="0000FF"/>
                  <w:sz w:val="20"/>
                  <w:u w:val="single"/>
                </w:rPr>
                <w:t>41</w:t>
              </w:r>
            </w:hyperlink>
          </w:p>
        </w:tc>
      </w:tr>
      <w:tr>
        <w:trPr/>
        <w:tc>
          <w:tcPr>
            <w:tcW w:w="80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a0eea5510f4d469c84e2501614122e_130">
              <w:r>
                <w:rPr>
                  <w:rStyle w:val="InternetLink"/>
                  <w:rFonts w:ascii="Times New Roman;serif" w:hAnsi="Times New Roman;serif"/>
                  <w:b/>
                  <w:color w:val="0000FF"/>
                  <w:sz w:val="20"/>
                  <w:u w:val="single"/>
                </w:rPr>
                <w:t>SIGNATURES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9a0eea5510f4d469c84e2501614122e_130">
              <w:r>
                <w:rPr>
                  <w:rStyle w:val="InternetLink"/>
                  <w:rFonts w:ascii="Times New Roman;serif" w:hAnsi="Times New Roman;serif"/>
                  <w:b w:val="false"/>
                  <w:color w:val="0000FF"/>
                  <w:sz w:val="20"/>
                  <w:u w:val="single"/>
                </w:rPr>
                <w:t>42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9a0eea5510f4d469c84e2501614122e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includes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achievements, or industry results, to differ materially from historical results or any future results, performance or achievements expressed, suggested or implied by such forward-looking statements. Such risks and uncertainties include, but are not limited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disruption in the availability or supply of, or increases in the price of, ethylene oxide (“EO”), Cobalt-60 (“Co-60”) or our other direct materials, services and supplies, including as a result of geopolitical instability and/or sanctions against Russia by the United States, Canada, the United Kingdom and/or the European Union, or sanctions by Russia against those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foreign currency exchange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evolving changes in environmental, health and safety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health and safety risks associated with the use, storage, transportation and disposal of potentially hazardous materials such as EO and Co-60;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and outcome of current and future legal proceedings and liability claims, including litigation related to the use, emissions and releases of EO from our current and former EO sterilization facilities, and the possibility that additional claims will be made in the future;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allegations of our failure to properly perform services and potential product liability claims, recalls, penalties and reputational harm;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compliance with the extensive regulatory requirements to which we are subject, the related costs, and any failures to receive or maintain, or delays in receiving, required clearances or approvals;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 changes in industry trends;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competition we face;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market conditions and changes, including inflationary trends and the impact of tariffs, that impact our long-term supply contracts with variable price clauses and increase our cost of revenues;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business continuity hazards, including supply chain disruptions, federal government shutdowns, and other risks associated with our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risks of doing business internationally, including global and regional economic and political instability and compliance with various applicable laws and potentially inconsistent laws and regulations in multiple jurisdictions;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increase capacity at existing facilities, build new facilities in a timely and cost-effective manner and renew leases for our leased facilities;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and retain qualified employees;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severe health events or environmental events;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cybersecurity incidents, unauthorized data disclosures, and our dependence on information technology (“IT”) systems;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risks associated with the introduction of artificial intelligence (“AI”) technology;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inability to pursue strategic transactions, find suitable acquisition targets, or integrate strategic acquisitions into our business successfully;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maintain effective internal control over financial reporting;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reliance on intellectual property rights to maintain our competitive position and the risk of claims from third parties that we have infringed or misappropriated, or are infringing or misappropriating, their intellectual property rights;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comply with rapidly evolving data privacy and security laws and regulations in various jurisdictions and any ineffective compliance efforts with such laws and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generate profitability in future periods;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impairment charges on our goodwill and other intangible assets with indefinite lives, as well as other long-lived assets and intangible assets with definite lives;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effects of unionization efforts and labor regulations in countries in which we operate;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 changes to our tax positions in U.S. or non-U.S. jurisdictions or the interpretation and application of U.S. tax legislation or other changes in U.S. or non-U.S. taxation of our operations;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9a0eea5510f4d469c84e2501614122e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significant degree of leverage and how this leverage could adversely affect our ability to raise additional capital, limit our ability to react to challenges facing our Company or broader changes in our industry or the economy, limit our flexibility in operating our business through restrictions contained in our debt agreements and/or prevent us from meeting our obligations under our existing and future agreements governing our indebtedness.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You should carefully consider the above factors, as well as the factors discussed elsewhere in this Quarterly Report on Form 10-Q, including under Part II, Item 1A, “Risk Factors,” as well as Part I, Item 1A, “Risk Factors” of our Annual Report on Form 10-K for the year ended December 31, 2025 (the “2025 10-K”).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Unless expressly indicated or the context requires otherwise, the terms “Sotera Health,” “Company,” “we,” “us,” and “our” in this Quarterly Report on Form 10-Q refer to Sotera Health Company, a Delaware corporation, and, where appropriate, its subsidiaries on a consolidated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86" w:before="0" w:after="0"/>
        <w:jc w:val="left"/>
        <w:rPr/>
      </w:pPr>
      <w:hyperlink w:anchor="i99a0eea5510f4d469c84e2501614122e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Sotera Health Company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2668"/>
        <w:gridCol w:w="2272"/>
        <w:gridCol w:w="2283"/>
        <w:gridCol w:w="196"/>
        <w:gridCol w:w="886"/>
        <w:gridCol w:w="109"/>
        <w:gridCol w:w="109"/>
        <w:gridCol w:w="109"/>
        <w:gridCol w:w="109"/>
        <w:gridCol w:w="234"/>
        <w:gridCol w:w="1043"/>
        <w:gridCol w:w="187"/>
      </w:tblGrid>
      <w:tr>
        <w:trPr/>
        <w:tc>
          <w:tcPr>
            <w:tcW w:w="2668"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6"/>
              </w:rPr>
            </w:pPr>
            <w:r>
              <w:rPr>
                <w:rFonts w:ascii="Times New Roman;serif" w:hAnsi="Times New Roman;serif"/>
                <w:b/>
                <w:i/>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356,716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344,621 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short-term</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uncollectible accounts of $2,812 and $2,968,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150,538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139,329 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56,372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54,375 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74,739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65,250 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receivable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8,082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8,000 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646,458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613,410 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1,167,667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1,130,564 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30,919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33,393 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3,738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3,853 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Post-retirement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55,950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53,817 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40,632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36,694 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270,171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288,227 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1,091,255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1,103,232 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3,306,790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3,263,190 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equity</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101,018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77,963 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83,573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124,736 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14,212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17,999 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13,923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13,973 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finance lease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3,732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5,472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5,755 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9,308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5,693 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231,238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249,584 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2,125,534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2,126,724 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obligations, less current portion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91,575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93,835 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obligations, less current portion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27,853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29,901 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 retirement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54,060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53,496 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lease income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16,185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17,057 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Post-retirement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7,742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8,123 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5,376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7,360 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81,579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71,075 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2,641,142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2,657,155 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See Commitments and contingencies note</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with $0.01 par value, 1,200,000 shares authorized; 286,037 shares issued at June 30, 2026 and December 31, 2025</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Preferred stock, with $0.01 par value, 120,000 shares authorized; no shares issued at June 30, 2026 and </w:t>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December 31, 2025</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(675 shares and 1,666 shares at June 30, 2026 and December 31, 2025,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(17,013)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1,267,392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1,262,119 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deficit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(451,861)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(532,093)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(143,455)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(109,838)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665,648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606,035 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3,306,790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3,263,190 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Times New Roman;serif" w:hAnsi="Times New Roman;serif"/>
          <w:b w:val="false"/>
          <w:i/>
          <w:color w:val="000000"/>
          <w:sz w:val="18"/>
        </w:rPr>
      </w:pPr>
      <w:r>
        <w:rPr>
          <w:rFonts w:ascii="Times New Roman;serif" w:hAnsi="Times New Roman;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86" w:before="0" w:after="0"/>
        <w:jc w:val="left"/>
        <w:rPr/>
      </w:pPr>
      <w:hyperlink w:anchor="i99a0eea5510f4d469c84e2501614122e_7">
        <w:r>
          <w:rPr>
            <w:rStyle w:val="InternetLink"/>
            <w:rFonts w:ascii="Times New Roman;serif" w:hAnsi="Times New Roman;serif"/>
            <w:b w:val="false"/>
            <w:color w:val="0000FF"/>
            <w:sz w:val="16"/>
            <w:u w:val="single"/>
          </w:rPr>
          <w:t>Table of Contents</w:t>
        </w:r>
      </w:hyperlink>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Sotera Health Company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per share amounts)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97"/>
        <w:gridCol w:w="1536"/>
        <w:gridCol w:w="1550"/>
        <w:gridCol w:w="196"/>
        <w:gridCol w:w="751"/>
        <w:gridCol w:w="109"/>
        <w:gridCol w:w="109"/>
        <w:gridCol w:w="109"/>
        <w:gridCol w:w="109"/>
        <w:gridCol w:w="196"/>
        <w:gridCol w:w="736"/>
        <w:gridCol w:w="109"/>
        <w:gridCol w:w="109"/>
        <w:gridCol w:w="109"/>
        <w:gridCol w:w="109"/>
        <w:gridCol w:w="196"/>
        <w:gridCol w:w="751"/>
        <w:gridCol w:w="109"/>
        <w:gridCol w:w="109"/>
        <w:gridCol w:w="109"/>
        <w:gridCol w:w="109"/>
        <w:gridCol w:w="196"/>
        <w:gridCol w:w="736"/>
        <w:gridCol w:w="156"/>
      </w:tblGrid>
      <w:tr>
        <w:trPr/>
        <w:tc>
          <w:tcPr>
            <w:tcW w:w="1897"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Service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278,325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519,933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481,184 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43,050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81,487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net revenues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321,375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601,420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548,864 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 of revenues: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Service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126,840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245,668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220,922 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16,572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30,720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cost of revenues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143,412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276,388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246,811 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177,963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325,032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302,053 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68,156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136,367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131,954 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6,046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Illinois EO litigation settlements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34,405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69,150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81,527 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refinancing of debt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(gain) loss,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78,051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120,664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24,408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40,432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53,643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80,232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(5,298)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 net of tax:</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Pension and post-retirement benefits (net of taxes of $(33), $24, $(69), and $27,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Interest rate derivatives (net of taxes of $403, $(386), $963 and $(652),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(18,591)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(36,222)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101,777 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Comprehensive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36,128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46,615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94,665 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Earnings (Loss) per share:</w:t>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Weighted average number of shares outstanding:</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285,773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285,333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283,747 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288,148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287,915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283,747 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i/>
          <w:color w:val="000000"/>
          <w:sz w:val="18"/>
        </w:rPr>
        <w:t>See notes to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86" w:before="0" w:after="0"/>
        <w:jc w:val="left"/>
        <w:rPr/>
      </w:pPr>
      <w:hyperlink w:anchor="i99a0eea5510f4d469c84e2501614122e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Sotera Health Company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8603" w:type="dxa"/>
        <w:jc w:val="left"/>
        <w:tblInd w:w="0" w:type="dxa"/>
        <w:tblLayout w:type="fixed"/>
        <w:tblCellMar>
          <w:top w:w="28" w:type="dxa"/>
          <w:left w:w="28" w:type="dxa"/>
          <w:bottom w:w="28" w:type="dxa"/>
          <w:right w:w="28" w:type="dxa"/>
        </w:tblCellMar>
      </w:tblPr>
      <w:tblGrid>
        <w:gridCol w:w="2219"/>
        <w:gridCol w:w="1950"/>
        <w:gridCol w:w="1965"/>
        <w:gridCol w:w="196"/>
        <w:gridCol w:w="751"/>
        <w:gridCol w:w="109"/>
        <w:gridCol w:w="109"/>
        <w:gridCol w:w="109"/>
        <w:gridCol w:w="109"/>
        <w:gridCol w:w="196"/>
        <w:gridCol w:w="736"/>
        <w:gridCol w:w="154"/>
      </w:tblGrid>
      <w:tr>
        <w:trPr/>
        <w:tc>
          <w:tcPr>
            <w:tcW w:w="2219"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80,232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53,046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11,165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30,597 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refinancing of debt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13,796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21,611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asset retirement obligations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foreign exchange (gain) loss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(gain) on derivatives not designated as hedging instruments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3,094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(13,256)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13,411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(11,067)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Illinois EO litigation settlements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(34,000)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 / receivable,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117,930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112,937 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plant and equipment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(92,615)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(51,147)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(88,427)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(51,110)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on long-term borrowings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debt issuance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employee taxes on equity awards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(15,184)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in cash and cash equivalents, including restricted cash</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10,271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55,407 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including restricted cash, at beginning of period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346,456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including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356,727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334,272 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disclosures of cash flow information:</w:t>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during the period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85,088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during the period for income taxes, net of tax refunds received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24,158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plant and equipment included in accounts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35,397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18"/>
        </w:rPr>
      </w:pPr>
      <w:r>
        <w:rPr>
          <w:rFonts w:ascii="Times New Roman;serif" w:hAnsi="Times New Roman;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86" w:before="0" w:after="0"/>
        <w:jc w:val="left"/>
        <w:rPr/>
      </w:pPr>
      <w:hyperlink w:anchor="i99a0eea5510f4d469c84e2501614122e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Sotera Health Company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311" w:type="dxa"/>
        <w:jc w:val="left"/>
        <w:tblInd w:w="0" w:type="dxa"/>
        <w:tblLayout w:type="fixed"/>
        <w:tblCellMar>
          <w:top w:w="28" w:type="dxa"/>
          <w:left w:w="28" w:type="dxa"/>
          <w:bottom w:w="28" w:type="dxa"/>
          <w:right w:w="28" w:type="dxa"/>
        </w:tblCellMar>
      </w:tblPr>
      <w:tblGrid>
        <w:gridCol w:w="760"/>
        <w:gridCol w:w="220"/>
        <w:gridCol w:w="221"/>
        <w:gridCol w:w="375"/>
        <w:gridCol w:w="376"/>
        <w:gridCol w:w="151"/>
        <w:gridCol w:w="109"/>
        <w:gridCol w:w="109"/>
        <w:gridCol w:w="109"/>
        <w:gridCol w:w="196"/>
        <w:gridCol w:w="571"/>
        <w:gridCol w:w="109"/>
        <w:gridCol w:w="109"/>
        <w:gridCol w:w="109"/>
        <w:gridCol w:w="109"/>
        <w:gridCol w:w="196"/>
        <w:gridCol w:w="661"/>
        <w:gridCol w:w="109"/>
        <w:gridCol w:w="109"/>
        <w:gridCol w:w="109"/>
        <w:gridCol w:w="109"/>
        <w:gridCol w:w="196"/>
        <w:gridCol w:w="886"/>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Additional</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Paid-In</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Retained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Accumulated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Other</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Comprehensive</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Total</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Equity</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Treasury</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285,156</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1,263,189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(505,504)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(125,940)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622,505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plans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7,015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post-retirement plan adjustments,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(18,591)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derivatives,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1,174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53,643</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285,362</w:t>
            </w: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(9,288)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1,267,392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(451,861)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(143,455)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665,648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311" w:type="dxa"/>
        <w:jc w:val="left"/>
        <w:tblInd w:w="0" w:type="dxa"/>
        <w:tblLayout w:type="fixed"/>
        <w:tblCellMar>
          <w:top w:w="28" w:type="dxa"/>
          <w:left w:w="28" w:type="dxa"/>
          <w:bottom w:w="28" w:type="dxa"/>
          <w:right w:w="28" w:type="dxa"/>
        </w:tblCellMar>
      </w:tblPr>
      <w:tblGrid>
        <w:gridCol w:w="664"/>
        <w:gridCol w:w="268"/>
        <w:gridCol w:w="269"/>
        <w:gridCol w:w="375"/>
        <w:gridCol w:w="376"/>
        <w:gridCol w:w="151"/>
        <w:gridCol w:w="109"/>
        <w:gridCol w:w="109"/>
        <w:gridCol w:w="109"/>
        <w:gridCol w:w="196"/>
        <w:gridCol w:w="571"/>
        <w:gridCol w:w="109"/>
        <w:gridCol w:w="109"/>
        <w:gridCol w:w="109"/>
        <w:gridCol w:w="109"/>
        <w:gridCol w:w="196"/>
        <w:gridCol w:w="661"/>
        <w:gridCol w:w="109"/>
        <w:gridCol w:w="109"/>
        <w:gridCol w:w="109"/>
        <w:gridCol w:w="109"/>
        <w:gridCol w:w="196"/>
        <w:gridCol w:w="886"/>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54"/>
      </w:tblGrid>
      <w:tr>
        <w:trPr/>
        <w:tc>
          <w:tcPr>
            <w:tcW w:w="6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53" w:after="30"/>
              <w:jc w:val="center"/>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Additional</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Paid-In</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Retained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Accumulated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Other</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Comprehensive</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 xml:space="preserve">Total </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Equity</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Treasury</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284,371</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(17,013)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1,262,119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(532,093)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(109,838)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606,035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plans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12,998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post-retirement plan adjustments,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(36,222)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derivatives,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2,807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80,232</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285,362</w:t>
            </w: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(9,288)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1,267,392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(451,861)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(143,455)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665,648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18"/>
        </w:rPr>
      </w:pPr>
      <w:r>
        <w:rPr>
          <w:rFonts w:ascii="Times New Roman;serif" w:hAnsi="Times New Roman;serif"/>
          <w:b w:val="false"/>
          <w:i/>
          <w:color w:val="000000"/>
          <w:sz w:val="18"/>
        </w:rPr>
        <w:t>See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86" w:before="0" w:after="0"/>
        <w:jc w:val="left"/>
        <w:rPr/>
      </w:pPr>
      <w:hyperlink w:anchor="i99a0eea5510f4d469c84e2501614122e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Sotera Health Company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Consolidated Statements of Equity (continued)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251" w:type="dxa"/>
        <w:jc w:val="left"/>
        <w:tblInd w:w="0" w:type="dxa"/>
        <w:tblLayout w:type="fixed"/>
        <w:tblCellMar>
          <w:top w:w="28" w:type="dxa"/>
          <w:left w:w="28" w:type="dxa"/>
          <w:bottom w:w="28" w:type="dxa"/>
          <w:right w:w="28" w:type="dxa"/>
        </w:tblCellMar>
      </w:tblPr>
      <w:tblGrid>
        <w:gridCol w:w="760"/>
        <w:gridCol w:w="220"/>
        <w:gridCol w:w="221"/>
        <w:gridCol w:w="368"/>
        <w:gridCol w:w="368"/>
        <w:gridCol w:w="151"/>
        <w:gridCol w:w="109"/>
        <w:gridCol w:w="109"/>
        <w:gridCol w:w="109"/>
        <w:gridCol w:w="196"/>
        <w:gridCol w:w="556"/>
        <w:gridCol w:w="109"/>
        <w:gridCol w:w="109"/>
        <w:gridCol w:w="109"/>
        <w:gridCol w:w="109"/>
        <w:gridCol w:w="196"/>
        <w:gridCol w:w="661"/>
        <w:gridCol w:w="109"/>
        <w:gridCol w:w="109"/>
        <w:gridCol w:w="109"/>
        <w:gridCol w:w="109"/>
        <w:gridCol w:w="196"/>
        <w:gridCol w:w="871"/>
        <w:gridCol w:w="109"/>
        <w:gridCol w:w="109"/>
        <w:gridCol w:w="109"/>
        <w:gridCol w:w="109"/>
        <w:gridCol w:w="196"/>
        <w:gridCol w:w="751"/>
        <w:gridCol w:w="109"/>
        <w:gridCol w:w="109"/>
        <w:gridCol w:w="109"/>
        <w:gridCol w:w="109"/>
        <w:gridCol w:w="196"/>
        <w:gridCol w:w="751"/>
        <w:gridCol w:w="109"/>
        <w:gridCol w:w="109"/>
        <w:gridCol w:w="109"/>
        <w:gridCol w:w="109"/>
        <w:gridCol w:w="196"/>
        <w:gridCol w:w="736"/>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53" w:after="30"/>
              <w:jc w:val="center"/>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Additional</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Paid-In</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Retained 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Accumulated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Other</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Comprehensive</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 xml:space="preserve">Total </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Equity</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2"/>
              </w:rPr>
            </w:pPr>
            <w:r>
              <w:rPr>
                <w:rFonts w:ascii="Times New Roman;serif" w:hAnsi="Times New Roman;serif"/>
                <w:b/>
                <w:color w:val="000000"/>
                <w:sz w:val="12"/>
              </w:rPr>
              <w:t>Treasury</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283,855 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1,244,841 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(623,302)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(189,453)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414,091 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plans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post-retirement plan adjustments, net of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derivatives, net of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284,047 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1,251,089 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(615,340)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(108,288)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511,283 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51" w:type="dxa"/>
        <w:jc w:val="left"/>
        <w:tblInd w:w="0" w:type="dxa"/>
        <w:tblLayout w:type="fixed"/>
        <w:tblCellMar>
          <w:top w:w="28" w:type="dxa"/>
          <w:left w:w="28" w:type="dxa"/>
          <w:bottom w:w="28" w:type="dxa"/>
          <w:right w:w="28" w:type="dxa"/>
        </w:tblCellMar>
      </w:tblPr>
      <w:tblGrid>
        <w:gridCol w:w="664"/>
        <w:gridCol w:w="268"/>
        <w:gridCol w:w="269"/>
        <w:gridCol w:w="368"/>
        <w:gridCol w:w="368"/>
        <w:gridCol w:w="151"/>
        <w:gridCol w:w="109"/>
        <w:gridCol w:w="109"/>
        <w:gridCol w:w="109"/>
        <w:gridCol w:w="196"/>
        <w:gridCol w:w="556"/>
        <w:gridCol w:w="109"/>
        <w:gridCol w:w="109"/>
        <w:gridCol w:w="109"/>
        <w:gridCol w:w="109"/>
        <w:gridCol w:w="196"/>
        <w:gridCol w:w="661"/>
        <w:gridCol w:w="109"/>
        <w:gridCol w:w="109"/>
        <w:gridCol w:w="109"/>
        <w:gridCol w:w="109"/>
        <w:gridCol w:w="196"/>
        <w:gridCol w:w="871"/>
        <w:gridCol w:w="109"/>
        <w:gridCol w:w="109"/>
        <w:gridCol w:w="109"/>
        <w:gridCol w:w="109"/>
        <w:gridCol w:w="196"/>
        <w:gridCol w:w="751"/>
        <w:gridCol w:w="109"/>
        <w:gridCol w:w="109"/>
        <w:gridCol w:w="109"/>
        <w:gridCol w:w="109"/>
        <w:gridCol w:w="196"/>
        <w:gridCol w:w="751"/>
        <w:gridCol w:w="109"/>
        <w:gridCol w:w="109"/>
        <w:gridCol w:w="109"/>
        <w:gridCol w:w="109"/>
        <w:gridCol w:w="196"/>
        <w:gridCol w:w="736"/>
        <w:gridCol w:w="154"/>
      </w:tblGrid>
      <w:tr>
        <w:trPr/>
        <w:tc>
          <w:tcPr>
            <w:tcW w:w="6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53" w:after="30"/>
              <w:jc w:val="center"/>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Additional</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Paid-In</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Retained 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Accumulated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Other</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Comprehensive</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 xml:space="preserve">Total </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Equity</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2"/>
              </w:rPr>
            </w:pPr>
            <w:r>
              <w:rPr>
                <w:rFonts w:ascii="Times New Roman;serif" w:hAnsi="Times New Roman;serif"/>
                <w:b/>
                <w:color w:val="000000"/>
                <w:sz w:val="12"/>
              </w:rPr>
              <w:t>Treasury</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283,466 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1,243,778 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(610,042)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404,911 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plans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post-retirement plan adjustments, net of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derivatives, net of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(5,298)</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284,047 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1,251,089 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(615,340)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(108,288)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511,283 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18"/>
        </w:rPr>
      </w:pPr>
      <w:r>
        <w:rPr>
          <w:rFonts w:ascii="Times New Roman;serif" w:hAnsi="Times New Roman;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33" w:before="0" w:after="0"/>
        <w:jc w:val="left"/>
        <w:rPr/>
      </w:pPr>
      <w:hyperlink w:anchor="i99a0eea5510f4d469c84e2501614122e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1.Basis of Presentation</w:t>
      </w:r>
    </w:p>
    <w:p>
      <w:pPr>
        <w:pStyle w:val="TextBody"/>
        <w:bidi w:val="0"/>
        <w:spacing w:lineRule="auto" w:line="288" w:before="120" w:after="283"/>
        <w:jc w:val="left"/>
        <w:rPr/>
      </w:pPr>
      <w:r>
        <w:rPr>
          <w:rFonts w:ascii="Times New Roman;serif" w:hAnsi="Times New Roman;serif"/>
          <w:b w:val="false"/>
          <w:i/>
          <w:color w:val="000000"/>
          <w:sz w:val="20"/>
        </w:rPr>
        <w:t>Principles of Consolidation</w:t>
      </w:r>
      <w:r>
        <w:rPr>
          <w:color w:val="000000"/>
        </w:rPr>
        <w:t xml:space="preserve"> – </w:t>
      </w:r>
      <w:r>
        <w:rPr>
          <w:rFonts w:ascii="Times New Roman;serif" w:hAnsi="Times New Roman;serif"/>
          <w:b w:val="false"/>
          <w:color w:val="000000"/>
          <w:sz w:val="20"/>
        </w:rPr>
        <w:t xml:space="preserve">Sotera Health Company (also referred to herein as the “Company,” “we,” “our,” “us” or “its”) is a leading global provider of mission-critical end-to-end sterilization solutions, lab testing and advisory services for the healthcare industry with operations primarily in the Americas, Europe and Asia.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and report in three segments: Sterigenics, Nordion and Nelson Labs. We describe our reportable segments in Note 15, “Segment Information”. All intercompany balances and transactions have been eliminated in consolidation. </w:t>
      </w:r>
    </w:p>
    <w:p>
      <w:pPr>
        <w:pStyle w:val="TextBody"/>
        <w:bidi w:val="0"/>
        <w:spacing w:lineRule="auto" w:line="288" w:before="200" w:after="283"/>
        <w:jc w:val="left"/>
        <w:rPr/>
      </w:pPr>
      <w:r>
        <w:rPr>
          <w:rFonts w:ascii="Times New Roman;serif" w:hAnsi="Times New Roman;serif"/>
          <w:b w:val="false"/>
          <w:i/>
          <w:color w:val="000000"/>
          <w:sz w:val="20"/>
        </w:rPr>
        <w:t>Use of Estimates</w:t>
      </w:r>
      <w:r>
        <w:rPr>
          <w:color w:val="000000"/>
        </w:rPr>
        <w:t xml:space="preserve"> – </w:t>
      </w:r>
      <w:r>
        <w:rPr>
          <w:rFonts w:ascii="Times New Roman;serif" w:hAnsi="Times New Roman;serif"/>
          <w:b w:val="false"/>
          <w:color w:val="000000"/>
          <w:sz w:val="20"/>
        </w:rPr>
        <w:t xml:space="preserve">In preparing our consolidated financial statements in conformity with U.S. Generally Accepted Accounting Principles (“GAAP”), we make estimates and assumptions that affect the amounts reported and the accompanying notes. We regularly evaluate the estimates and assumptions used and revise them as new information becomes available. Actual results may vary from those estimates. </w:t>
      </w:r>
    </w:p>
    <w:p>
      <w:pPr>
        <w:pStyle w:val="TextBody"/>
        <w:bidi w:val="0"/>
        <w:spacing w:lineRule="auto" w:line="288" w:before="200" w:after="283"/>
        <w:jc w:val="left"/>
        <w:rPr/>
      </w:pPr>
      <w:r>
        <w:rPr>
          <w:rFonts w:ascii="Times New Roman;serif" w:hAnsi="Times New Roman;serif"/>
          <w:b w:val="false"/>
          <w:i/>
          <w:color w:val="000000"/>
          <w:sz w:val="20"/>
        </w:rPr>
        <w:t xml:space="preserve">Interim Financial Statements </w:t>
      </w:r>
      <w:r>
        <w:rPr>
          <w:color w:val="000000"/>
        </w:rPr>
        <w:t xml:space="preserve">– </w:t>
      </w:r>
      <w:r>
        <w:rPr>
          <w:rFonts w:ascii="Times New Roman;serif" w:hAnsi="Times New Roman;serif"/>
          <w:b w:val="false"/>
          <w:color w:val="000000"/>
          <w:sz w:val="20"/>
        </w:rPr>
        <w:t>The accompanying consolidated financial statements include the assets, liabilities, operating results, and cash flows of the Company and its wholly owned subsidiaries. These financial statements are prepared in accordance with GAAP for interim financial information and the instructions to the Quarterly Report on Form 10-Q and Rule 10-01 of Regulation S-X. Accordingly, they do not include all of the information and footnotes required by GAAP for complete financial statements. In the opinion of management, all adjustments (consisting of normal recurring adjustments) considered necessary for a fair presentation have been included. These unaudited interim financial statements should be read in conjunction with the Company's annual consolidated financial statements and accompanying notes in our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2.Recent Accounting Standards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Accounting Standard Updates Issued But Not Yet Adopted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(“FASB”) issued Accounting Standards Update (“ASU”) 2024-03,-Income Statement-Reporting Comprehensive Income-Expense Disaggregation Disclosures (Subtopic 220-40): Disaggregation of Income Statement Expenses. The amendments in this ASU require entities to disaggregate certain expense captions into specified categories in disclosures within the footnotes to the financial statements. In January 2025, the FASB issued ASU 2025-01, which revises the effective date of ASU 2024-03 and clarifies that entities are required to adopt the guidance in annual reporting periods beginning after December 15, 2026, and interim periods within annual reporting periods beginning after December 15, 2027. The Company expects that this ASU will increase disclosures in the annual and interim periods when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3.Revenue Recognition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disaggregated net revenues from contracts with external customers by timing of revenue and by segment for the three and six months ended June 30, 2026 and 2025:</w:t>
      </w:r>
    </w:p>
    <w:tbl>
      <w:tblPr>
        <w:tblW w:w="7455" w:type="dxa"/>
        <w:jc w:val="left"/>
        <w:tblInd w:w="0" w:type="dxa"/>
        <w:tblLayout w:type="fixed"/>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736"/>
        <w:gridCol w:w="109"/>
        <w:gridCol w:w="109"/>
        <w:gridCol w:w="109"/>
        <w:gridCol w:w="109"/>
        <w:gridCol w:w="211"/>
        <w:gridCol w:w="736"/>
        <w:gridCol w:w="109"/>
        <w:gridCol w:w="109"/>
        <w:gridCol w:w="109"/>
        <w:gridCol w:w="109"/>
        <w:gridCol w:w="211"/>
        <w:gridCol w:w="84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54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258,803 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Over time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211,571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49,149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60,655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321,375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55" w:type="dxa"/>
        <w:jc w:val="left"/>
        <w:tblInd w:w="0" w:type="dxa"/>
        <w:tblLayout w:type="fixed"/>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736"/>
        <w:gridCol w:w="109"/>
        <w:gridCol w:w="109"/>
        <w:gridCol w:w="109"/>
        <w:gridCol w:w="109"/>
        <w:gridCol w:w="211"/>
        <w:gridCol w:w="736"/>
        <w:gridCol w:w="109"/>
        <w:gridCol w:w="109"/>
        <w:gridCol w:w="109"/>
        <w:gridCol w:w="109"/>
        <w:gridCol w:w="211"/>
        <w:gridCol w:w="84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54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236,210 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Over time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194,839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42,431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57,071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294,341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33" w:before="0" w:after="0"/>
        <w:jc w:val="left"/>
        <w:rPr/>
      </w:pPr>
      <w:hyperlink w:anchor="i99a0eea5510f4d469c84e2501614122e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bl>
      <w:tblPr>
        <w:tblW w:w="7560" w:type="dxa"/>
        <w:jc w:val="left"/>
        <w:tblInd w:w="0" w:type="dxa"/>
        <w:tblLayout w:type="fixed"/>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736"/>
        <w:gridCol w:w="109"/>
        <w:gridCol w:w="109"/>
        <w:gridCol w:w="109"/>
        <w:gridCol w:w="109"/>
        <w:gridCol w:w="211"/>
        <w:gridCol w:w="841"/>
        <w:gridCol w:w="109"/>
        <w:gridCol w:w="109"/>
        <w:gridCol w:w="109"/>
        <w:gridCol w:w="109"/>
        <w:gridCol w:w="211"/>
        <w:gridCol w:w="84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556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485,952 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Over time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397,706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91,158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112,556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601,420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60" w:type="dxa"/>
        <w:jc w:val="left"/>
        <w:tblInd w:w="0" w:type="dxa"/>
        <w:tblLayout w:type="fixed"/>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736"/>
        <w:gridCol w:w="109"/>
        <w:gridCol w:w="109"/>
        <w:gridCol w:w="109"/>
        <w:gridCol w:w="109"/>
        <w:gridCol w:w="211"/>
        <w:gridCol w:w="841"/>
        <w:gridCol w:w="109"/>
        <w:gridCol w:w="109"/>
        <w:gridCol w:w="109"/>
        <w:gridCol w:w="109"/>
        <w:gridCol w:w="211"/>
        <w:gridCol w:w="84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556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438,194 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Over time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364,523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74,988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109,353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548,864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When we receive consideration from a customer prior to transferring goods or services under the terms of a sales contract, we record deferred revenue, which represents a contract liability. Deferred revenue totaled $14.2 million and $18.0 million at June 30, 2026 and December 31, 2025, respectively. We recognize deferred revenue after we have transferred control of the goods or services to the customer and all revenue recognition criteria are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4.Inventories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Inventories consisted of the following:</w:t>
      </w:r>
    </w:p>
    <w:tbl>
      <w:tblPr>
        <w:tblW w:w="6520" w:type="dxa"/>
        <w:jc w:val="left"/>
        <w:tblInd w:w="0" w:type="dxa"/>
        <w:tblLayout w:type="fixed"/>
        <w:tblCellMar>
          <w:top w:w="28" w:type="dxa"/>
          <w:left w:w="28" w:type="dxa"/>
          <w:bottom w:w="28" w:type="dxa"/>
          <w:right w:w="28" w:type="dxa"/>
        </w:tblCellMar>
      </w:tblPr>
      <w:tblGrid>
        <w:gridCol w:w="1277"/>
        <w:gridCol w:w="1122"/>
        <w:gridCol w:w="1125"/>
        <w:gridCol w:w="224"/>
        <w:gridCol w:w="784"/>
        <w:gridCol w:w="116"/>
        <w:gridCol w:w="109"/>
        <w:gridCol w:w="109"/>
        <w:gridCol w:w="109"/>
        <w:gridCol w:w="300"/>
        <w:gridCol w:w="1026"/>
        <w:gridCol w:w="219"/>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46,905</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45,569 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1,916</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7,794</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56,615</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54,627 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excess and obsolete inventory</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(243)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Inventories, net</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56,372</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54,375 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5.Prepaid Expenses and Other Current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w:t>
      </w:r>
    </w:p>
    <w:tbl>
      <w:tblPr>
        <w:tblW w:w="6625" w:type="dxa"/>
        <w:jc w:val="left"/>
        <w:tblInd w:w="0" w:type="dxa"/>
        <w:tblLayout w:type="fixed"/>
        <w:tblCellMar>
          <w:top w:w="28" w:type="dxa"/>
          <w:left w:w="28" w:type="dxa"/>
          <w:bottom w:w="28" w:type="dxa"/>
          <w:right w:w="28" w:type="dxa"/>
        </w:tblCellMar>
      </w:tblPr>
      <w:tblGrid>
        <w:gridCol w:w="1316"/>
        <w:gridCol w:w="1154"/>
        <w:gridCol w:w="1159"/>
        <w:gridCol w:w="224"/>
        <w:gridCol w:w="784"/>
        <w:gridCol w:w="116"/>
        <w:gridCol w:w="109"/>
        <w:gridCol w:w="109"/>
        <w:gridCol w:w="109"/>
        <w:gridCol w:w="300"/>
        <w:gridCol w:w="1026"/>
        <w:gridCol w:w="219"/>
      </w:tblGrid>
      <w:tr>
        <w:trPr/>
        <w:tc>
          <w:tcPr>
            <w:tcW w:w="131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2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5,354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business insurance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3,184</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rent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4,464</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 assets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36,193</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24,410 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deposits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234</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maintenance contracts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910</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Value added tax receivable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2,896</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software licensing</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3,673</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supplies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5,594</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2,561</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9,676</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Prepaid expenses and other current assets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74,739</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65,250 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33" w:before="0" w:after="0"/>
        <w:jc w:val="left"/>
        <w:rPr/>
      </w:pPr>
      <w:hyperlink w:anchor="i99a0eea5510f4d469c84e2501614122e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6.Goodwill and Other Intangible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Changes to goodwill during the six months ended June 30, 2026 were as follows:</w:t>
      </w:r>
    </w:p>
    <w:tbl>
      <w:tblPr>
        <w:tblW w:w="9824" w:type="dxa"/>
        <w:jc w:val="left"/>
        <w:tblInd w:w="0" w:type="dxa"/>
        <w:tblLayout w:type="fixed"/>
        <w:tblCellMar>
          <w:top w:w="28" w:type="dxa"/>
          <w:left w:w="28" w:type="dxa"/>
          <w:bottom w:w="28" w:type="dxa"/>
          <w:right w:w="28" w:type="dxa"/>
        </w:tblCellMar>
      </w:tblPr>
      <w:tblGrid>
        <w:gridCol w:w="1451"/>
        <w:gridCol w:w="1274"/>
        <w:gridCol w:w="127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991"/>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Sterigenics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Nordion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Nelson Labs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December 31, 2025</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658,919 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267,771 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176,542 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1,103,232 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due to foreign currency exchange rates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Goodwill at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657,497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258,242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175,516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1,091,255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intangible assets consisted of the following: </w:t>
      </w:r>
    </w:p>
    <w:tbl>
      <w:tblPr>
        <w:tblW w:w="6108" w:type="dxa"/>
        <w:jc w:val="left"/>
        <w:tblInd w:w="0" w:type="dxa"/>
        <w:tblLayout w:type="fixed"/>
        <w:tblCellMar>
          <w:top w:w="28" w:type="dxa"/>
          <w:left w:w="28" w:type="dxa"/>
          <w:bottom w:w="28" w:type="dxa"/>
          <w:right w:w="28" w:type="dxa"/>
        </w:tblCellMar>
      </w:tblPr>
      <w:tblGrid>
        <w:gridCol w:w="1207"/>
        <w:gridCol w:w="1060"/>
        <w:gridCol w:w="1062"/>
        <w:gridCol w:w="226"/>
        <w:gridCol w:w="902"/>
        <w:gridCol w:w="118"/>
        <w:gridCol w:w="109"/>
        <w:gridCol w:w="109"/>
        <w:gridCol w:w="109"/>
        <w:gridCol w:w="211"/>
        <w:gridCol w:w="841"/>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Gross Carrying</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Amortization</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June 30, 2026</w:t>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Finite-lived intangible assets</w:t>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165,657</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88,975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technology</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36,488</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19,516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2,400</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2,240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Land-use rights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9,126</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2,494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Sealed source and supply agreements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162,691</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92,272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600</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finite-lived intangible assets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376,962</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206,057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Indefinite-lived intangible assets</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Regulatory licenses and other</w:t>
            </w:r>
            <w:r>
              <w:rPr>
                <w:rFonts w:ascii="Times New Roman;serif" w:hAnsi="Times New Roman;serif"/>
                <w:b w:val="false"/>
                <w:color w:val="000000"/>
                <w:sz w:val="13"/>
              </w:rPr>
              <w:t>(a)</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73,338</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 trademarks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25,928</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indefinite-lived intangible assets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99,266</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476,228</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206,057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92" w:type="dxa"/>
        <w:jc w:val="left"/>
        <w:tblInd w:w="0" w:type="dxa"/>
        <w:tblLayout w:type="fixed"/>
        <w:tblCellMar>
          <w:top w:w="28" w:type="dxa"/>
          <w:left w:w="28" w:type="dxa"/>
          <w:bottom w:w="28" w:type="dxa"/>
          <w:right w:w="28" w:type="dxa"/>
        </w:tblCellMar>
      </w:tblPr>
      <w:tblGrid>
        <w:gridCol w:w="1204"/>
        <w:gridCol w:w="1060"/>
        <w:gridCol w:w="1065"/>
        <w:gridCol w:w="229"/>
        <w:gridCol w:w="898"/>
        <w:gridCol w:w="118"/>
        <w:gridCol w:w="109"/>
        <w:gridCol w:w="109"/>
        <w:gridCol w:w="109"/>
        <w:gridCol w:w="211"/>
        <w:gridCol w:w="826"/>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December 31, 2025</w:t>
            </w:r>
          </w:p>
        </w:tc>
        <w:tc>
          <w:tcPr>
            <w:tcW w:w="1245"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Gross Carrying</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Amortization</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Finite-lived intangible assets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technology</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Land-use rights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Sealed source and supply agreements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168,740 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finite-lived intangible assets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385,989 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199,844 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Indefinite-lived intangible assets</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Regulatory licenses and other</w:t>
            </w:r>
            <w:r>
              <w:rPr>
                <w:rFonts w:ascii="Times New Roman;serif" w:hAnsi="Times New Roman;serif"/>
                <w:b w:val="false"/>
                <w:color w:val="000000"/>
                <w:sz w:val="13"/>
              </w:rPr>
              <w:t>(a)</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 trademarks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indefinite-lived intangible assets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102,082 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488,071 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199,844 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33" w:before="0" w:after="0"/>
        <w:jc w:val="left"/>
        <w:rPr/>
      </w:pPr>
      <w:hyperlink w:anchor="i99a0eea5510f4d469c84e2501614122e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120" w:after="283"/>
        <w:ind w:left="0" w:right="0" w:hanging="360"/>
        <w:jc w:val="left"/>
        <w:rPr/>
      </w:pPr>
      <w:r>
        <w:rPr>
          <w:rFonts w:ascii="Times New Roman;serif" w:hAnsi="Times New Roman;serif"/>
          <w:b w:val="false"/>
          <w:color w:val="000000"/>
          <w:sz w:val="13"/>
        </w:rPr>
        <w:t>(a)</w:t>
      </w:r>
      <w:r>
        <w:rPr>
          <w:rFonts w:ascii="Times New Roman;serif" w:hAnsi="Times New Roman;serif"/>
          <w:b w:val="false"/>
          <w:color w:val="000000"/>
          <w:sz w:val="20"/>
        </w:rPr>
        <w:t xml:space="preserve">Includes certain transportation certifications, a class 1B nuclear license and other intangible assets related to obtaining such licensure. These assets are considered indefinite-lived as the decision for renewal by the Canadian Nuclear Safety Commission (“CNSC”) is highly based on a licensee’s previous assessments, reported incidents, and annual compliance and inspection results. New applications for a license can take a significant amount of time and cost; whereas an existing licensee with a historical record of compliance and current operating conditions is generally expected to obtain renewal, as Nordion has demonstrated over its 75-year history. In September 2025, the CNSC renewed Nordion’s Class 1B nuclear license for a 25-year term.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Amounts include the impact of foreign currency translation. Fully amortized amounts are written off.</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for finite-lived intangible assets was $5.6 million and $11.9 million for the three months ended June 30, 2026 and 2025, respectively. $3.0 million and $9.3 million were included in “Amortization of intangible assets” in the Consolidated Statements of Operations and Comprehensive Income for the three months ended June 30, 2026 and 2025, respectively, whereas the remainder was included in “Cost of revenues.”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finite-lived intangible assets was $11.2 million and $30.6 million for the six months ended June 30, 2026 and 2025, respectively. $6.0 million and $24.6 million were included in “Amortization of intangible assets” in the Consolidated Statements of Operations and Comprehensive Income for the six months ended June 30, 2026 and 2025, respectively, whereas the remainder was included in “Cost of revenues.”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estimated aggregate amortization expense for finite-lived intangible assets for each of the next five years and thereafter is as follows:</w:t>
      </w:r>
    </w:p>
    <w:tbl>
      <w:tblPr>
        <w:tblW w:w="3425" w:type="dxa"/>
        <w:jc w:val="left"/>
        <w:tblInd w:w="0" w:type="dxa"/>
        <w:tblLayout w:type="fixed"/>
        <w:tblCellMar>
          <w:top w:w="28" w:type="dxa"/>
          <w:left w:w="28" w:type="dxa"/>
          <w:bottom w:w="28" w:type="dxa"/>
          <w:right w:w="28" w:type="dxa"/>
        </w:tblCellMar>
      </w:tblPr>
      <w:tblGrid>
        <w:gridCol w:w="804"/>
        <w:gridCol w:w="706"/>
        <w:gridCol w:w="709"/>
        <w:gridCol w:w="211"/>
        <w:gridCol w:w="841"/>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10,841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20,616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20,068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19,959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19,959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79,462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170,905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7.Accrued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consisted of the following:</w:t>
      </w:r>
    </w:p>
    <w:tbl>
      <w:tblPr>
        <w:tblW w:w="6729" w:type="dxa"/>
        <w:jc w:val="left"/>
        <w:tblInd w:w="0" w:type="dxa"/>
        <w:tblLayout w:type="fixed"/>
        <w:tblCellMar>
          <w:top w:w="28" w:type="dxa"/>
          <w:left w:w="28" w:type="dxa"/>
          <w:bottom w:w="28" w:type="dxa"/>
          <w:right w:w="28" w:type="dxa"/>
        </w:tblCellMar>
      </w:tblPr>
      <w:tblGrid>
        <w:gridCol w:w="1354"/>
        <w:gridCol w:w="1188"/>
        <w:gridCol w:w="1192"/>
        <w:gridCol w:w="224"/>
        <w:gridCol w:w="784"/>
        <w:gridCol w:w="116"/>
        <w:gridCol w:w="109"/>
        <w:gridCol w:w="109"/>
        <w:gridCol w:w="109"/>
        <w:gridCol w:w="273"/>
        <w:gridCol w:w="1072"/>
        <w:gridCol w:w="199"/>
      </w:tblGrid>
      <w:tr>
        <w:trPr/>
        <w:tc>
          <w:tcPr>
            <w:tcW w:w="135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29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compensation</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35,587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43,543 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Reserve for Illinois EO litigation settlements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expense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5,270</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3,891</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25,326</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utilities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1,819</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accrual</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2,528</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3,652</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5,500</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Accrued liabilities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83,573</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124,736 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33" w:before="0" w:after="0"/>
        <w:jc w:val="left"/>
        <w:rPr/>
      </w:pPr>
      <w:hyperlink w:anchor="i99a0eea5510f4d469c84e2501614122e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8.Long-Term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w:t>
      </w:r>
    </w:p>
    <w:tbl>
      <w:tblPr>
        <w:tblW w:w="10205" w:type="dxa"/>
        <w:jc w:val="left"/>
        <w:tblInd w:w="0" w:type="dxa"/>
        <w:tblLayout w:type="fixed"/>
        <w:tblCellMar>
          <w:top w:w="28" w:type="dxa"/>
          <w:left w:w="28" w:type="dxa"/>
          <w:bottom w:w="28" w:type="dxa"/>
          <w:right w:w="28" w:type="dxa"/>
        </w:tblCellMar>
      </w:tblPr>
      <w:tblGrid>
        <w:gridCol w:w="745"/>
        <w:gridCol w:w="645"/>
        <w:gridCol w:w="648"/>
        <w:gridCol w:w="211"/>
        <w:gridCol w:w="991"/>
        <w:gridCol w:w="109"/>
        <w:gridCol w:w="109"/>
        <w:gridCol w:w="109"/>
        <w:gridCol w:w="109"/>
        <w:gridCol w:w="543"/>
        <w:gridCol w:w="1626"/>
        <w:gridCol w:w="282"/>
        <w:gridCol w:w="109"/>
        <w:gridCol w:w="109"/>
        <w:gridCol w:w="109"/>
        <w:gridCol w:w="391"/>
        <w:gridCol w:w="1473"/>
        <w:gridCol w:w="201"/>
        <w:gridCol w:w="109"/>
        <w:gridCol w:w="109"/>
        <w:gridCol w:w="109"/>
        <w:gridCol w:w="211"/>
        <w:gridCol w:w="991"/>
        <w:gridCol w:w="157"/>
      </w:tblGrid>
      <w:tr>
        <w:trPr/>
        <w:tc>
          <w:tcPr>
            <w:tcW w:w="7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40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 of June 30, 2026</w:t>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Unamortized Debt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Secured Notes due 2031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750,000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(2,840)</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747,160</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2031</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1,415,915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(6,512)</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(17,106)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1,392,297</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2,165,915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(9,352)</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(17,106)</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2,139,457</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14,159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(65)</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13,923</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2,151,756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(9,287)</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(16,935)</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2,125,534</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47"/>
        <w:gridCol w:w="648"/>
        <w:gridCol w:w="651"/>
        <w:gridCol w:w="211"/>
        <w:gridCol w:w="976"/>
        <w:gridCol w:w="109"/>
        <w:gridCol w:w="109"/>
        <w:gridCol w:w="109"/>
        <w:gridCol w:w="109"/>
        <w:gridCol w:w="545"/>
        <w:gridCol w:w="1634"/>
        <w:gridCol w:w="283"/>
        <w:gridCol w:w="109"/>
        <w:gridCol w:w="109"/>
        <w:gridCol w:w="109"/>
        <w:gridCol w:w="392"/>
        <w:gridCol w:w="1480"/>
        <w:gridCol w:w="202"/>
        <w:gridCol w:w="109"/>
        <w:gridCol w:w="109"/>
        <w:gridCol w:w="109"/>
        <w:gridCol w:w="211"/>
        <w:gridCol w:w="976"/>
        <w:gridCol w:w="159"/>
      </w:tblGrid>
      <w:tr>
        <w:trPr/>
        <w:tc>
          <w:tcPr>
            <w:tcW w:w="74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40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Unamortized Debt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Secured Notes due 2031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(3,129)</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746,871 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2031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(6,618)</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1,393,826 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2,169,472 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(9,747)</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(19,028)</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2,140,697 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2,155,242 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(9,681)</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(18,837)</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2,126,724 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Debt Facilities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Under the debt agreements summarized below, at June 30, 2026, we and Sotera Health Holdings, LLC (“SHH”), our wholly owned subsidiary, had debt payment obligations under (a) a term loan in the amount of $1,415.9 million, (b) a revolving credit facility, which supported operationally-related letters of credit but was otherwise undrawn, and which provides us with capacity of up to $600.0 million for future potential borrowings, and (c) $750.0 million of senior secured notes. Our debt agreements also include additional covenants, conditions and rights to request additional debt, as summarized below.</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Senior Secured Credit Facilities and Indenture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December 13, 2019, SHH entered into senior secured first lien credit facilities (the “Senior Secured Credit Facilities”), consisting of both a prepayable senior secured first lien term loan (the “Term Loans”) and a senior secured first lien revolving credit facility (the “Revolving Credit Facility”) pursuant to a first lien credit agreement (as amended through Amendment No. 7, the “Credit Agreement”). The Senior Secured Credit Facilities also provide SHH the right at any time and under certain conditions to request incremental term loans or incremental revolving credit commitments based on a formula defined in the Senior Secured Credit Facilities.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May 20, 2026, SHH, the Company, certain subsidiaries of the Company, each 2026 Refinancing Term Lender (as defined in the Credit Agreement) and JPMorgan Chase Bank, N.A., as first lien Administrative Agent entered into Amendment No. 7 (“Amendment No. 7”) to the Credit Agreement. Among other changes, Amendment No. 7 provides for refinancing lenders to provide repriced Term Loans to SHH in an aggregate principal amount of $1,415.9 million. Amendment No. 7 reduced the interest rate spread by 0.25% across Term Loans under the facility. The Term Loans under the credit facility shall have an applicable interest rate margin equal to Adjusted Term SOFR (as defined in the Credit Agreement) plus 2.25%, with a 0.00% floor (with optionality for the Company to elect Alternate Base Rate plus 1.25% or Adjusted Daily Simple SOFR plus 2.25% (each as defined in the Credit Agreement)). The Term Loans are also subject to a “soft call” premium of 1.00% for certain repricing transactions with respect to the Term Loans that occur within the six-month period after the effective date of the Amendment. The Term Loans amortize at a rate of 1.00% per annum and mature on May 30, 2031.</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weighted average interest rates on borrowings under the Term Loans for the three months ended June 30, 2026 and June 30, 2025 were 6.03% and 7.55%, respectively, and 6.13% and 7.60%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33" w:before="0" w:after="0"/>
        <w:jc w:val="left"/>
        <w:rPr/>
      </w:pPr>
      <w:hyperlink w:anchor="i99a0eea5510f4d469c84e2501614122e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May 30, 2024, SHH, the Company, certain subsidiaries of the Company, and Wilmington Trust, National Association, as trustee, paying agent, registrar, transfer agent and notes collateral agent, entered into an Indenture (the “Indenture”) governing SHH’s $750.0 million aggregate principal amount of 7.375% senior secured notes due 2031 (the “Secured Notes”) issued in May 2024. The Secured Notes pay interest semiannually in arrears on June 1 and December 1 of each year, which began on December 1, 2024, at a rate of 7.375% per year, and will mature on June 1, 2031.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Outstanding letters of credit are collateralized by encumbrances against the Revolving Credit Facility and the collateral pledged thereunder, or by cash placed on deposit with the issuing bank. As of June 30, 2026, the Company had $8.3 million of letters of credit issued against the Revolving Credit Facility, resulting in total availability under the Revolving Credit Facility of $591.7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9.Income Taxes</w:t>
      </w:r>
    </w:p>
    <w:p>
      <w:pPr>
        <w:pStyle w:val="TextBody"/>
        <w:bidi w:val="0"/>
        <w:spacing w:lineRule="auto" w:line="288" w:before="120" w:after="283"/>
        <w:jc w:val="left"/>
        <w:rPr/>
      </w:pPr>
      <w:r>
        <w:rPr>
          <w:rFonts w:ascii="Times New Roman;serif" w:hAnsi="Times New Roman;serif"/>
          <w:b w:val="false"/>
          <w:color w:val="000000"/>
          <w:sz w:val="20"/>
        </w:rPr>
        <w:t xml:space="preserve">Income tax expense is provided on an interim basis based upon our estimate of the annual effective income tax rate. In determining the estimated annual effective income tax rate, we analyze various factors, including projections of our annual earnings and the taxing jurisdictions where the earnings will occur, the impact of state and local taxes, our ability to utilize tax credits and net operating loss carryforwards and available tax planning alternatives. Our effective tax rates were 31.3% and 33.5% for the three and six months ended June 30, 2026, respectively. For the three and six months ended </w:t>
      </w:r>
      <w:r>
        <w:rPr>
          <w:rFonts w:ascii="Times New Roman;serif" w:hAnsi="Times New Roman;serif"/>
          <w:b w:val="false"/>
          <w:color w:val="000000"/>
          <w:sz w:val="20"/>
          <w:shd w:fill="FFFFFF" w:val="clear"/>
        </w:rPr>
        <w:t xml:space="preserve">June 30, 2025, our effective tax rates were </w:t>
      </w:r>
      <w:r>
        <w:rPr>
          <w:rFonts w:ascii="Times New Roman;serif" w:hAnsi="Times New Roman;serif"/>
          <w:b w:val="false"/>
          <w:color w:val="000000"/>
          <w:sz w:val="20"/>
        </w:rPr>
        <w:t>57.9%</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230.0%</w:t>
      </w:r>
      <w:r>
        <w:rPr>
          <w:rFonts w:ascii="Times New Roman;serif" w:hAnsi="Times New Roman;serif"/>
          <w:b w:val="false"/>
          <w:color w:val="000000"/>
          <w:sz w:val="20"/>
          <w:shd w:fill="FFFFFF" w:val="clear"/>
        </w:rPr>
        <w:t>, respectively.</w:t>
      </w:r>
    </w:p>
    <w:p>
      <w:pPr>
        <w:pStyle w:val="TextBody"/>
        <w:bidi w:val="0"/>
        <w:spacing w:lineRule="auto" w:line="288" w:before="200" w:after="283"/>
        <w:jc w:val="left"/>
        <w:rPr/>
      </w:pPr>
      <w:r>
        <w:rPr>
          <w:rFonts w:ascii="Times New Roman;serif" w:hAnsi="Times New Roman;serif"/>
          <w:b w:val="false"/>
          <w:color w:val="000000"/>
          <w:sz w:val="20"/>
        </w:rPr>
        <w:t xml:space="preserve">Income tax expense for the three and six months ended June 30, 2026 </w:t>
      </w:r>
      <w:r>
        <w:rPr>
          <w:rFonts w:ascii="Times New Roman;serif" w:hAnsi="Times New Roman;serif"/>
          <w:b w:val="false"/>
          <w:color w:val="000000"/>
          <w:sz w:val="20"/>
          <w:shd w:fill="FFFFFF" w:val="clear"/>
        </w:rPr>
        <w:t xml:space="preserve">differed from the statutory rate </w:t>
      </w:r>
      <w:r>
        <w:rPr>
          <w:rFonts w:ascii="Times New Roman;serif" w:hAnsi="Times New Roman;serif"/>
          <w:b w:val="false"/>
          <w:color w:val="000000"/>
          <w:sz w:val="20"/>
        </w:rPr>
        <w:t>primarily due to the foreign rate differential, current year permanent differences, including foreign withholding taxes and other non-deductible items, and U.S. state income taxes (net of federal tax benefit).</w:t>
      </w:r>
      <w:r>
        <w:rPr>
          <w:color w:val="000000"/>
          <w:shd w:fill="FFFFFF" w:val="clear"/>
        </w:rPr>
        <w:t xml:space="preserve"> </w:t>
      </w:r>
      <w:r>
        <w:rPr>
          <w:rFonts w:ascii="Times New Roman;serif" w:hAnsi="Times New Roman;serif"/>
          <w:b w:val="false"/>
          <w:color w:val="000000"/>
          <w:sz w:val="20"/>
          <w:shd w:fill="FFFFFF" w:val="clear"/>
        </w:rPr>
        <w:t xml:space="preserve">Income tax expense for the three and </w:t>
      </w:r>
      <w:r>
        <w:rPr>
          <w:rFonts w:ascii="Times New Roman;serif" w:hAnsi="Times New Roman;serif"/>
          <w:b w:val="false"/>
          <w:color w:val="000000"/>
          <w:sz w:val="20"/>
        </w:rPr>
        <w:t xml:space="preserve">six </w:t>
      </w:r>
      <w:r>
        <w:rPr>
          <w:rFonts w:ascii="Times New Roman;serif" w:hAnsi="Times New Roman;serif"/>
          <w:b w:val="false"/>
          <w:color w:val="000000"/>
          <w:sz w:val="20"/>
          <w:shd w:fill="FFFFFF" w:val="clear"/>
        </w:rPr>
        <w:t xml:space="preserve">months ended June 30, 2025 differed from the statutory rate </w:t>
      </w:r>
      <w:r>
        <w:rPr>
          <w:rFonts w:ascii="Times New Roman;serif" w:hAnsi="Times New Roman;serif"/>
          <w:b w:val="false"/>
          <w:color w:val="000000"/>
          <w:sz w:val="20"/>
        </w:rPr>
        <w:t>primarily due to t</w:t>
      </w:r>
      <w:r>
        <w:rPr>
          <w:rFonts w:ascii="Times New Roman;serif" w:hAnsi="Times New Roman;serif"/>
          <w:b w:val="false"/>
          <w:color w:val="000000"/>
          <w:sz w:val="20"/>
          <w:shd w:fill="FFFFFF" w:val="clear"/>
        </w:rPr>
        <w:t>he valuation allowance attributable to the limitation on the deductibility of interest expense,</w:t>
      </w:r>
      <w:r>
        <w:rPr>
          <w:color w:val="000000"/>
        </w:rPr>
        <w:t xml:space="preserve"> </w:t>
      </w:r>
      <w:r>
        <w:rPr>
          <w:rFonts w:ascii="Times New Roman;serif" w:hAnsi="Times New Roman;serif"/>
          <w:b w:val="false"/>
          <w:color w:val="000000"/>
          <w:sz w:val="20"/>
          <w:shd w:fill="FFFFFF" w:val="clear"/>
        </w:rPr>
        <w:t>the impact of the foreign rate differential and current year permanent tax differences, partially offset by a benefit for state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10.Employee Benefits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sponsors various post-employment benefit plans including, in certain countries outside the United States, defined benefit and defined contribution pension plans, retirement compensation arrangements, and plans that provide extended health care coverage to retired employees, the majority of which relate to Nordion. The interest cost, expected return on plan assets and amortization of net actuarial gain are recorded in “Other income, net” and the service cost component is included in the same financial statement line item as the applicable employee’s wages in the Consolidated Statements of Operations and Comprehensive Income.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Defined benefit pension plan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defined benefit pension plan disclosure relates to Nordion. Certain immaterial foreign defined benefit pension plans have been excluded from the table below. The components of net periodic pension benefit for the defined benefit plans for the three and six months ended June 30, 2026 and 2025 were as follows:</w:t>
      </w:r>
    </w:p>
    <w:tbl>
      <w:tblPr>
        <w:tblW w:w="7650" w:type="dxa"/>
        <w:jc w:val="left"/>
        <w:tblInd w:w="0" w:type="dxa"/>
        <w:tblLayout w:type="fixed"/>
        <w:tblCellMar>
          <w:top w:w="28" w:type="dxa"/>
          <w:left w:w="28" w:type="dxa"/>
          <w:bottom w:w="28" w:type="dxa"/>
          <w:right w:w="28" w:type="dxa"/>
        </w:tblCellMar>
      </w:tblPr>
      <w:tblGrid>
        <w:gridCol w:w="935"/>
        <w:gridCol w:w="821"/>
        <w:gridCol w:w="824"/>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periodic benefit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(3,551)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benefit plans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benefit plans disclosed below relate to Nordion and include a supplemental retirement arrangement, a retirement and termination allowance, and post-retirement benefit plans, which include contributory health and dental care benefits and contributory life insurance coverage. Certain immaterial other foreign benefit plans have been excluded from the table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33" w:before="0" w:after="0"/>
        <w:jc w:val="left"/>
        <w:rPr/>
      </w:pPr>
      <w:hyperlink w:anchor="i99a0eea5510f4d469c84e2501614122e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All non-pension post-employment benefit plans are unfunded. The components of net periodic pension cost for the other benefit plans for the three and six months ended June 30, 2026 and 2025 were as follows:</w:t>
      </w:r>
    </w:p>
    <w:tbl>
      <w:tblPr>
        <w:tblW w:w="7563" w:type="dxa"/>
        <w:jc w:val="left"/>
        <w:tblInd w:w="0" w:type="dxa"/>
        <w:tblLayout w:type="fixed"/>
        <w:tblCellMar>
          <w:top w:w="28" w:type="dxa"/>
          <w:left w:w="28" w:type="dxa"/>
          <w:bottom w:w="28" w:type="dxa"/>
          <w:right w:w="28" w:type="dxa"/>
        </w:tblCellMar>
      </w:tblPr>
      <w:tblGrid>
        <w:gridCol w:w="1038"/>
        <w:gridCol w:w="912"/>
        <w:gridCol w:w="915"/>
        <w:gridCol w:w="280"/>
        <w:gridCol w:w="500"/>
        <w:gridCol w:w="144"/>
        <w:gridCol w:w="144"/>
        <w:gridCol w:w="144"/>
        <w:gridCol w:w="144"/>
        <w:gridCol w:w="280"/>
        <w:gridCol w:w="480"/>
        <w:gridCol w:w="144"/>
        <w:gridCol w:w="109"/>
        <w:gridCol w:w="109"/>
        <w:gridCol w:w="109"/>
        <w:gridCol w:w="240"/>
        <w:gridCol w:w="429"/>
        <w:gridCol w:w="124"/>
        <w:gridCol w:w="124"/>
        <w:gridCol w:w="124"/>
        <w:gridCol w:w="124"/>
        <w:gridCol w:w="240"/>
        <w:gridCol w:w="531"/>
        <w:gridCol w:w="175"/>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75</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152</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actuarial gain</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periodic benefit cost</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w:t>
            </w: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87</w:t>
            </w: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11.Other Comprehensive Income (Loss)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Amounts in accumulated other comprehensive income (loss) are presented net of the related tax. Foreign currency translation is not adjusted for income taxes.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our accumulated other comprehensive income (loss) balances, net of applicable tax, were as follows: </w:t>
      </w:r>
    </w:p>
    <w:tbl>
      <w:tblPr>
        <w:tblW w:w="10080" w:type="dxa"/>
        <w:jc w:val="left"/>
        <w:tblInd w:w="0" w:type="dxa"/>
        <w:tblLayout w:type="fixed"/>
        <w:tblCellMar>
          <w:top w:w="28" w:type="dxa"/>
          <w:left w:w="28" w:type="dxa"/>
          <w:bottom w:w="28" w:type="dxa"/>
          <w:right w:w="28" w:type="dxa"/>
        </w:tblCellMar>
      </w:tblPr>
      <w:tblGrid>
        <w:gridCol w:w="1685"/>
        <w:gridCol w:w="1480"/>
        <w:gridCol w:w="1485"/>
        <w:gridCol w:w="211"/>
        <w:gridCol w:w="631"/>
        <w:gridCol w:w="109"/>
        <w:gridCol w:w="109"/>
        <w:gridCol w:w="109"/>
        <w:gridCol w:w="109"/>
        <w:gridCol w:w="211"/>
        <w:gridCol w:w="901"/>
        <w:gridCol w:w="109"/>
        <w:gridCol w:w="109"/>
        <w:gridCol w:w="109"/>
        <w:gridCol w:w="109"/>
        <w:gridCol w:w="211"/>
        <w:gridCol w:w="691"/>
        <w:gridCol w:w="109"/>
        <w:gridCol w:w="109"/>
        <w:gridCol w:w="109"/>
        <w:gridCol w:w="109"/>
        <w:gridCol w:w="211"/>
        <w:gridCol w:w="901"/>
        <w:gridCol w:w="154"/>
      </w:tblGrid>
      <w:tr>
        <w:trPr/>
        <w:tc>
          <w:tcPr>
            <w:tcW w:w="168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Defined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Benefit</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Foreign</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Currency</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Interest</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Rate</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Beginning balance – April 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(129,182)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(125,940)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(17,481)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3"/>
              </w:rPr>
            </w:pPr>
            <w:r>
              <w:rPr>
                <w:rFonts w:ascii="Times New Roman;serif" w:hAnsi="Times New Roman;serif"/>
                <w:b w:val="false"/>
                <w:color w:val="000000"/>
                <w:sz w:val="13"/>
              </w:rPr>
              <w:t>(a)</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3"/>
              </w:rPr>
            </w:pPr>
            <w:r>
              <w:rPr>
                <w:rFonts w:ascii="Times New Roman;serif" w:hAnsi="Times New Roman;serif"/>
                <w:b w:val="false"/>
                <w:color w:val="000000"/>
                <w:sz w:val="13"/>
              </w:rPr>
              <w:t>(b)</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current-period other comprehensive income (loss)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(18,591)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(17,515)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Ending balance – June 30,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(147,773)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(143,455)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Beginning balance – January 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(111,551)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(109,838)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(36,222)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(33,517)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3"/>
              </w:rPr>
            </w:pPr>
            <w:r>
              <w:rPr>
                <w:rFonts w:ascii="Times New Roman;serif" w:hAnsi="Times New Roman;serif"/>
                <w:b w:val="false"/>
                <w:color w:val="000000"/>
                <w:sz w:val="13"/>
              </w:rPr>
              <w:t>(a)</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3"/>
              </w:rPr>
            </w:pPr>
            <w:r>
              <w:rPr>
                <w:rFonts w:ascii="Times New Roman;serif" w:hAnsi="Times New Roman;serif"/>
                <w:b w:val="false"/>
                <w:color w:val="000000"/>
                <w:sz w:val="13"/>
              </w:rPr>
              <w:t>(b)</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current-period other comprehensive income (loss)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(36,222)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(33,617)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Ending balance –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(147,773)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969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(143,455)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33" w:before="0" w:after="0"/>
        <w:jc w:val="left"/>
        <w:rPr/>
      </w:pPr>
      <w:hyperlink w:anchor="i99a0eea5510f4d469c84e2501614122e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bl>
      <w:tblPr>
        <w:tblW w:w="10065" w:type="dxa"/>
        <w:jc w:val="left"/>
        <w:tblInd w:w="0" w:type="dxa"/>
        <w:tblLayout w:type="fixed"/>
        <w:tblCellMar>
          <w:top w:w="28" w:type="dxa"/>
          <w:left w:w="28" w:type="dxa"/>
          <w:bottom w:w="28" w:type="dxa"/>
          <w:right w:w="28" w:type="dxa"/>
        </w:tblCellMar>
      </w:tblPr>
      <w:tblGrid>
        <w:gridCol w:w="1685"/>
        <w:gridCol w:w="1480"/>
        <w:gridCol w:w="1485"/>
        <w:gridCol w:w="211"/>
        <w:gridCol w:w="616"/>
        <w:gridCol w:w="109"/>
        <w:gridCol w:w="109"/>
        <w:gridCol w:w="109"/>
        <w:gridCol w:w="109"/>
        <w:gridCol w:w="211"/>
        <w:gridCol w:w="901"/>
        <w:gridCol w:w="109"/>
        <w:gridCol w:w="109"/>
        <w:gridCol w:w="109"/>
        <w:gridCol w:w="109"/>
        <w:gridCol w:w="211"/>
        <w:gridCol w:w="691"/>
        <w:gridCol w:w="109"/>
        <w:gridCol w:w="109"/>
        <w:gridCol w:w="109"/>
        <w:gridCol w:w="109"/>
        <w:gridCol w:w="211"/>
        <w:gridCol w:w="901"/>
        <w:gridCol w:w="154"/>
      </w:tblGrid>
      <w:tr>
        <w:trPr/>
        <w:tc>
          <w:tcPr>
            <w:tcW w:w="168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Defined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Benefit</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Foreign</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Currency</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Interest</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Rate</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Beginning balance – April 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(190,106)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(189,453)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3"/>
              </w:rPr>
            </w:pPr>
            <w:r>
              <w:rPr>
                <w:rFonts w:ascii="Times New Roman;serif" w:hAnsi="Times New Roman;serif"/>
                <w:b w:val="false"/>
                <w:color w:val="000000"/>
                <w:sz w:val="13"/>
              </w:rPr>
              <w:t>(a)</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3"/>
              </w:rPr>
            </w:pPr>
            <w:r>
              <w:rPr>
                <w:rFonts w:ascii="Times New Roman;serif" w:hAnsi="Times New Roman;serif"/>
                <w:b w:val="false"/>
                <w:color w:val="000000"/>
                <w:sz w:val="13"/>
              </w:rPr>
              <w:t>(b)</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current-period other comprehensive income (loss)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Ending balance – June 30,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(107,889)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Beginning balance – January 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(209,666)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(208,251)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3"/>
              </w:rPr>
            </w:pPr>
            <w:r>
              <w:rPr>
                <w:rFonts w:ascii="Times New Roman;serif" w:hAnsi="Times New Roman;serif"/>
                <w:b w:val="false"/>
                <w:color w:val="000000"/>
                <w:sz w:val="13"/>
              </w:rPr>
              <w:t>(a)</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3"/>
              </w:rPr>
            </w:pPr>
            <w:r>
              <w:rPr>
                <w:rFonts w:ascii="Times New Roman;serif" w:hAnsi="Times New Roman;serif"/>
                <w:b w:val="false"/>
                <w:color w:val="000000"/>
                <w:sz w:val="13"/>
              </w:rPr>
              <w:t>(b)</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current-period other comprehensive income (loss)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Ending balance – June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(107,889)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(108,288)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(a)For defined benefit pension plans, amounts reclassified from accumulated other comprehensive income (loss) are recorded to “Other income, net” within the Consolidated Statements of Operations and Comprehensive Income.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(b)For interest rate derivatives, amounts reclassified from accumulated other comprehensive income (loss) are recorded to “Interest expense, net” within the Consolidated Statements of Operations and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12.Earnings (Loss) Per Share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represents the amount of income attributable to each common share outstanding. Diluted earnings per share represents the amount of income attributable to each common share outstanding adjusted for the effects of potentially dilutive common shares. Potentially dilutive common shares include stock options and other stock-based awards. In the periods where the effect would be antidilutive, potentially dilutive common shares are excluded from the calculation of diluted earnings per share.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2025 and prior years, in periods in which the Company had net income, earnings per share was calculated using the two-class method. This method was required as unvested pre-IPO restricted stock awards had the right to receive non-forfeitable dividends or dividend equivalents if the Company were to declare dividends on its common stock. Pursuant to the two-class method, earnings for each period were allocated on a pro-rata basis to common stockholders and unvested pre-IPO restricted stock awards. Diluted earnings per share was computed using the more dilutive of the (a) two-class method and (b) treasury stock method, as applicable, to the potentially dilutive instruments.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periods in which the Company had a net loss, the two-class method was not applicable because the unvested pre-IPO restricted stock awards did not participate in losses.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Beginning in 2026, earnings per share is calculated using the treasury stock method. As all pre-IPO restricted stock awards were fully vested in the third quarter of 2025, the use of the two-class method is no longer required. Diluted earnings per share represents the weighted average number of common shares outstanding plus the dilutive effect of potential common shares calculated using the treasury stock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33" w:before="0" w:after="0"/>
        <w:jc w:val="left"/>
        <w:rPr/>
      </w:pPr>
      <w:hyperlink w:anchor="i99a0eea5510f4d469c84e2501614122e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basic and diluted earnings (loss) per common share are calculated as follows:</w:t>
      </w:r>
    </w:p>
    <w:tbl>
      <w:tblPr>
        <w:tblW w:w="10205" w:type="dxa"/>
        <w:jc w:val="left"/>
        <w:tblInd w:w="0" w:type="dxa"/>
        <w:tblLayout w:type="fixed"/>
        <w:tblCellMar>
          <w:top w:w="28" w:type="dxa"/>
          <w:left w:w="28" w:type="dxa"/>
          <w:bottom w:w="28" w:type="dxa"/>
          <w:right w:w="28" w:type="dxa"/>
        </w:tblCellMar>
      </w:tblPr>
      <w:tblGrid>
        <w:gridCol w:w="2116"/>
        <w:gridCol w:w="1513"/>
        <w:gridCol w:w="1520"/>
        <w:gridCol w:w="211"/>
        <w:gridCol w:w="736"/>
        <w:gridCol w:w="109"/>
        <w:gridCol w:w="109"/>
        <w:gridCol w:w="109"/>
        <w:gridCol w:w="109"/>
        <w:gridCol w:w="211"/>
        <w:gridCol w:w="616"/>
        <w:gridCol w:w="109"/>
        <w:gridCol w:w="109"/>
        <w:gridCol w:w="109"/>
        <w:gridCol w:w="109"/>
        <w:gridCol w:w="211"/>
        <w:gridCol w:w="736"/>
        <w:gridCol w:w="109"/>
        <w:gridCol w:w="109"/>
        <w:gridCol w:w="109"/>
        <w:gridCol w:w="109"/>
        <w:gridCol w:w="211"/>
        <w:gridCol w:w="660"/>
        <w:gridCol w:w="156"/>
      </w:tblGrid>
      <w:tr>
        <w:trPr/>
        <w:tc>
          <w:tcPr>
            <w:tcW w:w="2116"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Six Months Ended</w:t>
            </w:r>
          </w:p>
        </w:tc>
      </w:tr>
      <w:tr>
        <w:trPr/>
        <w:tc>
          <w:tcPr>
            <w:tcW w:w="51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 of U.S. dollars and share amounts (except per share amounts)</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(Loss):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53,643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80,232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Allocation to participating securities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Sotera Health Company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53,643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80,232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Common Shares:</w:t>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285,773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285,333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283,747 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pPr>
            <w:r>
              <w:rPr>
                <w:rFonts w:ascii="Times New Roman;serif" w:hAnsi="Times New Roman;serif"/>
                <w:b w:val="false"/>
                <w:color w:val="000000"/>
                <w:sz w:val="20"/>
              </w:rPr>
              <w:t>Dilutive effect of potential common shares</w:t>
            </w:r>
            <w:r>
              <w:rPr>
                <w:rFonts w:ascii="Times New Roman;serif" w:hAnsi="Times New Roman;serif"/>
                <w:b w:val="false"/>
                <w:color w:val="000000"/>
                <w:sz w:val="13"/>
              </w:rPr>
              <w:t>(a)</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diluted</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288,148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287,915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283,747 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attributable to Sotera Health Company common shareholders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attributable to Sotera Health Company common shareholders - diluted</w:t>
            </w:r>
          </w:p>
        </w:tc>
        <w:tc>
          <w:tcPr>
            <w:tcW w:w="94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0.19</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0.28</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(a)As the Company reported a net loss for the six months ended June 30, 2025, the calculation of diluted weighted average common shares outstanding is not applicable because the effect of including the potential common shares would be anti-dilutive.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does not consider the following potential common shares as the effect would be anti-dilutive:</w:t>
      </w:r>
    </w:p>
    <w:tbl>
      <w:tblPr>
        <w:tblW w:w="7434" w:type="dxa"/>
        <w:jc w:val="left"/>
        <w:tblInd w:w="0" w:type="dxa"/>
        <w:tblLayout w:type="fixed"/>
        <w:tblCellMar>
          <w:top w:w="28" w:type="dxa"/>
          <w:left w:w="28" w:type="dxa"/>
          <w:bottom w:w="28" w:type="dxa"/>
          <w:right w:w="28" w:type="dxa"/>
        </w:tblCellMar>
      </w:tblPr>
      <w:tblGrid>
        <w:gridCol w:w="907"/>
        <w:gridCol w:w="797"/>
        <w:gridCol w:w="800"/>
        <w:gridCol w:w="308"/>
        <w:gridCol w:w="308"/>
        <w:gridCol w:w="240"/>
        <w:gridCol w:w="178"/>
        <w:gridCol w:w="178"/>
        <w:gridCol w:w="178"/>
        <w:gridCol w:w="308"/>
        <w:gridCol w:w="308"/>
        <w:gridCol w:w="240"/>
        <w:gridCol w:w="109"/>
        <w:gridCol w:w="109"/>
        <w:gridCol w:w="109"/>
        <w:gridCol w:w="308"/>
        <w:gridCol w:w="308"/>
        <w:gridCol w:w="241"/>
        <w:gridCol w:w="154"/>
        <w:gridCol w:w="154"/>
        <w:gridCol w:w="154"/>
        <w:gridCol w:w="360"/>
        <w:gridCol w:w="361"/>
        <w:gridCol w:w="317"/>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Six Months Ended</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 of share amounts</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 options </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4,676 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5,566 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8,299 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anti-dilutive securities</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5,051 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7,039 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4,926 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11,443 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13.Commitments and Contingencies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or are subject to various lawsuits and other claims, as well as gain contingencies, in the ordinary course of our business. In addition, from time to time, we receive communications from government or regulatory agencies concerning investigations or allegations of noncompliance with laws or regulations in jurisdictions in which we operate. We assess these regulatory and legal actions to determine if a contingent liability should be recorded. In making these determinations, we may, depending on the nature of the matter, consult with internal and external legal counsel and technical experts.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establish reserves for specific liabilities in connection with regulatory and legal actions that we determine to be both probable and reasonably estimable. The outcomes of regulatory and legal actions can be difficult to predict and are often resolved over long periods of time, making our probability and estimability determinations highly judgmental. Probability determinations require the analysis of various possible outcomes, assessments of potential damages and the impact of multiple factors beyond our control, including potential actions by others, interpretations of the law, and changes and developments in relevant facts, circumstances, regulations and other laws. If a potentially material loss contingency is not probable, but is reasonably possible, or is probable but cannot be estimated, then the nature of the contingent liability is disclosed, together with an estimate of the range of possible loss if the range is determinable and material. In certain of the matters described below, we are not able to estimate potential liability because of the uncertainties related to the outcome(s) and/or the amount(s) or range(s) of loss. The ultimate resolution of pending regulatory and legal matters in future periods, including the matters described below, may have a material adverse effect on our financial condition, results of operations and/or liquidity. The Company may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33" w:before="0" w:after="0"/>
        <w:jc w:val="left"/>
        <w:rPr/>
      </w:pPr>
      <w:hyperlink w:anchor="i99a0eea5510f4d469c84e2501614122e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incur material defense and settlement costs, diversion of management resources and other adverse effects on our business, financial condition, and/or 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regarding those matters set forth below is as of June 30, 2026, except as otherwise indicated.</w:t>
      </w:r>
    </w:p>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Ethylene Oxide Tort Litigation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Sterigenics U.S., LLC (“Sterigenics”) and other medical supply sterilization companies have been subjected to tort lawsuits alleging various injuries caused by low-level environmental exposure to EO used at or emitted or released from sterilization facilities. Those lawsuits, as detailed further below, are individual claims, as opposed to class actions.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California</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July 31, 2026, subsidiaries of the Company and other parties are defendants in lawsuits pending in Los Angeles County Superior Court in which the plaintiffs assert approximately 150 claims for personal injury or wrongful death allegedly resulting from use, emissions and releases of EO from Sterigenics’ Vernon facilities (the “Vernon Cases”). The Vernon Cases have been assigned to one judge, with initial trials scheduled for January and April 2027. Eight individual claims have been selected as the “First Plaintiff Group” and are being prioritized for discovery.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Georgia</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Subsidiaries of the Company and other parties are defendants in lawsuits in Georgia in which plaintiffs allege personal injuries, wrongful death and property devaluation resulting from use, emissions and releases of EO from or at Sterigenics’ Atlanta facility.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31, 2026, approximately 500 personal injury and wrongful death claims filed in the State Court of Cobb County (the “Georgia Trial Court”) are assigned to a single judge (the “Georgia Personal Injury Cases”). The Georgia Personal Injury Cases are governed in the Georgia Trial Court by case management orders pursuant to which general causation issues in a pool of eight cases were to be adjudicated in Phase 1 and specific causation issues in those pool cases were to be adjudicated in Phase 2; the remaining Georgia Personal Injury Cases, including 15 cases that include both personal injury and property claims and one personal injury lawsuit that is pending before a different judge, are stayed.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22, 2024, the Georgia Trial Court issued a Phase 1 ruling on general causation issues granting in part and denying in part defendants’ motions to exclude certain Phase 1 expert testimony and defendants’ motions for summary judgment on Phase 1 issues (the “First General Causation Ruling”). Plaintiffs and defendants appealed the First General Causation Ruling to the Court of Appeals of Georgia (the “Phase 1 General Causation Appeals”). While the Phase 1 General Causation Appeals were pending, three of the pool cases, selected by plaintiffs’ counsel, proceeded to Phase 2 (the “Phase 2 Cases”). On October 17, 2025, the Georgia Trial Court issued its Phase 2 rulings on specific causation issues granting Sterigenics’ motions to exclude three of plaintiffs’ specific causation expert witnesses and granting Sterigenics’ motions for summary judgment in all three Phase 2 Cases (the “Specific Causation Ruling”). On October 28, 2025, the Georgia Trial Court entered an order also adopting its Specific Causation Ruling with respect to our subsidiary Sotera Health LLC. Plaintiffs in the Phase 2 Cases appealed the Specific Causation Ruling to the Court of Appeals of Georgia (the “Phase 2 Specific Causation Appeals”).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October 31, 2025, the Court of Appeals of Georgia ruled on the Phase 1 General Causation Appeals, finding that as Sterigenics contended on appeal, the First General Causation Ruling failed to apply the proper standard for determining the admissibility of expert testimony on general causation, vacating the First General Causation Ruling and remanding the pool cases to the Georgia Trial Court with instructions to apply the proper standard in ruling on general causation issues. The Court of Appeals also instructed the Georgia Trial Court to consider whether plaintiffs can prove general causation through epidemiological evidence and background risks of the diseases at issue. On March 30, 2026, the Georgia Trial Court granted defendants’ motions to exclude plaintiffs’ general causation experts and entered summary judgment for defendants in the five remanded pool cases (the “Second General Causation Ruling and Judgment”). Plaintiffs in the five remanded pool cases appealed the Second General Causation Ruling and Judgment to the Court of Appeals of Georgia (the “Second Phase 1 General Causation Appeals”). Proceedings in the Georgia Trial Court are stayed pending resolution of the Second Phase 1 General Causation Appeals and the Phase 2 Specific Causation Appeals.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33" w:before="0" w:after="0"/>
        <w:jc w:val="left"/>
        <w:rPr/>
      </w:pPr>
      <w:hyperlink w:anchor="i99a0eea5510f4d469c84e2501614122e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Subsidiaries of the Company and other parties are also defendants in a lawsuit filed in May 2020 in which employees of a sterilization customer of Sterigenics allege they were injured while working at the customer’s distribution facility by exposure to residual EO allegedly emanating from products of the customer that had been sterilized by Sterigenics. The case is proceeding in the Superior Court of Cobb County on plaintiffs’ Fifth Amended Complaint. Pursuant to the customer’s contract with Sterigenics, the customer is indemnifying Sterigenics against this lawsuit.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July 31, 2026, approximately 305 lawsuits have been filed in the Georgia Trial Court against subsidiaries of the Company and other parties in which plaintiffs allege property devaluation resulting from use, emissions and releases of EO from or at Sterigenics’ Atlanta facility. These cases have been consolidated for pretrial purposes (the “Consolidated Property Cases”). Proceedings in a pool of nine of the Consolidated Property Cases are governed by case management orders pursuant to which the parties completed discovery and defendants filed motions to exclude certain plaintiffs’ expert testimony and motions for summary judgment, which remain pending. The remaining cases are stayed.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Illinois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Lawsuits against subsidiaries of the Company and other parties have been filed in the Circuit Court of Cook County, Illinois, by plaintiffs alleging personal injury or wrongful death resulting from use, emissions and releases of EO from Sterigenics’ former Willowbrook facility (the “Illinois Cases”). As of July 31, 2026, subsidiaries of the Company and other parties are defendants in approximately 15 Illinois Cases that are in various stages of pleadings, motions practice and fact discovery.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New Mexico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June 24, 2026, the Company and certain subsidiaries agreed with the State of New Mexico to settle the lawsuit filed by the New Mexico Attorney General in the Third Judicial District Court, Doña Ana County, New Mexico (the “Trial Court”) in December 2020. The settlement, which was entered into without any admission of liability or wrongdoing by any defendant, fully and finally resolved all claims asserted, or that could have been asserted, in the litigation for an amount that was not material to the Company. On July 7, 2026, the Trial Court entered a Consent Order Dissolving Preliminary Injunction and an Order of Dismissal With Prejudice.</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 *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Additional EO lawsuits have been threatened relating to Sterigenics’ current and former EO sterilization facilities in the United States and may be filed in the future. These threats of additional EO lawsuits are comparable to threats that have similarly been made against other companies within our industry. Based on our view of the strength of the science and related evidence that emissions of EO from Sterigenics’ operations have not caused and could not have caused the harms alleged in such lawsuits, we believe that losses in the remaining or future EO cases through trials and any appeals that may prove necessary are not probable. Although the Company is vigorously defending against the EO tort claims, future settlements of EO tort claims are reasonably possible. The previously disclosed settlements of certain cases related to our facilities in Willowbrook and Atlanta were driven by dynamics unique to the claims that were settled and thus should not give rise to presumptions that the Company will settle additional EO tort claims and/or that any such settlements will be for comparable amounts.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Potential trial and settlement outcomes can vary widely based on a host of factors. EO tort lawsuits will be presided over by different judges, tried by different counsel presenting different evidence and decided by different juries. The substantive and procedural laws of jurisdictions vary and can meaningfully impact the litigation process and outcome of a case. Each plaintiff’s claim involves unique facts and evidence, including the circumstances of the plaintiff’s alleged exposure, the type and severity of the plaintiff’s disease, the plaintiff’s medical history and course of treatment, the location of and other factors related to the plaintiff’s real property, and other circumstances. The outcomes of trials before juries are rarely certain and a judgment rendered or settlement reached in one case is not necessarily representative of potential outcomes of other seemingly comparable cases. As a result, it is not possible to estimate a reasonably possible loss or range of loss with respect to any future EO tort lawsuit, trial or settlement. We are vigorously defending the EO tort lawsuits.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14.Financial Instruments and Financial Risk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do not use derivatives for trading or speculative purposes and are not a party to leveraged derivatives.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33" w:before="0" w:after="0"/>
        <w:jc w:val="left"/>
        <w:rPr/>
      </w:pPr>
      <w:hyperlink w:anchor="i99a0eea5510f4d469c84e2501614122e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Derivatives Designated in Hedge Relationships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utilizes interest rate derivatives designated in hedge relationships to manage interest rate risk associated with our variable rate borrowings. These instruments are measured at fair value with changes in fair value recorded as a component of “Accumulated other comprehensive loss” on our Consolidated Balance Sheets.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March 2025, we entered into an interest rate swap agreement with a notional amount of $400.0 million. The interest rate swap was effective on August 31, 2025 and expires on August 31, 2027. We receive interest at the one-month Term SOFR rate and pay a fixed interest rate under the terms of the swap agreement. In March 2023, we entered into an interest rate swap agreement with a notional amount of $400.0 million. The interest rate swap was effective on August 23, 2023 and expired on August 23, 2025. We received interest at the one-month Term SOFR rate and paid a fixed interest rate under the terms of the swap agreement.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designated both interest rate swaps as cash flow hedges designed to hedge the variability of cash flows attributable to changes in the SOFR benchmark interest rate of our Term Loan (or any successor thereto).</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Derivatives Not Designated in Hedge Relationships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also enters into foreign currency forward contracts to manage foreign currency exchange rate risk of our intercompany loans in certain of our international subsidiaries and non-functional currency assets and liabilities. The foreign currency forward contracts expire on a monthly basis. These foreign currency derivatives are not designated in hedge relationships.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Embedded Derivatives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summary of the notional and fair values of our derivative instruments: </w:t>
      </w:r>
    </w:p>
    <w:tbl>
      <w:tblPr>
        <w:tblW w:w="10205" w:type="dxa"/>
        <w:jc w:val="left"/>
        <w:tblInd w:w="0" w:type="dxa"/>
        <w:tblLayout w:type="fixed"/>
        <w:tblCellMar>
          <w:top w:w="28" w:type="dxa"/>
          <w:left w:w="28" w:type="dxa"/>
          <w:bottom w:w="28" w:type="dxa"/>
          <w:right w:w="28" w:type="dxa"/>
        </w:tblCellMar>
      </w:tblPr>
      <w:tblGrid>
        <w:gridCol w:w="1107"/>
        <w:gridCol w:w="876"/>
        <w:gridCol w:w="87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10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8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U.S. Dollars; notional in millions, fair value in thousands)</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Notional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Derivative</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Derivative</w:t>
              <w:b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Notional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Derivative</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Derivative</w:t>
              <w:br/>
              <w:t>Liabilities</w:t>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662.0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(a)Represents the total notional amounts for certain of the Company’s supply and sales contracts accounted for as embedded derivatives.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derivatives assets/liabilities and foreign currency forward contracts are included in “Prepaid expenses and other current assets” and “Accrued liabilities” on our Consolidated Balance Sheets depending upon their position at period end. Interest rate swaps are included in “Other assets” and “Noncurrent liabilities” on the Consolidated Balance Sheets depending upon their position at period 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33" w:before="0" w:after="0"/>
        <w:jc w:val="left"/>
        <w:rPr/>
      </w:pPr>
      <w:hyperlink w:anchor="i99a0eea5510f4d469c84e2501614122e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activities of our derivative instruments for the periods presented, and the line item they are recorded in the Consolidated Statements of Operations and Comprehensive Income:</w:t>
      </w:r>
    </w:p>
    <w:tbl>
      <w:tblPr>
        <w:tblW w:w="10205" w:type="dxa"/>
        <w:jc w:val="left"/>
        <w:tblInd w:w="0" w:type="dxa"/>
        <w:tblLayout w:type="fixed"/>
        <w:tblCellMar>
          <w:top w:w="28" w:type="dxa"/>
          <w:left w:w="28" w:type="dxa"/>
          <w:bottom w:w="28" w:type="dxa"/>
          <w:right w:w="28" w:type="dxa"/>
        </w:tblCellMar>
      </w:tblPr>
      <w:tblGrid>
        <w:gridCol w:w="2101"/>
        <w:gridCol w:w="1804"/>
        <w:gridCol w:w="1809"/>
        <w:gridCol w:w="264"/>
        <w:gridCol w:w="404"/>
        <w:gridCol w:w="125"/>
        <w:gridCol w:w="125"/>
        <w:gridCol w:w="125"/>
        <w:gridCol w:w="125"/>
        <w:gridCol w:w="242"/>
        <w:gridCol w:w="600"/>
        <w:gridCol w:w="125"/>
        <w:gridCol w:w="109"/>
        <w:gridCol w:w="109"/>
        <w:gridCol w:w="109"/>
        <w:gridCol w:w="219"/>
        <w:gridCol w:w="432"/>
        <w:gridCol w:w="112"/>
        <w:gridCol w:w="112"/>
        <w:gridCol w:w="112"/>
        <w:gridCol w:w="112"/>
        <w:gridCol w:w="219"/>
        <w:gridCol w:w="541"/>
        <w:gridCol w:w="170"/>
      </w:tblGrid>
      <w:tr>
        <w:trPr/>
        <w:tc>
          <w:tcPr>
            <w:tcW w:w="2101"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21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Six Months Ended June 30,</w:t>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pPr>
            <w:r>
              <w:rPr>
                <w:rFonts w:ascii="Times New Roman;serif" w:hAnsi="Times New Roman;serif"/>
                <w:b w:val="false"/>
                <w:color w:val="000000"/>
                <w:sz w:val="20"/>
              </w:rPr>
              <w:t>Realized gain on interest rate derivatives recorded in interest expense, net</w:t>
            </w:r>
            <w:r>
              <w:rPr>
                <w:rFonts w:ascii="Times New Roman;serif" w:hAnsi="Times New Roman;serif"/>
                <w:b w:val="false"/>
                <w:color w:val="000000"/>
                <w:sz w:val="13"/>
              </w:rPr>
              <w:t>(a)</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embedded derivatives recorded in other income, net</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(512)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682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(1,994)</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Realized gain on foreign currency forward contracts recorded in foreign exchange (gain) loss </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(1,830)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(614)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(8,170)</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foreign currency forward contracts recorded in foreign exchange (gain) loss</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18"/>
        </w:rPr>
        <w:t xml:space="preserve">(a) </w:t>
      </w:r>
      <w:r>
        <w:rPr>
          <w:rFonts w:ascii="Times New Roman;serif" w:hAnsi="Times New Roman;serif"/>
          <w:b w:val="false"/>
          <w:color w:val="000000"/>
          <w:sz w:val="20"/>
        </w:rPr>
        <w:t>For the three and six months ended June 30, 2026 and 2025, amounts represent settlement payments on interest rate swaps.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Credit Risk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our financial assets, including cash and cash equivalents, are exposed to credit risk.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exposed, in our normal course of business, to credit risk from our customers. As of June 30, 2026 and December 31, 2025, accounts receivable was net of an allowance for uncollectible accounts of $2.8 million and $3.0 million, respectively.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credit team evaluates and regularly monitors changes in the credit risk of our customers. We routinely assess the collectability of accounts receivable and maintain an adequate allowance for uncollectible accounts to address potential credit losses. The process includes a review of customer financial information and credit ratings, current market conditions as well as the expected future economic conditions that may impact the collection of trade receivables. We regularly review our customers’ past due amounts through an analysis of aged accounts receivables, specific customer past due aging amounts, and the history of trade receivables written off. Upon concluding that a receivable balance is not collectible, the balance is written off against the allowance for uncollectible accounts.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Fair Value Hierarchy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33" w:before="0" w:after="0"/>
        <w:jc w:val="left"/>
        <w:rPr/>
      </w:pPr>
      <w:hyperlink w:anchor="i99a0eea5510f4d469c84e2501614122e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discloses the fair value of our financial assets and liabilities: </w:t>
      </w:r>
    </w:p>
    <w:tbl>
      <w:tblPr>
        <w:tblW w:w="9057" w:type="dxa"/>
        <w:jc w:val="left"/>
        <w:tblInd w:w="0" w:type="dxa"/>
        <w:tblLayout w:type="fixed"/>
        <w:tblCellMar>
          <w:top w:w="28" w:type="dxa"/>
          <w:left w:w="28" w:type="dxa"/>
          <w:bottom w:w="28" w:type="dxa"/>
          <w:right w:w="28" w:type="dxa"/>
        </w:tblCellMar>
      </w:tblPr>
      <w:tblGrid>
        <w:gridCol w:w="1579"/>
        <w:gridCol w:w="1390"/>
        <w:gridCol w:w="1410"/>
        <w:gridCol w:w="248"/>
        <w:gridCol w:w="743"/>
        <w:gridCol w:w="109"/>
        <w:gridCol w:w="109"/>
        <w:gridCol w:w="109"/>
        <w:gridCol w:w="109"/>
        <w:gridCol w:w="211"/>
        <w:gridCol w:w="406"/>
        <w:gridCol w:w="109"/>
        <w:gridCol w:w="109"/>
        <w:gridCol w:w="109"/>
        <w:gridCol w:w="109"/>
        <w:gridCol w:w="248"/>
        <w:gridCol w:w="743"/>
        <w:gridCol w:w="109"/>
        <w:gridCol w:w="109"/>
        <w:gridCol w:w="109"/>
        <w:gridCol w:w="109"/>
        <w:gridCol w:w="211"/>
        <w:gridCol w:w="406"/>
        <w:gridCol w:w="154"/>
      </w:tblGrid>
      <w:tr>
        <w:trPr/>
        <w:tc>
          <w:tcPr>
            <w:tcW w:w="1579"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June 30, 2026</w:t>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erif" w:hAnsi="Times New Roman;serif"/>
                <w:b/>
                <w:color w:val="000000"/>
                <w:sz w:val="16"/>
              </w:rPr>
            </w:pPr>
            <w:r>
              <w:rPr>
                <w:rFonts w:ascii="Times New Roman;serif" w:hAnsi="Times New Roman;serif"/>
                <w:b/>
                <w:color w:val="000000"/>
                <w:sz w:val="16"/>
              </w:rPr>
              <w:t xml:space="preserve">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erif" w:hAnsi="Times New Roman;serif"/>
                <w:b/>
                <w:color w:val="000000"/>
                <w:sz w:val="16"/>
              </w:rPr>
            </w:pPr>
            <w:r>
              <w:rPr>
                <w:rFonts w:ascii="Times New Roman;serif" w:hAnsi="Times New Roman;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erif" w:hAnsi="Times New Roman;serif"/>
                <w:b/>
                <w:color w:val="000000"/>
                <w:sz w:val="16"/>
              </w:rPr>
            </w:pPr>
            <w:r>
              <w:rPr>
                <w:rFonts w:ascii="Times New Roman;serif" w:hAnsi="Times New Roman;serif"/>
                <w:b/>
                <w:color w:val="000000"/>
                <w:sz w:val="16"/>
              </w:rPr>
              <w:t xml:space="preserve">Level 3 </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Derivatives designated as hedging instruments</w:t>
            </w:r>
            <w:r>
              <w:rPr>
                <w:rFonts w:ascii="Times New Roman;serif" w:hAnsi="Times New Roman;serif"/>
                <w:b w:val="false"/>
                <w:color w:val="000000"/>
                <w:sz w:val="13"/>
              </w:rPr>
              <w:t>(a)</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asset</w:t>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Derivatives not designated as hedging instruments</w:t>
            </w:r>
            <w:r>
              <w:rPr>
                <w:rFonts w:ascii="Times New Roman;serif" w:hAnsi="Times New Roman;serif"/>
                <w:b w:val="false"/>
                <w:color w:val="000000"/>
                <w:sz w:val="13"/>
              </w:rPr>
              <w:t>(b)</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 liabilities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 assets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 liabilities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Current portion of long-term debt</w:t>
            </w:r>
            <w:r>
              <w:rPr>
                <w:rFonts w:ascii="Times New Roman;serif" w:hAnsi="Times New Roman;serif"/>
                <w:b w:val="false"/>
                <w:color w:val="000000"/>
                <w:sz w:val="13"/>
              </w:rPr>
              <w:t>(c)</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2031</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13,923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14,159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Long-Term Debt</w:t>
            </w:r>
            <w:r>
              <w:rPr>
                <w:rFonts w:ascii="Times New Roman;serif" w:hAnsi="Times New Roman;serif"/>
                <w:b w:val="false"/>
                <w:color w:val="000000"/>
                <w:sz w:val="13"/>
              </w:rPr>
              <w:t>(c)</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Secured Notes, due 2031</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747,160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774,375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2031</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1,378,374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1,401,756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Finance Lease Obligations (with current portion)</w:t>
            </w:r>
            <w:r>
              <w:rPr>
                <w:rFonts w:ascii="Times New Roman;serif" w:hAnsi="Times New Roman;serif"/>
                <w:b w:val="false"/>
                <w:color w:val="000000"/>
                <w:sz w:val="13"/>
              </w:rPr>
              <w:t>(d)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95,307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95,307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027" w:type="dxa"/>
        <w:jc w:val="left"/>
        <w:tblInd w:w="0" w:type="dxa"/>
        <w:tblLayout w:type="fixed"/>
        <w:tblCellMar>
          <w:top w:w="28" w:type="dxa"/>
          <w:left w:w="28" w:type="dxa"/>
          <w:bottom w:w="28" w:type="dxa"/>
          <w:right w:w="28" w:type="dxa"/>
        </w:tblCellMar>
      </w:tblPr>
      <w:tblGrid>
        <w:gridCol w:w="1583"/>
        <w:gridCol w:w="1395"/>
        <w:gridCol w:w="1401"/>
        <w:gridCol w:w="249"/>
        <w:gridCol w:w="727"/>
        <w:gridCol w:w="109"/>
        <w:gridCol w:w="109"/>
        <w:gridCol w:w="109"/>
        <w:gridCol w:w="109"/>
        <w:gridCol w:w="211"/>
        <w:gridCol w:w="406"/>
        <w:gridCol w:w="109"/>
        <w:gridCol w:w="109"/>
        <w:gridCol w:w="109"/>
        <w:gridCol w:w="109"/>
        <w:gridCol w:w="249"/>
        <w:gridCol w:w="727"/>
        <w:gridCol w:w="109"/>
        <w:gridCol w:w="109"/>
        <w:gridCol w:w="109"/>
        <w:gridCol w:w="109"/>
        <w:gridCol w:w="211"/>
        <w:gridCol w:w="406"/>
        <w:gridCol w:w="154"/>
      </w:tblGrid>
      <w:tr>
        <w:trPr/>
        <w:tc>
          <w:tcPr>
            <w:tcW w:w="158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December 31, 2025</w:t>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0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erif" w:hAnsi="Times New Roman;serif"/>
                <w:b/>
                <w:color w:val="000000"/>
                <w:sz w:val="16"/>
              </w:rPr>
            </w:pPr>
            <w:r>
              <w:rPr>
                <w:rFonts w:ascii="Times New Roman;serif" w:hAnsi="Times New Roman;serif"/>
                <w:b/>
                <w:color w:val="000000"/>
                <w:sz w:val="16"/>
              </w:rPr>
              <w:t xml:space="preserve">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erif" w:hAnsi="Times New Roman;serif"/>
                <w:b/>
                <w:color w:val="000000"/>
                <w:sz w:val="16"/>
              </w:rPr>
            </w:pPr>
            <w:r>
              <w:rPr>
                <w:rFonts w:ascii="Times New Roman;serif" w:hAnsi="Times New Roman;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erif" w:hAnsi="Times New Roman;serif"/>
                <w:b/>
                <w:color w:val="000000"/>
                <w:sz w:val="16"/>
              </w:rPr>
            </w:pPr>
            <w:r>
              <w:rPr>
                <w:rFonts w:ascii="Times New Roman;serif" w:hAnsi="Times New Roman;serif"/>
                <w:b/>
                <w:color w:val="000000"/>
                <w:sz w:val="16"/>
              </w:rPr>
              <w:t xml:space="preserve">Level 3 </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Derivatives designated as hedging instruments</w:t>
            </w:r>
            <w:r>
              <w:rPr>
                <w:rFonts w:ascii="Times New Roman;serif" w:hAnsi="Times New Roman;serif"/>
                <w:b w:val="false"/>
                <w:color w:val="000000"/>
                <w:sz w:val="13"/>
              </w:rPr>
              <w:t>(a)</w:t>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liability</w:t>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Derivatives not designated as hedging instruments</w:t>
            </w:r>
            <w:r>
              <w:rPr>
                <w:rFonts w:ascii="Times New Roman;serif" w:hAnsi="Times New Roman;serif"/>
                <w:b w:val="false"/>
                <w:color w:val="000000"/>
                <w:sz w:val="13"/>
              </w:rPr>
              <w:t>(b)</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 assets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 liabilities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Current portion of long-term debt</w:t>
            </w:r>
            <w:r>
              <w:rPr>
                <w:rFonts w:ascii="Times New Roman;serif" w:hAnsi="Times New Roman;serif"/>
                <w:b w:val="false"/>
                <w:color w:val="000000"/>
                <w:sz w:val="13"/>
              </w:rPr>
              <w:t>(c)</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2031</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Long-Term Debt</w:t>
            </w:r>
            <w:r>
              <w:rPr>
                <w:rFonts w:ascii="Times New Roman;serif" w:hAnsi="Times New Roman;serif"/>
                <w:b w:val="false"/>
                <w:color w:val="000000"/>
                <w:sz w:val="13"/>
              </w:rPr>
              <w:t>(c)</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Secured Notes, due 2031</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2031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1,379,853 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1,410,539 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Finance Lease Obligations (with current portion)</w:t>
            </w:r>
            <w:r>
              <w:rPr>
                <w:rFonts w:ascii="Times New Roman;serif" w:hAnsi="Times New Roman;serif"/>
                <w:b w:val="false"/>
                <w:color w:val="000000"/>
                <w:sz w:val="13"/>
              </w:rPr>
              <w:t>(d)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(a)Derivatives designated as hedging instruments are measured at fair value with changes in fair value recorded as a component of accumulated other comprehensive income (loss). Interest rate swaps are valued using pricing models that incorporate observable market inputs including interest rate curves and yield curves.</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(b)Derivatives that are not designated as hedging instruments are measured at fair value with gains or losses recognized immediately in the Consolidated Statements of Operations and Comprehensive Income. Embedded derivatives are valued using internally developed models that rely on observable market inputs, including foreign currency forward curves. Foreign currency forward contracts are valued by reference to changes in foreign currency exchange rates over the life of the contract.</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(c)Carrying amounts of current portion of long-term debt and long-term debt instruments are reported net of discounts and debt issuance costs. The estimated fair value of these instruments are based upon quoted prices for the Term Loan and the Secured Notes in inactive markets as provided by an independent fixed income security pricing service.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(d)Fair value approximates carrying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33" w:before="0" w:after="0"/>
        <w:jc w:val="left"/>
        <w:rPr/>
      </w:pPr>
      <w:hyperlink w:anchor="i99a0eea5510f4d469c84e2501614122e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15.Segment Information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decision-maker (“CODM”), the Chief Executive Officer of Sotera Health Company, evaluates performance and allocates resources based on net revenues and segment income after the elimination of intercompany activities. The CODM uses these performance measures to inform decisions about the operations of the business and dedication of resources to selling and general administrative matters pertinent to the Company. The accounting policies of our reportable segments are the same as those described in Note 1, “Significant Accounting Policies,” of the Company’s annual consolidated financial statements and accompanying notes in our 2025 10-K.</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Sterigenics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Sterigenics provides outsourced terminal sterilization and irradiation services for the medical device, pharmaceutical, food safety and advanced applications markets using four major technologies: gamma irradiation, EO processing, E-beam and X-Ray irradiation.</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Nordion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 </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Nelson Labs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Nelson Labs provides outsourced microbiological and analytical chemistry testing and advisory services for the medical device and pharmaceutical industries. </w:t>
      </w:r>
    </w:p>
    <w:tbl>
      <w:tblPr>
        <w:tblW w:w="8198" w:type="dxa"/>
        <w:jc w:val="left"/>
        <w:tblInd w:w="0" w:type="dxa"/>
        <w:tblLayout w:type="fixed"/>
        <w:tblCellMar>
          <w:top w:w="28" w:type="dxa"/>
          <w:left w:w="28" w:type="dxa"/>
          <w:bottom w:w="28" w:type="dxa"/>
          <w:right w:w="28" w:type="dxa"/>
        </w:tblCellMar>
      </w:tblPr>
      <w:tblGrid>
        <w:gridCol w:w="962"/>
        <w:gridCol w:w="845"/>
        <w:gridCol w:w="848"/>
        <w:gridCol w:w="211"/>
        <w:gridCol w:w="841"/>
        <w:gridCol w:w="109"/>
        <w:gridCol w:w="109"/>
        <w:gridCol w:w="109"/>
        <w:gridCol w:w="109"/>
        <w:gridCol w:w="211"/>
        <w:gridCol w:w="736"/>
        <w:gridCol w:w="109"/>
        <w:gridCol w:w="109"/>
        <w:gridCol w:w="109"/>
        <w:gridCol w:w="109"/>
        <w:gridCol w:w="227"/>
        <w:gridCol w:w="795"/>
        <w:gridCol w:w="117"/>
        <w:gridCol w:w="109"/>
        <w:gridCol w:w="109"/>
        <w:gridCol w:w="109"/>
        <w:gridCol w:w="211"/>
        <w:gridCol w:w="841"/>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revenues</w:t>
            </w:r>
            <w:r>
              <w:rPr>
                <w:rFonts w:ascii="Times New Roman;serif" w:hAnsi="Times New Roman;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60,655 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Segment expenses</w:t>
            </w:r>
            <w:r>
              <w:rPr>
                <w:rFonts w:ascii="Times New Roman;serif" w:hAnsi="Times New Roman;serif"/>
                <w:b w:val="false"/>
                <w:color w:val="000000"/>
                <w:sz w:val="13"/>
              </w:rPr>
              <w:t>(b)</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Corporate expense allocation</w:t>
            </w:r>
            <w:r>
              <w:rPr>
                <w:rFonts w:ascii="Times New Roman;serif" w:hAnsi="Times New Roman;serif"/>
                <w:b w:val="false"/>
                <w:color w:val="000000"/>
                <w:sz w:val="13"/>
              </w:rPr>
              <w:t>(c)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118,125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27,980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19,634</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165,739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205" w:type="dxa"/>
        <w:jc w:val="left"/>
        <w:tblInd w:w="0" w:type="dxa"/>
        <w:tblLayout w:type="fixed"/>
        <w:tblCellMar>
          <w:top w:w="28" w:type="dxa"/>
          <w:left w:w="28" w:type="dxa"/>
          <w:bottom w:w="28" w:type="dxa"/>
          <w:right w:w="28" w:type="dxa"/>
        </w:tblCellMar>
      </w:tblPr>
      <w:tblGrid>
        <w:gridCol w:w="962"/>
        <w:gridCol w:w="845"/>
        <w:gridCol w:w="848"/>
        <w:gridCol w:w="211"/>
        <w:gridCol w:w="841"/>
        <w:gridCol w:w="109"/>
        <w:gridCol w:w="109"/>
        <w:gridCol w:w="109"/>
        <w:gridCol w:w="109"/>
        <w:gridCol w:w="211"/>
        <w:gridCol w:w="736"/>
        <w:gridCol w:w="109"/>
        <w:gridCol w:w="109"/>
        <w:gridCol w:w="109"/>
        <w:gridCol w:w="109"/>
        <w:gridCol w:w="211"/>
        <w:gridCol w:w="826"/>
        <w:gridCol w:w="109"/>
        <w:gridCol w:w="109"/>
        <w:gridCol w:w="109"/>
        <w:gridCol w:w="109"/>
        <w:gridCol w:w="211"/>
        <w:gridCol w:w="841"/>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revenues</w:t>
            </w:r>
            <w:r>
              <w:rPr>
                <w:rFonts w:ascii="Times New Roman;serif" w:hAnsi="Times New Roman;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601,420 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Segment expenses</w:t>
            </w:r>
            <w:r>
              <w:rPr>
                <w:rFonts w:ascii="Times New Roman;serif" w:hAnsi="Times New Roman;serif"/>
                <w:b w:val="false"/>
                <w:color w:val="000000"/>
                <w:sz w:val="13"/>
              </w:rPr>
              <w:t>(b)</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Corporate expense allocation</w:t>
            </w:r>
            <w:r>
              <w:rPr>
                <w:rFonts w:ascii="Times New Roman;serif" w:hAnsi="Times New Roman;serif"/>
                <w:b w:val="false"/>
                <w:color w:val="000000"/>
                <w:sz w:val="13"/>
              </w:rPr>
              <w:t>(c)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214,539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51,691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34,162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300,392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198" w:type="dxa"/>
        <w:jc w:val="left"/>
        <w:tblInd w:w="0" w:type="dxa"/>
        <w:tblLayout w:type="fixed"/>
        <w:tblCellMar>
          <w:top w:w="28" w:type="dxa"/>
          <w:left w:w="28" w:type="dxa"/>
          <w:bottom w:w="28" w:type="dxa"/>
          <w:right w:w="28" w:type="dxa"/>
        </w:tblCellMar>
      </w:tblPr>
      <w:tblGrid>
        <w:gridCol w:w="962"/>
        <w:gridCol w:w="845"/>
        <w:gridCol w:w="848"/>
        <w:gridCol w:w="211"/>
        <w:gridCol w:w="841"/>
        <w:gridCol w:w="109"/>
        <w:gridCol w:w="109"/>
        <w:gridCol w:w="109"/>
        <w:gridCol w:w="109"/>
        <w:gridCol w:w="211"/>
        <w:gridCol w:w="736"/>
        <w:gridCol w:w="109"/>
        <w:gridCol w:w="109"/>
        <w:gridCol w:w="109"/>
        <w:gridCol w:w="109"/>
        <w:gridCol w:w="227"/>
        <w:gridCol w:w="795"/>
        <w:gridCol w:w="117"/>
        <w:gridCol w:w="109"/>
        <w:gridCol w:w="109"/>
        <w:gridCol w:w="109"/>
        <w:gridCol w:w="211"/>
        <w:gridCol w:w="841"/>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revenues</w:t>
            </w:r>
            <w:r>
              <w:rPr>
                <w:rFonts w:ascii="Times New Roman;serif" w:hAnsi="Times New Roman;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57,071 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294,341 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Segment expenses</w:t>
            </w:r>
            <w:r>
              <w:rPr>
                <w:rFonts w:ascii="Times New Roman;serif" w:hAnsi="Times New Roman;serif"/>
                <w:b w:val="false"/>
                <w:color w:val="000000"/>
                <w:sz w:val="13"/>
              </w:rPr>
              <w:t>(b)</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Corporate expense allocation</w:t>
            </w:r>
            <w:r>
              <w:rPr>
                <w:rFonts w:ascii="Times New Roman;serif" w:hAnsi="Times New Roman;serif"/>
                <w:b w:val="false"/>
                <w:color w:val="000000"/>
                <w:sz w:val="13"/>
              </w:rPr>
              <w:t>(c)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107,745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23,477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19,513</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150,735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33" w:before="0" w:after="0"/>
        <w:jc w:val="left"/>
        <w:rPr/>
      </w:pPr>
      <w:hyperlink w:anchor="i99a0eea5510f4d469c84e2501614122e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bl>
      <w:tblPr>
        <w:tblW w:w="8205" w:type="dxa"/>
        <w:jc w:val="left"/>
        <w:tblInd w:w="0" w:type="dxa"/>
        <w:tblLayout w:type="fixed"/>
        <w:tblCellMar>
          <w:top w:w="28" w:type="dxa"/>
          <w:left w:w="28" w:type="dxa"/>
          <w:bottom w:w="28" w:type="dxa"/>
          <w:right w:w="28" w:type="dxa"/>
        </w:tblCellMar>
      </w:tblPr>
      <w:tblGrid>
        <w:gridCol w:w="962"/>
        <w:gridCol w:w="845"/>
        <w:gridCol w:w="848"/>
        <w:gridCol w:w="211"/>
        <w:gridCol w:w="841"/>
        <w:gridCol w:w="109"/>
        <w:gridCol w:w="109"/>
        <w:gridCol w:w="109"/>
        <w:gridCol w:w="109"/>
        <w:gridCol w:w="211"/>
        <w:gridCol w:w="736"/>
        <w:gridCol w:w="109"/>
        <w:gridCol w:w="109"/>
        <w:gridCol w:w="109"/>
        <w:gridCol w:w="109"/>
        <w:gridCol w:w="211"/>
        <w:gridCol w:w="826"/>
        <w:gridCol w:w="109"/>
        <w:gridCol w:w="109"/>
        <w:gridCol w:w="109"/>
        <w:gridCol w:w="109"/>
        <w:gridCol w:w="211"/>
        <w:gridCol w:w="841"/>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revenues</w:t>
            </w:r>
            <w:r>
              <w:rPr>
                <w:rFonts w:ascii="Times New Roman;serif" w:hAnsi="Times New Roman;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548,864 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Segment expenses</w:t>
            </w:r>
            <w:r>
              <w:rPr>
                <w:rFonts w:ascii="Times New Roman;serif" w:hAnsi="Times New Roman;serif"/>
                <w:b w:val="false"/>
                <w:color w:val="000000"/>
                <w:sz w:val="13"/>
              </w:rPr>
              <w:t>(b)</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Corporate expense allocation</w:t>
            </w:r>
            <w:r>
              <w:rPr>
                <w:rFonts w:ascii="Times New Roman;serif" w:hAnsi="Times New Roman;serif"/>
                <w:b w:val="false"/>
                <w:color w:val="000000"/>
                <w:sz w:val="13"/>
              </w:rPr>
              <w:t>(c)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195,749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40,899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35,926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272,574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(a)Revenues are reported net of intersegment sales. Our Nordion segment recognized $10.3 million and $10.5 million in revenues from sales to our Sterigenics segment for the three months ended June 30, 2026 and 2025, respectively, and $29.5 million and $20.3 million in revenues from sales to our Sterigenics segment for the six months ended June 30, 2026 and 2025, respectively, that is not reflected in net revenues in the table above. Intersegment sales for Sterigenics and Nelson Labs are immaterial for all periods presented.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(b)Segment expenses are comprised of direct materials, labor, utilities, other costs of revenues, SG&amp;A and other non-operating expenses (income) attributable to each segment.</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(c)Corporate expenses that are directly incurred by a segment are reflected in each segment’s income. The remaining Corporate expenses for executive management, accounting, information technology, legal, human resources, treasury, investor relations, corporate development, tax, purchasing, and marketing not directly incurred by a segment are allocated to the segments primarily based on total net revenue.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by segment for the six months ended June 30, 2026 and 2025 were as follows:</w:t>
      </w:r>
    </w:p>
    <w:tbl>
      <w:tblPr>
        <w:tblW w:w="4809" w:type="dxa"/>
        <w:jc w:val="left"/>
        <w:tblInd w:w="0" w:type="dxa"/>
        <w:tblLayout w:type="fixed"/>
        <w:tblCellMar>
          <w:top w:w="28" w:type="dxa"/>
          <w:left w:w="28" w:type="dxa"/>
          <w:bottom w:w="28" w:type="dxa"/>
          <w:right w:w="28" w:type="dxa"/>
        </w:tblCellMar>
      </w:tblPr>
      <w:tblGrid>
        <w:gridCol w:w="848"/>
        <w:gridCol w:w="745"/>
        <w:gridCol w:w="747"/>
        <w:gridCol w:w="211"/>
        <w:gridCol w:w="736"/>
        <w:gridCol w:w="109"/>
        <w:gridCol w:w="109"/>
        <w:gridCol w:w="109"/>
        <w:gridCol w:w="109"/>
        <w:gridCol w:w="211"/>
        <w:gridCol w:w="721"/>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77,413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Nordion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7,542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capital expenditures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92,615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Total assets and depreciation and amortization expense by segment are not readily available and are not reported separately to the CODM.</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reconciliation of segment income to consolidated income before income taxes is as follows: </w:t>
      </w:r>
    </w:p>
    <w:tbl>
      <w:tblPr>
        <w:tblW w:w="10205" w:type="dxa"/>
        <w:jc w:val="left"/>
        <w:tblInd w:w="0" w:type="dxa"/>
        <w:tblLayout w:type="fixed"/>
        <w:tblCellMar>
          <w:top w:w="28" w:type="dxa"/>
          <w:left w:w="28" w:type="dxa"/>
          <w:bottom w:w="28" w:type="dxa"/>
          <w:right w:w="28" w:type="dxa"/>
        </w:tblCellMar>
      </w:tblPr>
      <w:tblGrid>
        <w:gridCol w:w="1749"/>
        <w:gridCol w:w="1405"/>
        <w:gridCol w:w="1409"/>
        <w:gridCol w:w="211"/>
        <w:gridCol w:w="841"/>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6"/>
      </w:tblGrid>
      <w:tr>
        <w:trPr/>
        <w:tc>
          <w:tcPr>
            <w:tcW w:w="1749"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26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165,739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300,392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272,574 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Less adjustments: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34,405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69,150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33,328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64,072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erif" w:hAnsi="Times New Roman;serif"/>
                <w:b w:val="false"/>
                <w:color w:val="000000"/>
                <w:sz w:val="20"/>
              </w:rPr>
              <w:t>Share-based compensation</w:t>
            </w:r>
            <w:r>
              <w:rPr>
                <w:rFonts w:ascii="Times New Roman;serif" w:hAnsi="Times New Roman;serif"/>
                <w:b w:val="false"/>
                <w:color w:val="000000"/>
                <w:sz w:val="13"/>
              </w:rPr>
              <w:t>(b)</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7,383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21,825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333" w:before="0" w:after="0"/>
              <w:ind w:left="0" w:right="0" w:hanging="270"/>
              <w:jc w:val="left"/>
              <w:rPr/>
            </w:pPr>
            <w:r>
              <w:rPr>
                <w:rFonts w:ascii="Times New Roman;serif" w:hAnsi="Times New Roman;serif"/>
                <w:b w:val="false"/>
                <w:color w:val="000000"/>
                <w:sz w:val="20"/>
              </w:rPr>
              <w:t>Loss on refinancing of debt</w:t>
            </w:r>
            <w:r>
              <w:rPr>
                <w:rFonts w:ascii="Times New Roman;serif" w:hAnsi="Times New Roman;serif"/>
                <w:b w:val="false"/>
                <w:color w:val="000000"/>
                <w:sz w:val="13"/>
              </w:rPr>
              <w:t>(c)</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Gain on foreign currency and derivatives not designated as hedging instruments, net</w:t>
            </w:r>
            <w:r>
              <w:rPr>
                <w:rFonts w:ascii="Times New Roman;serif" w:hAnsi="Times New Roman;serif"/>
                <w:b w:val="false"/>
                <w:color w:val="000000"/>
                <w:sz w:val="13"/>
              </w:rPr>
              <w:t>(d)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erif" w:hAnsi="Times New Roman;serif"/>
                <w:b w:val="false"/>
                <w:color w:val="000000"/>
                <w:sz w:val="20"/>
              </w:rPr>
              <w:t>Business optimization expenses</w:t>
            </w:r>
            <w:r>
              <w:rPr>
                <w:rFonts w:ascii="Times New Roman;serif" w:hAnsi="Times New Roman;serif"/>
                <w:b w:val="false"/>
                <w:color w:val="000000"/>
                <w:sz w:val="13"/>
              </w:rPr>
              <w:t>(e)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erif" w:hAnsi="Times New Roman;serif"/>
                <w:b w:val="false"/>
                <w:color w:val="000000"/>
                <w:sz w:val="20"/>
              </w:rPr>
              <w:t>Professional services relating to EO sterilization facilities</w:t>
            </w:r>
            <w:r>
              <w:rPr>
                <w:rFonts w:ascii="Times New Roman;serif" w:hAnsi="Times New Roman;serif"/>
                <w:b w:val="false"/>
                <w:color w:val="000000"/>
                <w:sz w:val="13"/>
              </w:rPr>
              <w:t>(f)</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13,349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23,204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333" w:before="0" w:after="0"/>
              <w:ind w:left="0" w:right="0" w:hanging="270"/>
              <w:jc w:val="left"/>
              <w:rPr/>
            </w:pPr>
            <w:r>
              <w:rPr>
                <w:rFonts w:ascii="Times New Roman;serif" w:hAnsi="Times New Roman;serif"/>
                <w:b w:val="false"/>
                <w:color w:val="000000"/>
                <w:sz w:val="20"/>
              </w:rPr>
              <w:t>Illinois EO litigation settlements</w:t>
            </w:r>
            <w:r>
              <w:rPr>
                <w:rFonts w:ascii="Times New Roman;serif" w:hAnsi="Times New Roman;serif"/>
                <w:b w:val="false"/>
                <w:color w:val="000000"/>
                <w:sz w:val="13"/>
              </w:rPr>
              <w:t>(g)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erif" w:hAnsi="Times New Roman;serif"/>
                <w:b w:val="false"/>
                <w:color w:val="000000"/>
                <w:sz w:val="20"/>
              </w:rPr>
              <w:t>Accretion of asset retirement obligation</w:t>
            </w:r>
            <w:r>
              <w:rPr>
                <w:rFonts w:ascii="Times New Roman;serif" w:hAnsi="Times New Roman;serif"/>
                <w:b w:val="false"/>
                <w:color w:val="000000"/>
                <w:sz w:val="13"/>
              </w:rPr>
              <w:t>(h)</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Consolidated income before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78,051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120,664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(a)Includes depreciation of Co-60 held at gamma irradiation sites and excludes accelerated depreciation associated with business optimization activities. </w:t>
      </w:r>
    </w:p>
    <w:p>
      <w:pPr>
        <w:pStyle w:val="TextBody"/>
        <w:bidi w:val="0"/>
        <w:spacing w:lineRule="auto" w:line="288" w:before="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(b)Represents share-based compensation expense related to employees and Non-Employee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33" w:before="0" w:after="0"/>
        <w:jc w:val="left"/>
        <w:rPr/>
      </w:pPr>
      <w:hyperlink w:anchor="i99a0eea5510f4d469c84e2501614122e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(c)Represents the write-off of unamortized debt issuance costs and discounts, as well as certain other costs incurred related to the Refinancing Term Loans and the Revolving Credit Facility.</w:t>
      </w:r>
    </w:p>
    <w:p>
      <w:pPr>
        <w:pStyle w:val="TextBody"/>
        <w:bidi w:val="0"/>
        <w:spacing w:lineRule="auto" w:line="288" w:before="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(d)Represents the effects of (i) fluctuations in foreign currency exchange rates and (ii) non-cash mark-to-fair value of embedded derivatives relating to certain customer and supply contracts at Nordion.</w:t>
      </w:r>
    </w:p>
    <w:p>
      <w:pPr>
        <w:pStyle w:val="TextBody"/>
        <w:bidi w:val="0"/>
        <w:spacing w:lineRule="auto" w:line="288" w:before="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(e)Represents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the secondary offerings and shareholder engagement.</w:t>
      </w:r>
    </w:p>
    <w:p>
      <w:pPr>
        <w:pStyle w:val="TextBody"/>
        <w:bidi w:val="0"/>
        <w:spacing w:lineRule="auto" w:line="288" w:before="40" w:after="283"/>
        <w:ind w:left="0" w:right="0" w:hanging="540"/>
        <w:jc w:val="left"/>
        <w:rPr/>
      </w:pPr>
      <w:r>
        <w:rPr>
          <w:rFonts w:ascii="Times New Roman;serif" w:hAnsi="Times New Roman;serif"/>
          <w:b w:val="false"/>
          <w:color w:val="000000"/>
          <w:sz w:val="20"/>
          <w:shd w:fill="FFFFFF" w:val="clear"/>
        </w:rPr>
        <w:t>(f)</w:t>
      </w:r>
      <w:r>
        <w:rPr>
          <w:rFonts w:ascii="Times New Roman;serif" w:hAnsi="Times New Roman;serif"/>
          <w:b w:val="false"/>
          <w:color w:val="000000"/>
          <w:sz w:val="20"/>
        </w:rPr>
        <w:t xml:space="preserve">Represents litigation and other professional fees associated with our EO sterilization facilities. </w:t>
      </w:r>
    </w:p>
    <w:p>
      <w:pPr>
        <w:pStyle w:val="TextBody"/>
        <w:bidi w:val="0"/>
        <w:spacing w:lineRule="auto" w:line="288" w:before="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(g)Represents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w:t>
      </w:r>
    </w:p>
    <w:p>
      <w:pPr>
        <w:pStyle w:val="TextBody"/>
        <w:bidi w:val="0"/>
        <w:spacing w:lineRule="auto" w:line="288" w:before="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(h)Represents non-cash accretion of asset retirement obligations (“ARO”) related to Co-60 gamma and EO processing facilities, which are based on estimated site remediation costs for any future decommissioning of these facilities and are accreted over the life of the asset.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in conjunction with our consolidated financial statements and related notes included in Part I, Item 1 of this Quarterly Report on Form 10-Q, as well as the audited consolidated financial statements and notes and Management’s Discussion and Analysis of Financial Condition and Results of Operations contained in our 2025 Form 10-K.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the section entitled Part II, Item 1A, “Risk Factors” in this Quarterly Report on Form 10-Q, as well as Part I, Item 1A, “Risk Factors”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left"/>
        <w:rPr/>
      </w:pPr>
      <w:r>
        <w:rPr>
          <w:rFonts w:ascii="Times New Roman;serif" w:hAnsi="Times New Roman;serif"/>
          <w:b w:val="false"/>
          <w:color w:val="000000"/>
          <w:sz w:val="20"/>
        </w:rPr>
        <w:t>We are a leading global provider of mission-critical end-to-end sterilization solutions, lab testing and advisory services for the healthcare industry. We are driven by our mission: Safeguarding Global Health</w:t>
      </w:r>
      <w:r>
        <w:rPr>
          <w:rFonts w:ascii="Times New Roman;serif" w:hAnsi="Times New Roman;serif"/>
          <w:b w:val="false"/>
          <w:color w:val="000000"/>
          <w:sz w:val="10"/>
        </w:rPr>
        <w:t>®</w:t>
      </w:r>
      <w:r>
        <w:rPr>
          <w:rFonts w:ascii="Times New Roman;serif" w:hAnsi="Times New Roman;serif"/>
          <w:b w:val="false"/>
          <w:color w:val="000000"/>
          <w:sz w:val="20"/>
        </w:rPr>
        <w:t xml:space="preserve">. We provide end-to-end sterilization as well as microbiological and analytical lab testing and advisory services to help ensure that medical, pharmaceutical and food products are safe for healthcare practitioners, patients and consumers in the United States and around the world. Our services are an essential aspect of our customers’ manufacturing processes and supply chains, helping to ensure sterilized medical products reach healthcare practitioners and patients. Most of these services are necessary for our customers to satisfy applicable government requirements.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Co-60 supply business, makes us the only vertically integrated global gamma sterilization provider in the sterilization industry. For financial reporting purposes, our sterilization services business is comprised of two reportable segments, Sterigenics and Nordion, and our lab services business constitutes a third reportable segment, Nelson Labs.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respectively, we recorded net revenues of $321.4 million and $601.4 million, net income of $53.6 million and $80.2 million, Adjusted Net Income of $74.0 million and $126.3 million, and Adjusted EBITDA of $165.7 million and $300.4 million. Adjusted Net Income and Adjusted EBITDA are financial measures not based on any standardized methodology prescribed by GAAP. For the definition of Adjusted Net Income and Adjusted EBITDA and the reconciliation of these non-GAAP measures from net income (loss), please see “Non-GAAP Financial Measures.”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CONSOLIDATED RESULTS OF OPERATIONS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Three Months Ended June 30, 2026 as compared to Three Months Ended June 30,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components of our results of operations for the three months ended June 30, 2026 and 2025: </w:t>
      </w:r>
    </w:p>
    <w:tbl>
      <w:tblPr>
        <w:tblW w:w="7448" w:type="dxa"/>
        <w:jc w:val="left"/>
        <w:tblInd w:w="0" w:type="dxa"/>
        <w:tblLayout w:type="fixed"/>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307"/>
        <w:gridCol w:w="309"/>
        <w:gridCol w:w="508"/>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321,375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cost of revenues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143,412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53,643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573.7 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color w:val="000000"/>
                <w:sz w:val="20"/>
              </w:rPr>
              <w:t>Adjusted Net Income</w:t>
            </w:r>
            <w:r>
              <w:rPr>
                <w:rFonts w:ascii="Times New Roman;serif" w:hAnsi="Times New Roman;serif"/>
                <w:b/>
                <w:color w:val="000000"/>
                <w:sz w:val="10"/>
              </w:rPr>
              <w:t>(a)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73,961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color w:val="000000"/>
                <w:sz w:val="20"/>
              </w:rPr>
              <w:t>Adjusted EBITDA</w:t>
            </w:r>
            <w:r>
              <w:rPr>
                <w:rFonts w:ascii="Times New Roman;serif" w:hAnsi="Times New Roman;serif"/>
                <w:b/>
                <w:color w:val="000000"/>
                <w:sz w:val="10"/>
              </w:rPr>
              <w:t>(a)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165,739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540"/>
        <w:jc w:val="left"/>
        <w:rPr/>
      </w:pPr>
      <w:r>
        <w:rPr>
          <w:rFonts w:ascii="Times New Roman;serif" w:hAnsi="Times New Roman;serif"/>
          <w:b w:val="false"/>
          <w:color w:val="000000"/>
          <w:sz w:val="13"/>
        </w:rPr>
        <w:t>(a)</w:t>
      </w:r>
      <w:r>
        <w:rPr>
          <w:rFonts w:ascii="Times New Roman;serif" w:hAnsi="Times New Roman;serif"/>
          <w:b w:val="false"/>
          <w:color w:val="000000"/>
          <w:sz w:val="20"/>
        </w:rPr>
        <w:t xml:space="preserve">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the reconciliation included below in “Non-GAAP Financial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Total Net Revenues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compares our revenues by type for the three months ended June 30, 2026 to the three months ended June 30, 2025.</w:t>
      </w:r>
    </w:p>
    <w:tbl>
      <w:tblPr>
        <w:tblW w:w="9053" w:type="dxa"/>
        <w:jc w:val="left"/>
        <w:tblInd w:w="0" w:type="dxa"/>
        <w:tblLayout w:type="fixed"/>
        <w:tblCellMar>
          <w:top w:w="28" w:type="dxa"/>
          <w:left w:w="28" w:type="dxa"/>
          <w:bottom w:w="28" w:type="dxa"/>
          <w:right w:w="28" w:type="dxa"/>
        </w:tblCellMar>
      </w:tblPr>
      <w:tblGrid>
        <w:gridCol w:w="1343"/>
        <w:gridCol w:w="1179"/>
        <w:gridCol w:w="1183"/>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508"/>
      </w:tblGrid>
      <w:tr>
        <w:trPr/>
        <w:tc>
          <w:tcPr>
            <w:tcW w:w="134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6"/>
                <w:u w:val="single"/>
              </w:rPr>
            </w:pPr>
            <w:r>
              <w:rPr>
                <w:rFonts w:ascii="Times New Roman;serif" w:hAnsi="Times New Roman;serif"/>
                <w:b/>
                <w:color w:val="000000"/>
                <w:sz w:val="16"/>
                <w:u w:val="single"/>
              </w:rPr>
              <w:t>Net revenues for the three months ended June 30,</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278,325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43,050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321,375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294,341 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revenues were $321.4 million for the three months ended June 30, 2026, an increase of $27.0 million, or 9.2%, as compared to the three months ended June 30, 2025. Excluding the impact of foreign currency exchange rates, net revenues for the three months ended June 30, 2026 increased approximately 8.0% compared with the three months ended June 30, 2025.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Service revenues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Service revenues increased $21.1 million, or 8.2%, to $278.3 million for the three months ended June 30, 2026 as compared to $257.2 million for the three months ended June 30, 2025. The growth in net service revenues was primarily driven by pricing in the Sterigenics and Nelson Labs segments, favorable volume/mix across all three segments and changes in foreign currency exchange rates.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Product revenues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Product revenues increased $6.0 million, or 16.0%, to $43.1 million for the three months ended June 30, 2026 as compared to $37.1 million for the three months ended June 30, 2025. The increase was driven by higher revenues from Co-60 in the Nordion segment due to the timing of reactor harvest schedules and favorable pricing, partially offset by changes in foreign currency exchange rates.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Total Cost of Revenues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compares our cost of revenues by type for the three months ended June 30, 2026 to the three months ended June 30, 2025:</w:t>
      </w:r>
    </w:p>
    <w:tbl>
      <w:tblPr>
        <w:tblW w:w="9322" w:type="dxa"/>
        <w:jc w:val="left"/>
        <w:tblInd w:w="0" w:type="dxa"/>
        <w:tblLayout w:type="fixed"/>
        <w:tblCellMar>
          <w:top w:w="28" w:type="dxa"/>
          <w:left w:w="28" w:type="dxa"/>
          <w:bottom w:w="28" w:type="dxa"/>
          <w:right w:w="28" w:type="dxa"/>
        </w:tblCellMar>
      </w:tblPr>
      <w:tblGrid>
        <w:gridCol w:w="1440"/>
        <w:gridCol w:w="1265"/>
        <w:gridCol w:w="1269"/>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508"/>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6"/>
                <w:u w:val="single"/>
              </w:rPr>
            </w:pPr>
            <w:r>
              <w:rPr>
                <w:rFonts w:ascii="Times New Roman;serif" w:hAnsi="Times New Roman;serif"/>
                <w:b/>
                <w:color w:val="000000"/>
                <w:sz w:val="16"/>
                <w:u w:val="single"/>
              </w:rPr>
              <w:t>Cost of revenues for the three months ended June 30,</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126,840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16,572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143,412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cost of revenues accounted for approximately 44.6% and 43.4% of our consolidated net revenues for the three months ended June 30, 2026 and 2025, respectively.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Cost of service revenues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Cost of service revenues increased $13.5 million, or 12.0%, for the three months ended June 30, 2026 as compared to the three months ended June 30, 2025. The increase was driven by higher employee compensation costs and depreciation from capital assets recently placed into service. Changes in foreign currency exchange rates resulted in an unfavorable impact to cost of service revenues for the three months ended June 30, 2026.</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Cost of product revenues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product revenues increased $2.1 million, or 14.9%, for the three months ended June 30, 2026 as compared to the three months ended June 30, 2025. The increase was primarily a result of higher volumes of Co-60 shipments due to the timing of reactor harvest schedules, which resulted in increases in direct material and transportation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SG&amp;A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SG&amp;A expenses decreased $0.7 million, or 1.1%, for the three months ended June 30, 2026 as compared to the three months ended June 30, 2025, driven mainly by a decrease in litigation and other professional services expenses.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Amortization of intangible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decreased $6.3 million to $3.0 million, or 67.6%, for the three months ended June 30, 2026 as compared to the three months ended June 30, 2025. The decline was primarily due to certain intangible assets that were fully amortized in May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Interest Expense, Net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decreased $6.2 million, or 15.4%, for the three months ended June 30, 2026 as compared to the three months ended June 30, 2025, primarily due to a lower interest rate on our Term Loan and a $75.0 million principal paydown. The weighted average interest rate on our outstanding debt was 6.49% and 7.49% for the three months ended June 30, 2026 and 2025, respectively.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Loss on Refinancing of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Loss on refinancing of debt for the three months ended June 30, 2026 was $0.9 million related to Amendment No. 7 to the Credit Agreement. Loss on refinancing of debt for the three months ended June 30, 2025 was $0.1 million related to Amendment No. 5 to the Credit Agreement. The refinancing activity resulted in the write off of certain unamortized debt issuance costs and discounts on the Term Loans. In addition, certain new debt issuance costs and discounts were expensed in connection with the Credit Agreement amendments.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Foreign Exchange (Gain) Loss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was $3.7 million for the three months ended June 30, 2026 as compared to a loss of $0.6 million for the three months ended June 30, 2025. The change in foreign exchange (gain) loss in our Consolidated Statements of Operations and Comprehensive Income mainly relates to short-term gains and losses on transactions and certain assets and liabilities denominated in currencies other than the functional currency of our operating entities.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Other Income, Net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income, net decreased $3.0 million, or 51.0%, for the three months ended June 30, 2026 as compared to the three months ended June 30, 2025, mainly arising from an unfavorable decrease in the net fair value of Nordion’s embedded derivatives for the three months ended June 30, 2026 compared to the same period of the prior year.</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 increased $13.5 million to a net provision of $24.4 million for the three months ended June 30, 2026 as compared to $10.9 million for the three months ended June 30, 2025. The change was primarily attributable to higher pre-tax income for the three months ended June 30, 2026 compared to the three months ended June 30, 2025, partially offset by a decrease in the impact of the valuation allowance attributable to the limitation on the deductibility of interest expense.</w:t>
      </w:r>
    </w:p>
    <w:p>
      <w:pPr>
        <w:pStyle w:val="TextBody"/>
        <w:bidi w:val="0"/>
        <w:spacing w:lineRule="auto" w:line="288" w:before="200" w:after="283"/>
        <w:jc w:val="left"/>
        <w:rPr/>
      </w:pPr>
      <w:r>
        <w:rPr>
          <w:rFonts w:ascii="Times New Roman;serif" w:hAnsi="Times New Roman;serif"/>
          <w:b w:val="false"/>
          <w:color w:val="000000"/>
          <w:sz w:val="20"/>
        </w:rPr>
        <w:t>Provision for income taxes for the three months ended June 30, 2026 differed from the federal statutory rate primarily due to the foreign rate differential, current year permanent differences, including foreign withholding taxes and other non-deductible items, and U.S. state income taxes (net of federal tax benefit).</w:t>
      </w:r>
      <w:r>
        <w:rPr>
          <w:color w:val="000000"/>
          <w:shd w:fill="FFFFFF" w:val="clear"/>
        </w:rPr>
        <w:t xml:space="preserve"> </w:t>
      </w:r>
      <w:r>
        <w:rPr>
          <w:rFonts w:ascii="Times New Roman;serif" w:hAnsi="Times New Roman;serif"/>
          <w:b w:val="false"/>
          <w:color w:val="000000"/>
          <w:sz w:val="20"/>
          <w:shd w:fill="FFFFFF" w:val="clear"/>
        </w:rPr>
        <w:t>Income tax expense for the three</w:t>
      </w:r>
      <w:r>
        <w:rPr>
          <w:color w:val="000000"/>
        </w:rPr>
        <w:t xml:space="preserve"> </w:t>
      </w:r>
      <w:r>
        <w:rPr>
          <w:rFonts w:ascii="Times New Roman;serif" w:hAnsi="Times New Roman;serif"/>
          <w:b w:val="false"/>
          <w:color w:val="000000"/>
          <w:sz w:val="20"/>
          <w:shd w:fill="FFFFFF" w:val="clear"/>
        </w:rPr>
        <w:t>months ended June 30, 2025 differed from the statutory rate primarily due to the valuation allowance attributable to the limitation on the deductibility of interest expense, the impact of the foreign rate differential and current year permanent tax differences, partially offset by a benefit for state income taxes.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Net Income, Adjusted Net Income and Adjusted EBITDA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income for the three months ended June 30, 2026 was $53.6 million as compared to net income of $8.0 million for the three months ended June 30, 2025 due to the factors described above. Adjusted Net Income was $74.0 million for the three months ended June 30, 2026, as compared to $56.1 million for the three months ended June 30, 2025, and Adjusted EBITDA was $165.7 million for the three months ended June 30, 2026 as compared to $150.7 million for the three months ended June 30, 2025. Please see “Non-GAAP Financial Measures” below for a reconciliation of Adjusted Net Income and Adjusted EBITDA to their most directly comparable financial measure calculated and presented in accordance with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Six Months Ended June 30, 2026 as compared to Six Months Ended June 30,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components of our results of operations for the six months ended June 30, 2026 and 2025. </w:t>
      </w:r>
    </w:p>
    <w:tbl>
      <w:tblPr>
        <w:tblW w:w="7553" w:type="dxa"/>
        <w:jc w:val="left"/>
        <w:tblInd w:w="0" w:type="dxa"/>
        <w:tblLayout w:type="fixed"/>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359"/>
        <w:gridCol w:w="362"/>
        <w:gridCol w:w="508"/>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601,420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cost of revenues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276,388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Net income (loss)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80,232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1614.4 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color w:val="000000"/>
                <w:sz w:val="20"/>
              </w:rPr>
              <w:t>Adjusted Net Income</w:t>
            </w:r>
            <w:r>
              <w:rPr>
                <w:rFonts w:ascii="Times New Roman;serif" w:hAnsi="Times New Roman;serif"/>
                <w:b/>
                <w:color w:val="000000"/>
                <w:sz w:val="10"/>
              </w:rPr>
              <w:t>(a)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126,327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color w:val="000000"/>
                <w:sz w:val="20"/>
              </w:rPr>
              <w:t>Adjusted EBITDA</w:t>
            </w:r>
            <w:r>
              <w:rPr>
                <w:rFonts w:ascii="Times New Roman;serif" w:hAnsi="Times New Roman;serif"/>
                <w:b/>
                <w:color w:val="000000"/>
                <w:sz w:val="10"/>
              </w:rPr>
              <w:t>(a)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300,392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540"/>
        <w:jc w:val="left"/>
        <w:rPr/>
      </w:pPr>
      <w:r>
        <w:rPr>
          <w:rFonts w:ascii="Times New Roman;serif" w:hAnsi="Times New Roman;serif"/>
          <w:b w:val="false"/>
          <w:color w:val="000000"/>
          <w:sz w:val="13"/>
        </w:rPr>
        <w:t>(a)</w:t>
      </w:r>
      <w:r>
        <w:rPr>
          <w:rFonts w:ascii="Times New Roman;serif" w:hAnsi="Times New Roman;serif"/>
          <w:b w:val="false"/>
          <w:color w:val="000000"/>
          <w:sz w:val="20"/>
        </w:rPr>
        <w:t xml:space="preserve">Adjusted Net Income and Adjusted EBITDA are non-GAAP financial measures. For more information regarding our calculation of Adjusted Net Income and Adjusted EBITDA, including information about their limitations as tools for analysis and a reconciliation of net income (loss), the most directly comparable financial measure calculated and presented in accordance with GAAP, to Adjusted Net Income and Adjusted EBITDA, please see the reconciliation included below in “Non-GAAP Financial Measures.”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Total Net Revenues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compares our net revenues by type for the six months ended June 30, 2026 to the six months ended June 30, 2025:</w:t>
      </w:r>
    </w:p>
    <w:tbl>
      <w:tblPr>
        <w:tblW w:w="8872" w:type="dxa"/>
        <w:jc w:val="left"/>
        <w:tblInd w:w="0" w:type="dxa"/>
        <w:tblLayout w:type="fixed"/>
        <w:tblCellMar>
          <w:top w:w="28" w:type="dxa"/>
          <w:left w:w="28" w:type="dxa"/>
          <w:bottom w:w="28" w:type="dxa"/>
          <w:right w:w="28" w:type="dxa"/>
        </w:tblCellMar>
      </w:tblPr>
      <w:tblGrid>
        <w:gridCol w:w="1277"/>
        <w:gridCol w:w="1122"/>
        <w:gridCol w:w="1125"/>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508"/>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6"/>
                <w:u w:val="single"/>
              </w:rPr>
            </w:pPr>
            <w:r>
              <w:rPr>
                <w:rFonts w:ascii="Times New Roman;serif" w:hAnsi="Times New Roman;serif"/>
                <w:b/>
                <w:color w:val="000000"/>
                <w:sz w:val="16"/>
                <w:u w:val="single"/>
              </w:rPr>
              <w:t>Net revenues for the six months ended June 30,</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519,933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81,487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601,420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revenues were $601.4 million for the six months ended June 30, 2026, an increase of $52.6 million, or 9.6%, as compared to the six months ended June 30, 2025. Excluding the impact of foreign currency exchange rates, net revenues for the six months ended June 30, 2026 increased approximately 7.4% compared with the six months ended June 30, 2025.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Service revenues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Service revenues increased $38.7 million, or 8.1%, to $519.9 million for the six months ended June 30, 2026 as compared to $481.2 million for the six months ended June 30, 2025. The growth in net service revenues was primarily driven by pricing in the Sterigenics and Nelson Labs segments, favorable volume/mix in the Sterigenics and Nordion segments and changes in foreign currency exchange rates.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Product revenues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Product revenues increased $13.8 million, or 20.4%, to $81.5 million for the six months ended June 30, 2026 as compared to $67.7 million for the six months ended June 30, 2025. The increase was driven by higher revenues from Co-60 in the Nordion segment due to the timing of reactor harvest schedules and favorable pricing.</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Total Cost of Revenues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compares our total cost of revenues by type for the six months ended June 30, 2026 to the six months ended June 30, 2025:</w:t>
      </w:r>
    </w:p>
    <w:tbl>
      <w:tblPr>
        <w:tblW w:w="9143" w:type="dxa"/>
        <w:jc w:val="left"/>
        <w:tblInd w:w="0" w:type="dxa"/>
        <w:tblLayout w:type="fixed"/>
        <w:tblCellMar>
          <w:top w:w="28" w:type="dxa"/>
          <w:left w:w="28" w:type="dxa"/>
          <w:bottom w:w="28" w:type="dxa"/>
          <w:right w:w="28" w:type="dxa"/>
        </w:tblCellMar>
      </w:tblPr>
      <w:tblGrid>
        <w:gridCol w:w="1375"/>
        <w:gridCol w:w="1208"/>
        <w:gridCol w:w="1212"/>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508"/>
      </w:tblGrid>
      <w:tr>
        <w:trPr/>
        <w:tc>
          <w:tcPr>
            <w:tcW w:w="137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6"/>
                <w:u w:val="single"/>
              </w:rPr>
            </w:pPr>
            <w:r>
              <w:rPr>
                <w:rFonts w:ascii="Times New Roman;serif" w:hAnsi="Times New Roman;serif"/>
                <w:b/>
                <w:color w:val="000000"/>
                <w:sz w:val="16"/>
                <w:u w:val="single"/>
              </w:rPr>
              <w:t>Cost of revenues for the six months ended June 30,</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245,668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30,720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276,388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246,811 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cost of revenues accounted for approximately 46.0% and 45.0% of our consolidated net revenues for the six months ended June 30, 2026 and 2025, respectively.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Cost of service revenues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service revenues increased $24.7 million, or 11.2%, for the six months ended June 30, 2026 as compared to the six months ended June 30, 2025. The increase was driven by higher employee compensation costs, depreciation from capital assets recently placed into service, as well as expenditures for facility maintenance and direct materials. Changes in foreign currency exchange rates also had an unfavorable impact to cost of service revenues for the six months ended June 30, 2026 as compared to the six months ended June 30, 2025.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Cost of product revenues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revenues increased $4.8 million, or 18.7%, for the six months ended June 30, 2026 as compared to the six months ended June 30, 2025. The increase was primarily a result of higher volumes of Co-60 shipments due to the timing of reactor harvest schedules, which resulted in increases in direct material and transportation costs.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SG&amp;A expenses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SG&amp;A expenses increased $4.4 million, or 3.3%, for the six months ended June 30, 2026 as compared to the six months ended June 30, 2025. The increase was primarily driven by higher employee compensation costs mainly attributable to share-based compensation expense, partially offset by a decrease in litigation and other professional services expenses.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Amortization of intangible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decreased $18.6 million to $6.0 million, or 75.4%, for the six months ended June 30, 2026 as compared to the six months ended June 30, 2025. The decline was primarily due to certain intangible assets that were fully amortized in May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Interest Expense, Net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decreased $12.4 million, or 15.2%, for the six months ended June 30, 2026 as compared to the six months ended June 30, 2025, primarily due to a lower variable interest rate on our Term Loan and a $75.0 million principal paydown. The weighted average interest rate on our outstanding debt was 6.56% and 7.53% for the six months ended June 30, 2026 and 2025, respectively.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Loss on Refinancing of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Loss on refinancing of debt for the six months ended June 30, 2026 was $0.9 million related to Amendment No. 7 to the Credit Agreement. Loss on refinancing of debt for the six months ended June 30, 2025 was $0.1 million related to Amendment No. 5 to the Credit Agreement. The refinancing activity resulted in the write off of certain unamortized debt issuance costs and discounts on the Term Loans. In addition, certain new debt issuance costs and discounts were expensed in connection with the Credit Agreement amendments.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Foreign Exchange (Gain) Loss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was $4.3 million for the six months ended June 30, 2026 as compared to a $0.9 million loss for the six months ended June 30, 2025. The change in foreign exchange (gain) loss in our Consolidated Statements of Operations and Comprehensive Income mainly relates to short-term gains and losses on transactions and certain assets and liabilities denominated in currencies other than the functional currency of our operating entities.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Other Income, Net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income, net decreased $2.3 million, or 37.1%, for the six months ended June 30, 2026 as compared to the six months ended June 30, 2025, mainly arising from an unfavorable change in the net fair value of Nordion’s embedded derivatives for the six months ended June 30, 2026 compared to the same period of the prior year.</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 increased $31.1 million to a net provision of $40.4 million for the six months ended June 30, 2026 as compared to $9.4 million for the six months ended June 30, 2025. The change was primarily attributable to higher pre-tax income for the six months ended June 30, 2026 compared to the six months ended June 30, 2025, partially offset by a decrease in the impact of the valuation allowance attributable to the limitation on the deductibility of interest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pPr>
      <w:r>
        <w:rPr>
          <w:rFonts w:ascii="Times New Roman;serif" w:hAnsi="Times New Roman;serif"/>
          <w:b w:val="false"/>
          <w:color w:val="000000"/>
          <w:sz w:val="20"/>
        </w:rPr>
        <w:t>Provision for income taxes for the six months ended June 30, 2026 differed from the federal statutory rate primarily due to the foreign rate differential, current year permanent differences, including foreign withholding taxes and other non-deductible items, and U.S. state income taxes (net of federal tax benefit).</w:t>
      </w:r>
      <w:r>
        <w:rPr>
          <w:color w:val="000000"/>
          <w:shd w:fill="FFFFFF" w:val="clear"/>
        </w:rPr>
        <w:t xml:space="preserve"> </w:t>
      </w:r>
      <w:r>
        <w:rPr>
          <w:rFonts w:ascii="Times New Roman;serif" w:hAnsi="Times New Roman;serif"/>
          <w:b w:val="false"/>
          <w:color w:val="000000"/>
          <w:sz w:val="20"/>
          <w:shd w:fill="FFFFFF" w:val="clear"/>
        </w:rPr>
        <w:t xml:space="preserve">Income tax expense for the </w:t>
      </w:r>
      <w:r>
        <w:rPr>
          <w:rFonts w:ascii="Times New Roman;serif" w:hAnsi="Times New Roman;serif"/>
          <w:b w:val="false"/>
          <w:color w:val="000000"/>
          <w:sz w:val="20"/>
        </w:rPr>
        <w:t xml:space="preserve">six </w:t>
      </w:r>
      <w:r>
        <w:rPr>
          <w:rFonts w:ascii="Times New Roman;serif" w:hAnsi="Times New Roman;serif"/>
          <w:b w:val="false"/>
          <w:color w:val="000000"/>
          <w:sz w:val="20"/>
          <w:shd w:fill="FFFFFF" w:val="clear"/>
        </w:rPr>
        <w:t>months ended June 30, 2025 differed from the statutory rate primarily due to the valuation allowance attributable to the limitation on the deductibility of interest expense, the impact of the foreign rate differential and current year permanent tax differences, partially offset by a benefit for state income taxes.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Net Income (Loss), Adjusted Net Income and Adjusted EBITDA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for the six months ended June 30, 2026 was $80.2 million as compared to net loss of $5.3 million for the six months ended June 30, 2025 due to the factors described above. Adjusted Net Income was $126.3 million for the six months ended June 30, 2026 as compared to $95.1 million for the six months ended June 30, 2025, and Adjusted EBITDA was $300.4 million for the six months ended June 30, 2026, as compared to $272.6 million for the six months ended June 30, 2025. Please see “Non-GAAP Financial Measures” below for a reconciliation of Adjusted Net Income and Adjusted EBITDA to their most directly comparable financial measure calculated and presented in accordance with GAAP.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supplement our consolidated financial statements presented in accordance with GAAP, we consider Adjusted Net Income and Adjusted EBITDA, financial measures that are not based on any standardized methodology prescribed by GAAP.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define Adjusted Net Income as net income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its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primarily exclude: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certain recurring non-cash charges such as depreciation of fixed assets, although these assets may have to be replaced in the future, as well as amortization of acquired intangible assets and ARO;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costs of acquiring and integrating businesses, which will continue to be a part of our growth strategy;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non-cash gains or losses from fluctuations in foreign currency exchange rates and the mark-to-fair value of derivatives not designated as hedging instruments, which includes the embedded derivatives relating to certain customer and supply contracts at Nordion;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impairment charges on long-lived assets, intangible assets and investments accounted for under the equity method;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loss on refinancing of debt incurred in connection with refinancing or early extinguishment of long-term debt;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expenses incurred in connection with the secondary offering of our common stock and other shareholder activities;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expenses and charges related to the litigation, settlement agreements, and other activities associated with our EO sterilization facilities, including those related to Willowbrook, Illinois, Atlanta, Georgia, Santa Teresa, New Mexico and Vernon, California;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 the case of Adjusted EBITDA, interest expense or the cash requirements necessary to service interest or principal payments on our indebtedness;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share-based compensation expense, which has been, and will continue to be for the foreseeable future, a significant recurring expense and an important part of our compensation strategy.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(loss) and other GAAP measures.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income (loss), the most directly comparable financial measure calculated and presented in accordance with GAAP to Adjusted Net Income and Adjusted EBITDA, for each of the periods indicated:</w:t>
      </w:r>
    </w:p>
    <w:tbl>
      <w:tblPr>
        <w:tblW w:w="10205" w:type="dxa"/>
        <w:jc w:val="left"/>
        <w:tblInd w:w="0" w:type="dxa"/>
        <w:tblLayout w:type="fixed"/>
        <w:tblCellMar>
          <w:top w:w="28" w:type="dxa"/>
          <w:left w:w="28" w:type="dxa"/>
          <w:bottom w:w="28" w:type="dxa"/>
          <w:right w:w="28" w:type="dxa"/>
        </w:tblCellMar>
      </w:tblPr>
      <w:tblGrid>
        <w:gridCol w:w="1771"/>
        <w:gridCol w:w="1395"/>
        <w:gridCol w:w="1398"/>
        <w:gridCol w:w="211"/>
        <w:gridCol w:w="841"/>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5"/>
      </w:tblGrid>
      <w:tr>
        <w:trPr/>
        <w:tc>
          <w:tcPr>
            <w:tcW w:w="1771"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53,643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80,232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11,165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Share-based compensation</w:t>
            </w:r>
            <w:r>
              <w:rPr>
                <w:rFonts w:ascii="Times New Roman;serif" w:hAnsi="Times New Roman;serif"/>
                <w:b w:val="false"/>
                <w:color w:val="000000"/>
                <w:sz w:val="13"/>
              </w:rPr>
              <w:t>(a)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7,383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21,825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Loss on refinancing of debt</w:t>
            </w:r>
            <w:r>
              <w:rPr>
                <w:rFonts w:ascii="Times New Roman;serif" w:hAnsi="Times New Roman;serif"/>
                <w:b w:val="false"/>
                <w:color w:val="000000"/>
                <w:sz w:val="13"/>
              </w:rPr>
              <w:t>(b)</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180"/>
              <w:jc w:val="left"/>
              <w:rPr/>
            </w:pPr>
            <w:r>
              <w:rPr>
                <w:rFonts w:ascii="Times New Roman;serif" w:hAnsi="Times New Roman;serif"/>
                <w:b w:val="false"/>
                <w:color w:val="000000"/>
                <w:sz w:val="20"/>
              </w:rPr>
              <w:t>Gain on foreign currency and derivatives not designated as hedging instruments, net</w:t>
            </w:r>
            <w:r>
              <w:rPr>
                <w:rFonts w:ascii="Times New Roman;serif" w:hAnsi="Times New Roman;serif"/>
                <w:b w:val="false"/>
                <w:color w:val="000000"/>
                <w:sz w:val="13"/>
              </w:rPr>
              <w:t>(c)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Business optimization expenses</w:t>
            </w:r>
            <w:r>
              <w:rPr>
                <w:rFonts w:ascii="Times New Roman;serif" w:hAnsi="Times New Roman;serif"/>
                <w:b w:val="false"/>
                <w:color w:val="000000"/>
                <w:sz w:val="13"/>
              </w:rPr>
              <w:t>(d)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180"/>
              <w:jc w:val="left"/>
              <w:rPr/>
            </w:pPr>
            <w:r>
              <w:rPr>
                <w:rFonts w:ascii="Times New Roman;serif" w:hAnsi="Times New Roman;serif"/>
                <w:b w:val="false"/>
                <w:color w:val="000000"/>
                <w:sz w:val="20"/>
              </w:rPr>
              <w:t>Professional services relating to EO sterilization facilities</w:t>
            </w:r>
            <w:r>
              <w:rPr>
                <w:rFonts w:ascii="Times New Roman;serif" w:hAnsi="Times New Roman;serif"/>
                <w:b w:val="false"/>
                <w:color w:val="000000"/>
                <w:sz w:val="13"/>
              </w:rPr>
              <w:t>(e)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13,349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23,204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Illinois EO litigation settlements</w:t>
            </w:r>
            <w:r>
              <w:rPr>
                <w:rFonts w:ascii="Times New Roman;serif" w:hAnsi="Times New Roman;serif"/>
                <w:b w:val="false"/>
                <w:color w:val="000000"/>
                <w:sz w:val="13"/>
              </w:rPr>
              <w:t>(f)</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Accretion of asset retirement obligations</w:t>
            </w:r>
            <w:r>
              <w:rPr>
                <w:rFonts w:ascii="Times New Roman;serif" w:hAnsi="Times New Roman;serif"/>
                <w:b w:val="false"/>
                <w:color w:val="000000"/>
                <w:sz w:val="13"/>
              </w:rPr>
              <w:t>(g)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Income tax benefit associated with pre-tax adjustments</w:t>
            </w:r>
            <w:r>
              <w:rPr>
                <w:rFonts w:ascii="Times New Roman;serif" w:hAnsi="Times New Roman;serif"/>
                <w:b w:val="false"/>
                <w:color w:val="000000"/>
                <w:sz w:val="13"/>
              </w:rPr>
              <w:t>(h)</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(41,485)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73,961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126,327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34,405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69,150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81,527 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Depreciation</w:t>
            </w:r>
            <w:r>
              <w:rPr>
                <w:rFonts w:ascii="Times New Roman;serif" w:hAnsi="Times New Roman;serif"/>
                <w:b w:val="false"/>
                <w:color w:val="000000"/>
                <w:sz w:val="13"/>
              </w:rPr>
              <w:t>(i)</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27,765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52,907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Income tax provision applicable to Adjusted Net Income</w:t>
            </w:r>
            <w:r>
              <w:rPr>
                <w:rFonts w:ascii="Times New Roman;serif" w:hAnsi="Times New Roman;serif"/>
                <w:b w:val="false"/>
                <w:color w:val="000000"/>
                <w:sz w:val="13"/>
              </w:rPr>
              <w:t>(j)</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29,608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52,008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Adjusted EBITDA</w:t>
            </w:r>
            <w:r>
              <w:rPr>
                <w:rFonts w:ascii="Times New Roman;serif" w:hAnsi="Times New Roman;serif"/>
                <w:b/>
                <w:color w:val="000000"/>
                <w:sz w:val="13"/>
              </w:rPr>
              <w:t>(k)</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165,739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300,392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272,574 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Represents share-based compensation expense related to employees and Non-Employee Directors.</w:t>
      </w:r>
    </w:p>
    <w:p>
      <w:pPr>
        <w:pStyle w:val="TextBody"/>
        <w:bidi w:val="0"/>
        <w:spacing w:lineRule="auto" w:line="288" w:before="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Represents the write-off of unamortized debt issuance costs and discounts, as well as certain other costs incurred related to the Refinancing Term Loans and the Revolving Credit Facility.</w:t>
      </w:r>
    </w:p>
    <w:p>
      <w:pPr>
        <w:pStyle w:val="TextBody"/>
        <w:bidi w:val="0"/>
        <w:spacing w:lineRule="auto" w:line="288" w:before="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    Represents the effects of (i) fluctuations in foreign currency exchange rates and (ii) non-cash mark-to-fair value of embedded derivatives relating to certain customer and supply contracts at Nordion.</w:t>
      </w:r>
    </w:p>
    <w:p>
      <w:pPr>
        <w:pStyle w:val="TextBody"/>
        <w:bidi w:val="0"/>
        <w:spacing w:lineRule="auto" w:line="288" w:before="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    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the secondary offerings and shareholder engagement.</w:t>
      </w:r>
    </w:p>
    <w:p>
      <w:pPr>
        <w:pStyle w:val="TextBody"/>
        <w:bidi w:val="0"/>
        <w:spacing w:lineRule="auto" w:line="288" w:before="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(e)    Represents litigation and other professional fees associated with our EO sterilization facilities.</w:t>
      </w:r>
    </w:p>
    <w:p>
      <w:pPr>
        <w:pStyle w:val="TextBody"/>
        <w:bidi w:val="0"/>
        <w:spacing w:lineRule="auto" w:line="288" w:before="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(f)    Represents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w:t>
      </w:r>
    </w:p>
    <w:p>
      <w:pPr>
        <w:pStyle w:val="TextBody"/>
        <w:bidi w:val="0"/>
        <w:spacing w:lineRule="auto" w:line="288" w:before="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(g)    Represents non-cash accretion of ARO related to Co-60 gamma and EO processing facilities, which are based on estimated site remediation costs for any future decommissioning of these facilities and are accreted over the life of the asset.</w:t>
      </w:r>
    </w:p>
    <w:p>
      <w:pPr>
        <w:pStyle w:val="TextBody"/>
        <w:bidi w:val="0"/>
        <w:spacing w:lineRule="auto" w:line="288" w:before="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(h)    Represents the income tax impact of adjustments calculated based on the tax rate applicable to each item. We eliminate the effect of tax rate changes as applied to tax assets and liabilities and unusual items from our presentation of adjusted net income.</w:t>
      </w:r>
    </w:p>
    <w:p>
      <w:pPr>
        <w:pStyle w:val="TextBody"/>
        <w:bidi w:val="0"/>
        <w:spacing w:lineRule="auto" w:line="288" w:before="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    Includes depreciation of Co-60 held at gamma irradiation sites and excludes accelerated depreciation associated with business optimization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0" w:after="283"/>
        <w:ind w:left="0" w:right="0" w:hanging="720"/>
        <w:jc w:val="left"/>
        <w:rPr/>
      </w:pPr>
      <w:r>
        <w:rPr>
          <w:rFonts w:ascii="Times New Roman;serif" w:hAnsi="Times New Roman;serif"/>
          <w:b w:val="false"/>
          <w:color w:val="231F20"/>
          <w:sz w:val="20"/>
        </w:rPr>
        <w:t>(j)    </w:t>
      </w:r>
      <w:r>
        <w:rPr>
          <w:rFonts w:ascii="Times New Roman;serif" w:hAnsi="Times New Roman;serif"/>
          <w:b w:val="false"/>
          <w:color w:val="000000"/>
          <w:sz w:val="20"/>
        </w:rPr>
        <w:t>Represents the difference between the income tax provision as determined under GAAP and the income tax benefit associated with pre-tax adjustments described in footnote (h).</w:t>
      </w:r>
    </w:p>
    <w:p>
      <w:pPr>
        <w:pStyle w:val="TextBody"/>
        <w:bidi w:val="0"/>
        <w:spacing w:lineRule="auto" w:line="288" w:before="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(k)    $28.9 million and $24.4 million of the adjustments for the three months ended June 30, 2026 and 2025, respectively, and $55.2 million and $48.6 million of the adjustments for the six months ended June 30, 2026 and 2025, respectively, are included in cost of revenues, primarily consisting of amortization of intangible assets, depreciation, and accretion of asset retirement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SEGMENT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three reportable segments: Sterigenics, Nordion and Nelson Labs. Our CODM evaluates performance and allocates resources within our business based on segment income, which excludes certain items which are included in income before income tax as determined in our Consolidated Statements of Operations and Comprehensive Income. The accounting policies for our reportable segments are the same as those for the consolidated Company.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Our Segments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Sterigenics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Sterigenics provides outsourced terminal sterilization and irradiation services for the medical device, pharmaceutical, food safety and advanced applications markets using four major technologies: gamma irradiation, EO processing, E-beam and X-Ray irradiation.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Nordion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Nordion business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a result of the time required to meet regulatory and logistics requirements for delivery of radioactive products, combined with accommodations that we make to our customers to minimize disruptions to their operations during the installation of Co-60, Nordion sales patterns can often vary significantly from one quarter to the next. In most cases, however, timing-related impacts on our sales performance tend to be resolved within several quarters, resulting in more consistent performance over longer periods of time. In addition, sales of gamma irradiation systems occur infrequently and tend to be for larger amounts. Nordion’s results of operations are also impacted by Co-60 harvest schedules.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Nelson Labs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Nelson Labs business provides outsourced microbiological and analytical chemistry testing and advisory services for the medical device and pharmaceutical industries.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more information regarding our reportable segments, please refer to Note 15, “Segment Information” to our consolidated financial statements. </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Segment Results for the Three Months Ended June 30, 2026 and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compare segment net revenue and segment income for the three months ended June 30, 2026 to the three months ended June 30, 2025: </w:t>
      </w:r>
    </w:p>
    <w:tbl>
      <w:tblPr>
        <w:tblW w:w="7682" w:type="dxa"/>
        <w:jc w:val="left"/>
        <w:tblInd w:w="0" w:type="dxa"/>
        <w:tblLayout w:type="fixed"/>
        <w:tblCellMar>
          <w:top w:w="28" w:type="dxa"/>
          <w:left w:w="28" w:type="dxa"/>
          <w:bottom w:w="28" w:type="dxa"/>
          <w:right w:w="28" w:type="dxa"/>
        </w:tblCellMar>
      </w:tblPr>
      <w:tblGrid>
        <w:gridCol w:w="794"/>
        <w:gridCol w:w="697"/>
        <w:gridCol w:w="699"/>
        <w:gridCol w:w="310"/>
        <w:gridCol w:w="261"/>
        <w:gridCol w:w="574"/>
        <w:gridCol w:w="160"/>
        <w:gridCol w:w="160"/>
        <w:gridCol w:w="160"/>
        <w:gridCol w:w="310"/>
        <w:gridCol w:w="224"/>
        <w:gridCol w:w="557"/>
        <w:gridCol w:w="109"/>
        <w:gridCol w:w="109"/>
        <w:gridCol w:w="109"/>
        <w:gridCol w:w="211"/>
        <w:gridCol w:w="721"/>
        <w:gridCol w:w="109"/>
        <w:gridCol w:w="109"/>
        <w:gridCol w:w="109"/>
        <w:gridCol w:w="109"/>
        <w:gridCol w:w="255"/>
        <w:gridCol w:w="256"/>
        <w:gridCol w:w="570"/>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9"/>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211,571</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194,839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Nordion</w:t>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49,149</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Labs</w:t>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60,655</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Income</w:t>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118,125</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Nordion</w:t>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27,980</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Labs</w:t>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19,634</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Income margin</w:t>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55.8</w:t>
            </w:r>
            <w:r>
              <w:rPr>
                <w:color w:val="000000"/>
              </w:rPr>
              <w:t> </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Nordion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56.9</w:t>
            </w:r>
            <w:r>
              <w:rPr>
                <w:color w:val="000000"/>
              </w:rPr>
              <w:t> </w:t>
            </w:r>
          </w:p>
        </w:tc>
        <w:tc>
          <w:tcPr>
            <w:tcW w:w="5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Labs</w:t>
            </w:r>
          </w:p>
        </w:tc>
        <w:tc>
          <w:tcPr>
            <w:tcW w:w="5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32.4</w:t>
            </w:r>
            <w:r>
              <w:rPr>
                <w:color w:val="000000"/>
              </w:rPr>
              <w:t> </w:t>
            </w:r>
          </w:p>
        </w:tc>
        <w:tc>
          <w:tcPr>
            <w:tcW w:w="57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5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Net Revenues by Segment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Sterigenics net revenues were $211.6 million for the three months ended June 30, 2026, an increase of $16.7 million, or 8.6%, as compared to the three months ended June 30, 2025. The increase is attributable to favorable pricing of 4.3%, volume and mix of 2.7% as well as favorable changes in foreign currency exchange rates of 1.6%.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Nordion net revenues were $49.1 million for the three months ended June 30, 2026, an increase of $6.7 million, or 15.8%, as compared to the three months ended June 30, 2025. Revenue growth was driven mainly by volume and mix of 13.6%, which was largely attributable to favorable Co-60 harvest schedule timing, coupled with a favorable impact from pricing of 3.1%, partially offset by changes in foreign currency exchange rates.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Nelson Labs net revenues were $60.7 million for the three months ended June 30, 2026, an increase of $3.6 million, or 6.3%, as compared to the three months ended June 30, 2025. The increase is attributable to favorable impacts from pricing of 2.8%, volume and mix of 2.6% and changes in foreign currency exchange rates.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Segment Income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Sterigenics segment income was $118.1 million for the three months ended June 30, 2026, an increase of $10.4 million, or 9.6%, as compared to the three months ended June 30, 2025. The increase in segment income and segment income margin was primarily a result of favorable customer pricing, increases in volume and mix, partially offset by inflation.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Nordion segment income was $28.0 million for the three months ended June 30, 2026, an increase of $4.5 million, or 19.2%, as compared to the three months ended June 30, 2025. The increase in segment income and segment income margin was primarily driven by higher volume and mix due to favorable Co-60 harvest schedule timing, along with favorable changes in pricing and foreign currency exchange rates, partially offset by inflation.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Nelson Labs segment income was $19.6 million for the three months ended June 30, 2026, an increase of $0.1 million, or 0.6%, as compared to the three months ended June 30, 2025. Segment income increased as a result of favorable pricing and volume/mix. Segment income margin decreased due to higher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Segment Results for the Six Months Ended June 30, 2026 and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compare segment net revenue and segment income for the six months ended June 30, 2026 to the six months ended June 30, 2025: </w:t>
      </w:r>
    </w:p>
    <w:tbl>
      <w:tblPr>
        <w:tblW w:w="7626" w:type="dxa"/>
        <w:jc w:val="left"/>
        <w:tblInd w:w="0" w:type="dxa"/>
        <w:tblLayout w:type="fixed"/>
        <w:tblCellMar>
          <w:top w:w="28" w:type="dxa"/>
          <w:left w:w="28" w:type="dxa"/>
          <w:bottom w:w="28" w:type="dxa"/>
          <w:right w:w="28" w:type="dxa"/>
        </w:tblCellMar>
      </w:tblPr>
      <w:tblGrid>
        <w:gridCol w:w="794"/>
        <w:gridCol w:w="697"/>
        <w:gridCol w:w="699"/>
        <w:gridCol w:w="283"/>
        <w:gridCol w:w="261"/>
        <w:gridCol w:w="574"/>
        <w:gridCol w:w="146"/>
        <w:gridCol w:w="146"/>
        <w:gridCol w:w="146"/>
        <w:gridCol w:w="283"/>
        <w:gridCol w:w="264"/>
        <w:gridCol w:w="557"/>
        <w:gridCol w:w="109"/>
        <w:gridCol w:w="109"/>
        <w:gridCol w:w="109"/>
        <w:gridCol w:w="211"/>
        <w:gridCol w:w="721"/>
        <w:gridCol w:w="109"/>
        <w:gridCol w:w="109"/>
        <w:gridCol w:w="109"/>
        <w:gridCol w:w="109"/>
        <w:gridCol w:w="255"/>
        <w:gridCol w:w="256"/>
        <w:gridCol w:w="570"/>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w:t>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397,706</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Nordion</w:t>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91,158</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Labs</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112,556</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Income</w:t>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w:t>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214,539</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Nordion</w:t>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51,691</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Labs</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34,162</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Income margin</w:t>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w:t>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53.9</w:t>
            </w:r>
            <w:r>
              <w:rPr>
                <w:color w:val="000000"/>
              </w:rPr>
              <w:t> </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Nordion</w:t>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56.7</w:t>
            </w:r>
            <w:r>
              <w:rPr>
                <w:color w:val="000000"/>
              </w:rPr>
              <w:t> </w:t>
            </w:r>
          </w:p>
        </w:tc>
        <w:tc>
          <w:tcPr>
            <w:tcW w:w="5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Labs</w:t>
            </w:r>
          </w:p>
        </w:tc>
        <w:tc>
          <w:tcPr>
            <w:tcW w:w="54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30.4</w:t>
            </w:r>
            <w:r>
              <w:rPr>
                <w:color w:val="000000"/>
              </w:rPr>
              <w:t> </w:t>
            </w:r>
          </w:p>
        </w:tc>
        <w:tc>
          <w:tcPr>
            <w:tcW w:w="57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5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Net Revenues by Segment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Sterigenics net revenues were $397.7 million for the six months ended June 30, 2026, an increase of $33.2 million, or 9.1%, as compared to the six months ended June 30, 2025. The increase is attributable to favorable pricing of 4.4%, volume and mix of 2.2% as well as changes in foreign currency exchange rates of 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Nordion net revenues were $91.2 million for the six months ended June 30, 2026, an increase of $16.2 million, or 21.6%, as compared to the six months ended June 30, 2025. Revenue growth was driven mainly by volume and mix of 18.1%, which was largely attributable to favorable Co-60 harvest schedule timing, coupled with a favorable impact from pricing of 2.7% and changes in foreign currency exchange rates.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Nelson Labs net revenues were $112.6 million for the six months ended June 30, 2026, an increase of $3.2 million, or 2.9%, as compared to the six months ended June 30, 2025. The increase is attributable to favorable impacts from pricing and changes in foreign currency exchange rates of 2.8% and 2.0%, respectively, partially offset by an unfavorable change in volume and mix.</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Segment Income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Sterigenics segment income was $214.5 million for the six months ended June 30, 2026, an increase of $18.8 million, or 9.6%, as compared to the six months ended June 30, 2025. The increase in segment income was primarily a result of favorable customer pricing, increases in volume and mix, partially offset by inflation.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Nordion segment income was $51.7 million for the six months ended June 30, 2026, an increase of $10.8 million, or 26.4%, as compared to the six months ended June 30, 2025. The increase in segment income and segment income margin was primarily driven by higher volume and mix due to favorable Co-60 harvest schedule timing, along with favorable changes in pricing and foreign currency exchange rates, partially offset by inflation.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Nelson Labs segment income was $34.2 million for the six months ended June 30, 2026, a decrease of $1.8 million, or 4.9%, as compared to the six months ended June 30, 2025. Segment income and segment income margin decreased as a result of lower volume/mix and increases in other direct costs, partially offset by favorable pricing.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Sources of Cash</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primary sources of liquidity for our business are cash flows from operations and borrowings under our credit facilities. As of June 30, 2026, we had $356.7 million of cash and cash equivalents. This is an increase of $10.3 million from the balance at December 31, 2025. The increase in cash and cash equivalents was primarily attributable to $117.9 million of cash flows provided by operating activities, reduced by $92.6 million of cash paid for purchases of property, plant and equipment and $15.2 million of cash used in financing activities. Our foreign subsidiaries held cash of approximately $306.5 million at June 30, 2026 and $253.4 million at December 31, 2025. No material restrictions exist on accessing cash held by our foreign subsidiaries notwithstanding any potential tax consequences.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Uses of Cash</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We expect that cash on hand, operating cash flows and amounts available under our credit facilities will provide sufficient working capital to operate our business, meet foreseeable liquidity requirements (inclusive of debt service on our long-term debt), make expected capital expenditures including investments in fixed assets to build and/or expand existing facilities, and meet litigation costs that we expect to continue to incur for at least the next twelve months and the foreseeable future thereafter. </w:t>
      </w:r>
      <w:r>
        <w:rPr>
          <w:rFonts w:ascii="Times New Roman;serif" w:hAnsi="Times New Roman;serif"/>
          <w:b w:val="false"/>
          <w:color w:val="000000"/>
          <w:sz w:val="20"/>
        </w:rPr>
        <w:t>Our primary long-term liquidity requirements beyond the next 12 months will be to service our debt, make capital expenditures, and fund suitable business acquisitions. As of June 30, 2026, there were no outstanding borrowings on the Revolving Credit Facility. We expect any excess cash provided by operations will be allocated to fund capital expenditures, potential acquisitions, or for other general corporate purposes. Our ability to meet future working capital, capital expenditures and debt service requirements will depend on our future financial performance, which will be affected by a range of macroeconomic, competitive and business factors, including interest rate changes and changes in our industry, many of which are outside of our control.</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Capital Expenditures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capital expenditure program is a component of our long-term strategy. This program includes, among other things, investments in new and existing facilities, business expansion projects, Co-60 used by Sterigenics at its gamma irradiation facilities, cobalt development projects and information technology enhancements. During the six months ended June 30, 2026, our capital expenditures amounted to $92.6 million, compared to $51.1 million for the six months ended June 30, 2025.</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Cash Flow Information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Six Months Ended June 30, 2026 compared to the Six Months Ended June 30, 2025</w:t>
      </w:r>
    </w:p>
    <w:tbl>
      <w:tblPr>
        <w:tblW w:w="9144" w:type="dxa"/>
        <w:jc w:val="left"/>
        <w:tblInd w:w="0" w:type="dxa"/>
        <w:tblLayout w:type="fixed"/>
        <w:tblCellMar>
          <w:top w:w="28" w:type="dxa"/>
          <w:left w:w="28" w:type="dxa"/>
          <w:bottom w:w="28" w:type="dxa"/>
          <w:right w:w="28" w:type="dxa"/>
        </w:tblCellMar>
      </w:tblPr>
      <w:tblGrid>
        <w:gridCol w:w="2342"/>
        <w:gridCol w:w="2058"/>
        <w:gridCol w:w="2065"/>
        <w:gridCol w:w="211"/>
        <w:gridCol w:w="841"/>
        <w:gridCol w:w="109"/>
        <w:gridCol w:w="109"/>
        <w:gridCol w:w="109"/>
        <w:gridCol w:w="109"/>
        <w:gridCol w:w="211"/>
        <w:gridCol w:w="826"/>
        <w:gridCol w:w="154"/>
      </w:tblGrid>
      <w:tr>
        <w:trPr/>
        <w:tc>
          <w:tcPr>
            <w:tcW w:w="2342"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117,930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(88,427)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 changes on cash and cash equivalents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increase in cash and cash equivalents, including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10,271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Operating activities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 increased $5.0 million to net cash provided of $117.9 million for the six months ended June 30, 2026 compared to $112.9 million of net cash provided by operating activities for the six months ended June 30, 2025. The increase in cash flows provided by operating activities was primarily driven by higher gross profit and a decrease in cash paid for interest, partially offset by the $34.0 million payment of the Illinois EO litigation settlement paid in February 2026.</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Investing activities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used in investing activities increased $37.3 million to net cash used of $88.4 million for the six months ended June 30, 2026 compared to $51.1 million for the six months ended June 30, 2025. The variance was primarily driven by an increase in cash paid for capital expenditures of $41.5 million for the six months ended June 30, 2026 compared to the six months ended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Financing activities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 increased $0.2 million to net cash used of $15.2 million for the six months ended June 30, 2026 compared to $15.0 million for the six months ended June 30, 2025. The increase in cash used in financing activities was mainly attributable to a $5.4 million increase in cash used in shares withheld for employee taxes on equity awards, partially offset by a $4.0 million decrease in cash paid for repayments of debt and a $1.4 million decrease in cash paid for debt issuance costs.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Debt Facilities </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On December 13, 2019, SHH, our wholly owned subsidiary, entered into the Senior Secured Credit Facilities consisting of both the Term Loan and the Revolving Credit Facility pursuant to a first lien credit agreement. The total borrowing capacity under the Revolving Credit Facility is </w:t>
      </w:r>
      <w:r>
        <w:rPr>
          <w:rFonts w:ascii="Times New Roman;serif" w:hAnsi="Times New Roman;serif"/>
          <w:b w:val="false"/>
          <w:color w:val="000000"/>
          <w:sz w:val="20"/>
        </w:rPr>
        <w:t>$600.0 million</w:t>
      </w:r>
      <w:r>
        <w:rPr>
          <w:rFonts w:ascii="Times New Roman;serif" w:hAnsi="Times New Roman;serif"/>
          <w:b w:val="false"/>
          <w:color w:val="000000"/>
          <w:sz w:val="20"/>
          <w:shd w:fill="FFFFFF" w:val="clear"/>
        </w:rPr>
        <w:t>. The Senior Secured Credit Facilities also provide SHH the right at any time and under certain conditions to request incremental term loans or incremental revolving credit commitments based on a formula defined in the Senior Secured Credit Facilities.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May 20, 2026, SHH, the Company, certain subsidiaries of the Company, each 2026 Refinancing Term Lender (as defined in the Credit Agreement) and JPMorgan Chase Bank, N.A., as first lien Administrative Agent entered into Amendment No. 7 to the Credit Agreement (“Amendment No. 7”). Among other changes, Amendment No. 7 provides for refinancing lenders to provide repriced Term Loans to SHH in an aggregate principal amount of $1,415.9 million. Amendment No. 7 reduced the interest rate spread by 0.25% across Term Loans under the facility. The Term Loans under the credit facility shall have an applicable interest rate margin equal to Adjusted Term SOFR (as defined in the Credit Agreement) plus 2.25%, with a 0.00% floor (with optionality for the Company to elect Alternate Base Rate plus 1.25% or Adjusted Daily Simple SOFR plus 2.25% (each as defined in the Credit Agreement)). The Term Loans are also subject to a “soft call” premium of 1.00% for certain repricing transactions with respect to the Term Loans that occur within the six-month period after the effective date of the Amendment. The Term Loans amortize at a rate of 1.00% per annum and mature on May 30, 2031.</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May 30, 2024, SHH, the Company, certain subsidiaries of the Company, and Wilmington Trust, National Association, as trustee, paying agent, registrar, transfer agent and notes collateral agent, entered into the Indenture governing SHH’s $750.0 million aggregate principal amount of the Secured Notes issued in May 2024.</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Senior Secured Credit Facilities and the Indenture contain certain covenants and events of default. Additionally, all of SHH’s obligations under the Senior Secured Credit Facilities and the Indenture are unconditionally guaranteed by the Company and certain domestic restricted subsidiaries. For additional information about our Senior Secured Credit Facilities, the Indenture and the Secured Notes, including the covenants and events of default, refer to Note 8, “Long-Term Debt,” to our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Outstanding letters of credit are collateralized by encumbrances against the Revolving Credit Facility and the collateral pledged thereunder, or by cash placed on deposit with the issuing bank. As of June 30, 2026, the Company had $8.3 million of letters of credit issued against the Revolving Credit Facility, resulting in total availability under the Revolving Credit Facility of $591.7 million.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Term Loan Interest Rate Risk Management</w:t>
      </w:r>
    </w:p>
    <w:p>
      <w:pPr>
        <w:pStyle w:val="TextBody"/>
        <w:bidi w:val="0"/>
        <w:spacing w:lineRule="auto" w:line="288" w:before="120" w:after="283"/>
        <w:jc w:val="left"/>
        <w:rPr/>
      </w:pPr>
      <w:r>
        <w:rPr>
          <w:rFonts w:ascii="Times New Roman;serif" w:hAnsi="Times New Roman;serif"/>
          <w:b w:val="false"/>
          <w:color w:val="000000"/>
          <w:sz w:val="20"/>
        </w:rPr>
        <w:t>The Company utilizes interest rate derivatives to reduce the variability of cash flows in the interest payments associated with our variable rate debt due to changes in SOFR. For additional information on the derivative instruments described above, refer to Note 14, “Financial Instruments and Financial Risk</w:t>
      </w:r>
      <w:r>
        <w:rPr>
          <w:color w:val="000000"/>
          <w:shd w:fill="FFFFFF" w:val="clear"/>
        </w:rPr>
        <w:t>—</w:t>
      </w:r>
      <w:r>
        <w:rPr>
          <w:rFonts w:ascii="Times New Roman;serif" w:hAnsi="Times New Roman;serif"/>
          <w:b w:val="false"/>
          <w:color w:val="000000"/>
          <w:sz w:val="20"/>
        </w:rPr>
        <w:t>Derivative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consolidated financial statements and related disclosures in conformity with GAAP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comprehensive discussion of the Company’s critical accounting policies and management estimates made in connection with the preparation of the financial statements is included in Item 7 of our 2025 Form 10-K. There have been no significant changes in critical accounting policies, management estimates or accounting policies since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NEW ACCOUNTING PRONOUNCEMENTS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a description of recent accounting pronouncements applicable to our business, see Note 2, “Recent Accounting Standards”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Market risks are described within “Quantitative and Qualitative Disclosures About Market Risk” in Part II, Item 7A of our 2025 Form 10-K. These market risks have not materially changed for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the Company’s “disclosure controls and procedures,” (as defined in Rules 13a-15(e) and 15d-15(e) under the Exchange Act). Based upon their evaluation, the Chief Executive Officer and Chief Financial Officer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(the “SEC”),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Changes in Internal Control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there were no changes in our internal control over financial reporting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 subject to various legal proceedings arising in the ordinary course of our business, including claims relating to personal injury, property damage, workers’ compensation, employee safety, and our disclosures as a Nasdaq-listed, publicly traded company. In addition, from time to time, we receive communications from government or regulatory agencies concerning investigations or allegations of noncompliance with laws or regulations in jurisdictions in which we operate. At this time, and except as disclosed herein,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Information regarding our legal proceedings is included below. </w:t>
      </w:r>
    </w:p>
    <w:p>
      <w:pPr>
        <w:pStyle w:val="TextBody"/>
        <w:bidi w:val="0"/>
        <w:spacing w:lineRule="auto" w:line="288" w:before="200" w:after="283"/>
        <w:jc w:val="left"/>
        <w:rPr/>
      </w:pPr>
      <w:r>
        <w:rPr>
          <w:rFonts w:ascii="Times New Roman;serif" w:hAnsi="Times New Roman;serif"/>
          <w:b/>
          <w:color w:val="000000"/>
          <w:sz w:val="20"/>
        </w:rPr>
        <w:t>Legal Proceedings Described in Note 13 “Commitments and Contingencies”</w:t>
      </w:r>
      <w:r>
        <w:rPr>
          <w:color w:val="000000"/>
        </w:rPr>
        <w:t xml:space="preserve"> </w:t>
      </w:r>
      <w:r>
        <w:rPr>
          <w:rFonts w:ascii="Times New Roman;serif" w:hAnsi="Times New Roman;serif"/>
          <w:b/>
          <w:color w:val="000000"/>
          <w:sz w:val="20"/>
        </w:rPr>
        <w:t xml:space="preserve">of Our Consolidated Financial Statements </w:t>
      </w:r>
    </w:p>
    <w:p>
      <w:pPr>
        <w:pStyle w:val="TextBody"/>
        <w:bidi w:val="0"/>
        <w:spacing w:lineRule="auto" w:line="288" w:before="120" w:after="283"/>
        <w:jc w:val="left"/>
        <w:rPr/>
      </w:pPr>
      <w:r>
        <w:rPr>
          <w:rFonts w:ascii="Times New Roman;serif" w:hAnsi="Times New Roman;serif"/>
          <w:b w:val="false"/>
          <w:color w:val="000000"/>
          <w:sz w:val="20"/>
        </w:rPr>
        <w:t>Note 13, “Commitments and Contingencies” to our consolidated financial statements for the three and six months ended June 30, 2026 contained in this Quarterly Report on Form 10-Q includes information on legal proceedings that constitute material contingencies for financial reporting purposes that could have a material effect on our financial condition or results of operations. This Item should be read in conjunction with Note 13</w:t>
      </w:r>
      <w:r>
        <w:rPr>
          <w:color w:val="000000"/>
        </w:rPr>
        <w:t xml:space="preserve"> “</w:t>
      </w:r>
      <w:r>
        <w:rPr>
          <w:rFonts w:ascii="Times New Roman;serif" w:hAnsi="Times New Roman;serif"/>
          <w:b w:val="false"/>
          <w:color w:val="000000"/>
          <w:sz w:val="20"/>
        </w:rPr>
        <w:t>Commitments and Contingencies” for information regarding the Ethylene Oxide Tort Litigation with respect to California, Georgia, Illinois and New Mexico, which is incorporated into this Item 1 by reference.</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Legal Proceedings Not Described in Note 13 “Commitments and Contingencies” to Our Consolidated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 matters that are identified in Note 13 “Commitments and Contingencies” to our consolidated financial statements for the three and six months ended June 30, 2026 contained in this Quarterly Report on Form 10-Q, and incorporated into this Item by reference, we report matters, if any, that constitute material pending legal proceedings, other than ordinary course litigation incidental to our business, to which we are or any of our subsidiaries is a party. SEC regulations require disclosure of environmental proceedings that involve a government authority and potential monetary sanctions that the Company reasonably believes will exceed a specified threshold. The Company uses a threshold of $1.0 million to determine whether the disclosure of any such proceedings is required because we believe matters under this threshold are not material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Item 1A. Risk Factors.</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risk factors previously described under Item 1A of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Rule 10b5-1 Trading Plans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the Company’s directors or officers (as defined in Rule 16a-1(f) under the Exchange Act) adopted or terminated any contract, instruction or written plan for the purchase or sale of Company securities that was intended to satisfy the affirmative defense conditions of Rule 10b5-1(c) or any “non-Rule 10b5-1 trading arrangement” (as that term is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exhibits listed in the following Exhibit Index are filed, furnished, or incorporated by reference as part of this Quarterly Report on Form 10-Q. </w:t>
      </w:r>
    </w:p>
    <w:tbl>
      <w:tblPr>
        <w:tblW w:w="10205" w:type="dxa"/>
        <w:jc w:val="left"/>
        <w:tblInd w:w="0" w:type="dxa"/>
        <w:tblLayout w:type="fixed"/>
        <w:tblCellMar>
          <w:top w:w="28" w:type="dxa"/>
          <w:left w:w="28" w:type="dxa"/>
          <w:bottom w:w="28" w:type="dxa"/>
          <w:right w:w="28" w:type="dxa"/>
        </w:tblCellMar>
      </w:tblPr>
      <w:tblGrid>
        <w:gridCol w:w="348"/>
        <w:gridCol w:w="306"/>
        <w:gridCol w:w="307"/>
        <w:gridCol w:w="2034"/>
        <w:gridCol w:w="1763"/>
        <w:gridCol w:w="1738"/>
        <w:gridCol w:w="180"/>
        <w:gridCol w:w="180"/>
        <w:gridCol w:w="168"/>
        <w:gridCol w:w="245"/>
        <w:gridCol w:w="245"/>
        <w:gridCol w:w="195"/>
        <w:gridCol w:w="225"/>
        <w:gridCol w:w="225"/>
        <w:gridCol w:w="226"/>
        <w:gridCol w:w="243"/>
        <w:gridCol w:w="205"/>
        <w:gridCol w:w="206"/>
        <w:gridCol w:w="335"/>
        <w:gridCol w:w="335"/>
        <w:gridCol w:w="336"/>
        <w:gridCol w:w="160"/>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9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9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55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Description of Exhibits</w:t>
            </w:r>
          </w:p>
        </w:tc>
        <w:tc>
          <w:tcPr>
            <w:tcW w:w="52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68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File No.</w:t>
            </w:r>
          </w:p>
        </w:tc>
        <w:tc>
          <w:tcPr>
            <w:tcW w:w="6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65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Filing Date</w:t>
            </w:r>
          </w:p>
        </w:tc>
        <w:tc>
          <w:tcPr>
            <w:tcW w:w="10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Furnished/Filed </w:t>
              <w:br/>
              <w:t>Herewith</w:t>
            </w:r>
          </w:p>
        </w:tc>
        <w:tc>
          <w:tcPr>
            <w:tcW w:w="160" w:type="dxa"/>
            <w:tcBorders/>
          </w:tcPr>
          <w:p>
            <w:pPr>
              <w:pStyle w:val="TableContents"/>
              <w:bidi w:val="0"/>
              <w:spacing w:before="0" w:after="283"/>
              <w:jc w:val="left"/>
              <w:rPr>
                <w:sz w:val="4"/>
                <w:szCs w:val="4"/>
              </w:rPr>
            </w:pPr>
            <w:r>
              <w:rPr>
                <w:sz w:val="4"/>
                <w:szCs w:val="4"/>
              </w:rPr>
            </w:r>
          </w:p>
        </w:tc>
      </w:tr>
      <w:tr>
        <w:trPr/>
        <w:tc>
          <w:tcPr>
            <w:tcW w:w="961" w:type="dxa"/>
            <w:gridSpan w:val="3"/>
            <w:vMerge w:val="continue"/>
            <w:tcBorders/>
            <w:tcMar>
              <w:top w:w="0" w:type="dxa"/>
              <w:left w:w="0" w:type="dxa"/>
              <w:bottom w:w="0" w:type="dxa"/>
              <w:right w:w="0" w:type="dxa"/>
            </w:tcMar>
            <w:vAlign w:val="center"/>
          </w:tcPr>
          <w:p>
            <w:pPr>
              <w:pStyle w:val="Normal"/>
              <w:bidi w:val="0"/>
              <w:jc w:val="left"/>
              <w:rPr/>
            </w:pPr>
            <w:r>
              <w:rPr/>
            </w:r>
          </w:p>
        </w:tc>
        <w:tc>
          <w:tcPr>
            <w:tcW w:w="553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2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8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5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5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Amendment No. 7, dated as of May 20, 2026, to the First Lien Credit Agreement,dated as of December 13, 2019 by and among Sotera Health Company, Sotera Health Holdings, LLC, certain subsidiaries of Sotera Health Company, JPMorgan Chase Bank, N.A., as First Lien Administrative Agent and the 2026 Refinancing Term Lenders and issuing banks party thereto</w:t>
              </w:r>
            </w:hyperlink>
          </w:p>
        </w:tc>
        <w:tc>
          <w:tcPr>
            <w:tcW w:w="5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001-39729</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2026-05-20</w:t>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55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hc_20260630xexhibitx10x2.htm">
              <w:r>
                <w:rPr>
                  <w:rStyle w:val="InternetLink"/>
                  <w:rFonts w:ascii="Times New Roman;serif" w:hAnsi="Times New Roman;serif"/>
                  <w:b w:val="false"/>
                  <w:color w:val="000080"/>
                  <w:sz w:val="20"/>
                  <w:u w:val="single"/>
                </w:rPr>
                <w:t xml:space="preserve">Employment Offer by </w:t>
              </w:r>
            </w:hyperlink>
            <w:hyperlink w:anchor="shc_20260630xexhibitx10x2.htm">
              <w:r>
                <w:rPr>
                  <w:rStyle w:val="InternetLink"/>
                  <w:rFonts w:ascii="Times New Roman;serif" w:hAnsi="Times New Roman;serif"/>
                  <w:b w:val="false"/>
                  <w:color w:val="000080"/>
                  <w:sz w:val="20"/>
                  <w:u w:val="single"/>
                </w:rPr>
                <w:t xml:space="preserve">and </w:t>
              </w:r>
            </w:hyperlink>
            <w:hyperlink w:anchor="shc_20260630xexhibitx10x2.htm">
              <w:r>
                <w:rPr>
                  <w:rStyle w:val="InternetLink"/>
                  <w:rFonts w:ascii="Times New Roman;serif" w:hAnsi="Times New Roman;serif"/>
                  <w:b w:val="false"/>
                  <w:color w:val="000080"/>
                  <w:sz w:val="20"/>
                  <w:u w:val="single"/>
                </w:rPr>
                <w:t>between</w:t>
              </w:r>
            </w:hyperlink>
            <w:hyperlink w:anchor="shc_20260630xexhibitx10x2.htm">
              <w:r>
                <w:rPr>
                  <w:rStyle w:val="InternetLink"/>
                  <w:rFonts w:ascii="Times New Roman;serif" w:hAnsi="Times New Roman;serif"/>
                  <w:b w:val="false"/>
                  <w:color w:val="000080"/>
                  <w:sz w:val="20"/>
                  <w:u w:val="single"/>
                </w:rPr>
                <w:t xml:space="preserve"> </w:t>
              </w:r>
            </w:hyperlink>
            <w:hyperlink w:anchor="shc_20260630xexhibitx10x2.htm">
              <w:r>
                <w:rPr>
                  <w:rStyle w:val="InternetLink"/>
                  <w:rFonts w:ascii="Times New Roman;serif" w:hAnsi="Times New Roman;serif"/>
                  <w:b w:val="false"/>
                  <w:color w:val="000080"/>
                  <w:sz w:val="20"/>
                  <w:u w:val="single"/>
                </w:rPr>
                <w:t>Sotera Health Company and Alton E. Shader dated as of May 1, 2026</w:t>
              </w:r>
            </w:hyperlink>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60" w:type="dxa"/>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55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hc_20260630xexhibitx10x3.htm">
              <w:r>
                <w:rPr>
                  <w:rStyle w:val="InternetLink"/>
                  <w:rFonts w:ascii="Times New Roman;serif" w:hAnsi="Times New Roman;serif"/>
                  <w:b w:val="false"/>
                  <w:color w:val="000080"/>
                  <w:sz w:val="20"/>
                  <w:u w:val="single"/>
                </w:rPr>
                <w:t xml:space="preserve">Amendment to </w:t>
              </w:r>
            </w:hyperlink>
            <w:hyperlink w:anchor="shc_20260630xexhibitx10x3.htm">
              <w:r>
                <w:rPr>
                  <w:rStyle w:val="InternetLink"/>
                  <w:rFonts w:ascii="Times New Roman;serif" w:hAnsi="Times New Roman;serif"/>
                  <w:b w:val="false"/>
                  <w:color w:val="000080"/>
                  <w:sz w:val="20"/>
                  <w:u w:val="single"/>
                </w:rPr>
                <w:t>Amended and Restated Senior Management Agreement by and between Sotera Health Company and Michael B. Petras, Jr. dated as of April 30, 2026</w:t>
              </w:r>
            </w:hyperlink>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60" w:type="dxa"/>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55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hc_20260630xexhibitx31x1.htm">
              <w:r>
                <w:rPr>
                  <w:rStyle w:val="InternetLink"/>
                  <w:rFonts w:ascii="Times New Roman;serif" w:hAnsi="Times New Roman;serif"/>
                  <w:b w:val="false"/>
                  <w:color w:val="0000FF"/>
                  <w:sz w:val="20"/>
                  <w:u w:val="single"/>
                </w:rPr>
                <w:t xml:space="preserve">Certification of Principal Executive Officer pursuant to Exchange Act Rules 13a-14(a) and 15d-14(a), as adopted pursuant to Section 302 of the Sarbanes-Oxley Act of 2002 </w:t>
              </w:r>
            </w:hyperlink>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60" w:type="dxa"/>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55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hc_20260630xexhibitx31x2.htm">
              <w:r>
                <w:rPr>
                  <w:rStyle w:val="InternetLink"/>
                  <w:rFonts w:ascii="Times New Roman;serif" w:hAnsi="Times New Roman;serif"/>
                  <w:b w:val="false"/>
                  <w:color w:val="0000FF"/>
                  <w:sz w:val="20"/>
                  <w:u w:val="single"/>
                </w:rPr>
                <w:t>Certification of Principal Financial Officer pursuant to Exchange Act Rules 13a-14(a) and 15d-14(a), as adopted pursuant to Section 302 of the Sarbanes-Oxley Act of 2002</w:t>
              </w:r>
            </w:hyperlink>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60" w:type="dxa"/>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55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hc_20260630xexhibitx32x1.htm">
              <w:r>
                <w:rPr>
                  <w:rStyle w:val="InternetLink"/>
                  <w:rFonts w:ascii="Times New Roman;serif" w:hAnsi="Times New Roman;serif"/>
                  <w:b w:val="false"/>
                  <w:color w:val="0000FF"/>
                  <w:sz w:val="20"/>
                  <w:u w:val="single"/>
                </w:rPr>
                <w:t>Certifications of Principal Executive Officer and Principal Financial Officer pursuant to 18 U.S.C. Section 1350, as adopted pursuant to Section 906 of the Sarbanes-Oxley Act of 2002</w:t>
              </w:r>
            </w:hyperlink>
            <w:r>
              <w:rPr>
                <w:color w:val="000000"/>
              </w:rPr>
              <w:t xml:space="preserve"> </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60" w:type="dxa"/>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101.INS</w:t>
            </w:r>
          </w:p>
        </w:tc>
        <w:tc>
          <w:tcPr>
            <w:tcW w:w="55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XBRL Instance Document does not appear in the Interactive Data File because its XBRL tags are embedded within the Inline XBRL document</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60" w:type="dxa"/>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101.SCH</w:t>
            </w:r>
          </w:p>
        </w:tc>
        <w:tc>
          <w:tcPr>
            <w:tcW w:w="55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60" w:type="dxa"/>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101.CAL</w:t>
            </w:r>
          </w:p>
        </w:tc>
        <w:tc>
          <w:tcPr>
            <w:tcW w:w="55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60" w:type="dxa"/>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101.DEF</w:t>
            </w:r>
          </w:p>
        </w:tc>
        <w:tc>
          <w:tcPr>
            <w:tcW w:w="55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60" w:type="dxa"/>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101.LAB</w:t>
            </w:r>
          </w:p>
        </w:tc>
        <w:tc>
          <w:tcPr>
            <w:tcW w:w="55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Label Linkbase Document</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60" w:type="dxa"/>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101.PRE</w:t>
            </w:r>
          </w:p>
        </w:tc>
        <w:tc>
          <w:tcPr>
            <w:tcW w:w="55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Presentation Linkbase Document </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60" w:type="dxa"/>
            <w:tcBorders/>
          </w:tcPr>
          <w:p>
            <w:pPr>
              <w:pStyle w:val="TableContents"/>
              <w:bidi w:val="0"/>
              <w:spacing w:before="0" w:after="283"/>
              <w:jc w:val="left"/>
              <w:rPr>
                <w:sz w:val="4"/>
                <w:szCs w:val="4"/>
              </w:rPr>
            </w:pPr>
            <w:r>
              <w:rPr>
                <w:sz w:val="4"/>
                <w:szCs w:val="4"/>
              </w:rPr>
            </w:r>
          </w:p>
        </w:tc>
      </w:tr>
      <w:tr>
        <w:trPr/>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104</w:t>
            </w:r>
          </w:p>
        </w:tc>
        <w:tc>
          <w:tcPr>
            <w:tcW w:w="55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52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60"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344" w:type="dxa"/>
        <w:jc w:val="left"/>
        <w:tblInd w:w="0" w:type="dxa"/>
        <w:tblLayout w:type="fixed"/>
        <w:tblCellMar>
          <w:top w:w="28" w:type="dxa"/>
          <w:left w:w="28" w:type="dxa"/>
          <w:bottom w:w="28" w:type="dxa"/>
          <w:right w:w="28" w:type="dxa"/>
        </w:tblCellMar>
      </w:tblPr>
      <w:tblGrid>
        <w:gridCol w:w="124"/>
        <w:gridCol w:w="109"/>
        <w:gridCol w:w="109"/>
        <w:gridCol w:w="288"/>
        <w:gridCol w:w="288"/>
        <w:gridCol w:w="288"/>
        <w:gridCol w:w="910"/>
        <w:gridCol w:w="910"/>
        <w:gridCol w:w="910"/>
        <w:gridCol w:w="412"/>
        <w:gridCol w:w="412"/>
        <w:gridCol w:w="5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2"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SOTERA HEALTH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Jonathan M. Lyons</w:t>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Jonathan M. Lyons</w:t>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13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10.2</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May 1, 2026</w:t>
      </w:r>
    </w:p>
    <w:p>
      <w:pPr>
        <w:pStyle w:val="TextBody"/>
        <w:bidi w:val="0"/>
        <w:spacing w:lineRule="auto" w:line="556" w:before="4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Mr. Alton E. Shader </w:t>
      </w:r>
    </w:p>
    <w:p>
      <w:pPr>
        <w:pStyle w:val="TextBody"/>
        <w:bidi w:val="0"/>
        <w:spacing w:lineRule="auto" w:line="556" w:before="1" w:after="283"/>
        <w:jc w:val="left"/>
        <w:rPr>
          <w:rFonts w:ascii="Times New Roman;serif" w:hAnsi="Times New Roman;serif"/>
          <w:b w:val="false"/>
          <w:color w:val="000000"/>
          <w:sz w:val="20"/>
        </w:rPr>
      </w:pPr>
      <w:r>
        <w:rPr>
          <w:rFonts w:ascii="Times New Roman;serif" w:hAnsi="Times New Roman;serif"/>
          <w:b w:val="false"/>
          <w:color w:val="000000"/>
          <w:sz w:val="20"/>
        </w:rPr>
        <w:t>Dear Alton,</w:t>
      </w:r>
    </w:p>
    <w:p>
      <w:pPr>
        <w:pStyle w:val="TextBody"/>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Congratulations on the opportunity to join Sotera Health Company (the “Company”) as its Chief Executive Officer. This letter will recap the key elements of our offer.</w:t>
      </w:r>
    </w:p>
    <w:p>
      <w:pPr>
        <w:pStyle w:val="TextBody"/>
        <w:bidi w:val="0"/>
        <w:spacing w:lineRule="auto" w:line="288" w:before="200" w:after="283"/>
        <w:ind w:left="0" w:right="0" w:hanging="274"/>
        <w:jc w:val="left"/>
        <w:rPr/>
      </w:pPr>
      <w:r>
        <w:rPr>
          <w:color w:val="000000"/>
        </w:rPr>
        <w:t>•</w:t>
      </w:r>
      <w:r>
        <w:rPr>
          <w:rFonts w:ascii="Times New Roman;serif" w:hAnsi="Times New Roman;serif"/>
          <w:b/>
          <w:color w:val="000000"/>
          <w:sz w:val="20"/>
        </w:rPr>
        <w:t xml:space="preserve">Start Date: </w:t>
      </w:r>
      <w:r>
        <w:rPr>
          <w:rFonts w:ascii="Times New Roman;serif" w:hAnsi="Times New Roman;serif"/>
          <w:b w:val="false"/>
          <w:color w:val="000000"/>
          <w:sz w:val="20"/>
        </w:rPr>
        <w:t>Your employment will commence on May 26, 2026, or such other date as mutually agreed by the parties (the “Start Date”).</w:t>
      </w:r>
    </w:p>
    <w:p>
      <w:pPr>
        <w:pStyle w:val="TextBody"/>
        <w:bidi w:val="0"/>
        <w:spacing w:lineRule="auto" w:line="288" w:before="200" w:after="283"/>
        <w:ind w:left="0" w:right="0" w:hanging="274"/>
        <w:jc w:val="both"/>
        <w:rPr/>
      </w:pPr>
      <w:r>
        <w:rPr>
          <w:color w:val="000000"/>
        </w:rPr>
        <w:t>•</w:t>
      </w:r>
      <w:r>
        <w:rPr>
          <w:rFonts w:ascii="Times New Roman;serif" w:hAnsi="Times New Roman;serif"/>
          <w:b/>
          <w:color w:val="000000"/>
          <w:sz w:val="20"/>
        </w:rPr>
        <w:t>Location</w:t>
      </w:r>
      <w:r>
        <w:rPr>
          <w:rFonts w:ascii="Times New Roman;serif" w:hAnsi="Times New Roman;serif"/>
          <w:b w:val="false"/>
          <w:color w:val="000000"/>
          <w:sz w:val="20"/>
        </w:rPr>
        <w:t xml:space="preserve">: Your primary place of employment will be the Sotera Health Corporate Headquarters in Broadview Heights, Ohio and accordingly, you will be expected to commute to Corporate Headquarters on a regular basis. </w:t>
      </w:r>
    </w:p>
    <w:p>
      <w:pPr>
        <w:pStyle w:val="TextBody"/>
        <w:bidi w:val="0"/>
        <w:spacing w:lineRule="auto" w:line="288" w:before="293" w:after="283"/>
        <w:ind w:left="0" w:right="0" w:hanging="270"/>
        <w:jc w:val="both"/>
        <w:rPr/>
      </w:pPr>
      <w:r>
        <w:rPr>
          <w:color w:val="000000"/>
        </w:rPr>
        <w:t>•</w:t>
      </w:r>
      <w:r>
        <w:rPr>
          <w:rFonts w:ascii="Times New Roman;serif" w:hAnsi="Times New Roman;serif"/>
          <w:b/>
          <w:color w:val="000000"/>
          <w:sz w:val="20"/>
        </w:rPr>
        <w:t>Reporting</w:t>
      </w:r>
      <w:r>
        <w:rPr>
          <w:rFonts w:ascii="Times New Roman;serif" w:hAnsi="Times New Roman;serif"/>
          <w:b w:val="false"/>
          <w:color w:val="000000"/>
          <w:sz w:val="20"/>
        </w:rPr>
        <w:t>: You will report to the Board of Directors (the “Board”) and work closely with Michael Petras, who will assume the role of Executive Chairman of the Board.</w:t>
      </w:r>
    </w:p>
    <w:p>
      <w:pPr>
        <w:pStyle w:val="TextBody"/>
        <w:bidi w:val="0"/>
        <w:spacing w:lineRule="auto" w:line="288" w:before="291" w:after="283"/>
        <w:ind w:left="0" w:right="0" w:hanging="270"/>
        <w:jc w:val="both"/>
        <w:rPr/>
      </w:pPr>
      <w:r>
        <w:rPr>
          <w:color w:val="000000"/>
        </w:rPr>
        <w:t>•</w:t>
      </w:r>
      <w:r>
        <w:rPr>
          <w:rFonts w:ascii="Times New Roman;serif" w:hAnsi="Times New Roman;serif"/>
          <w:b/>
          <w:color w:val="000000"/>
          <w:sz w:val="20"/>
        </w:rPr>
        <w:t>Board of Directors</w:t>
      </w:r>
      <w:r>
        <w:rPr>
          <w:rFonts w:ascii="Times New Roman;serif" w:hAnsi="Times New Roman;serif"/>
          <w:b w:val="false"/>
          <w:color w:val="000000"/>
          <w:sz w:val="20"/>
        </w:rPr>
        <w:t>: In connection with your appointment as Chief Executive Officer, the Board shall appoint you as a member of the Board effective as of the Start Date. Following your appointment to the Board and during your employment as Chief Executive Officer, the Company shall also nominate you for re-election as a member of the Board at the expiration of each term of office, subject to your continued employment as Chief Executive Officer.</w:t>
      </w:r>
    </w:p>
    <w:p>
      <w:pPr>
        <w:pStyle w:val="TextBody"/>
        <w:bidi w:val="0"/>
        <w:spacing w:lineRule="auto" w:line="288" w:before="200" w:after="283"/>
        <w:ind w:left="0" w:right="0" w:hanging="274"/>
        <w:jc w:val="both"/>
        <w:rPr/>
      </w:pPr>
      <w:r>
        <w:rPr>
          <w:color w:val="000000"/>
        </w:rPr>
        <w:t>•</w:t>
      </w:r>
      <w:r>
        <w:rPr>
          <w:rFonts w:ascii="Times New Roman;serif" w:hAnsi="Times New Roman;serif"/>
          <w:b/>
          <w:color w:val="000000"/>
          <w:sz w:val="20"/>
        </w:rPr>
        <w:t>Status &amp; Salary</w:t>
      </w:r>
      <w:r>
        <w:rPr>
          <w:rFonts w:ascii="Times New Roman;serif" w:hAnsi="Times New Roman;serif"/>
          <w:b w:val="false"/>
          <w:color w:val="000000"/>
          <w:sz w:val="20"/>
        </w:rPr>
        <w:t>: You will be employed as a full-time, exempt, salaried employee. Your starting salary will be $1,000,000 annually, payable on a bi-weekly basis. The Company may review and/or revise your salary from time to time, in its sole discretion.</w:t>
      </w:r>
    </w:p>
    <w:p>
      <w:pPr>
        <w:pStyle w:val="TextBody"/>
        <w:bidi w:val="0"/>
        <w:spacing w:lineRule="auto" w:line="288" w:before="200" w:after="283"/>
        <w:ind w:left="0" w:right="0" w:hanging="274"/>
        <w:jc w:val="both"/>
        <w:rPr/>
      </w:pPr>
      <w:r>
        <w:rPr>
          <w:color w:val="000000"/>
        </w:rPr>
        <w:t>•</w:t>
      </w:r>
      <w:r>
        <w:rPr>
          <w:rFonts w:ascii="Times New Roman;serif" w:hAnsi="Times New Roman;serif"/>
          <w:b/>
          <w:color w:val="000000"/>
          <w:sz w:val="20"/>
        </w:rPr>
        <w:t xml:space="preserve">Annual Incentive Plan: </w:t>
      </w:r>
      <w:r>
        <w:rPr>
          <w:rFonts w:ascii="Times New Roman;serif" w:hAnsi="Times New Roman;serif"/>
          <w:b w:val="false"/>
          <w:color w:val="000000"/>
          <w:sz w:val="20"/>
        </w:rPr>
        <w:t>You will participate in the Annual Incentive Plan (AIP), on the terms and conditions set forth therein, at a target of 110% of your base annual salary (“Annual AIP Target”). For 2026, your participation in the AIP will not be prorated based on your hire date.</w:t>
      </w:r>
    </w:p>
    <w:p>
      <w:pPr>
        <w:pStyle w:val="TextBody"/>
        <w:bidi w:val="0"/>
        <w:spacing w:lineRule="auto" w:line="288" w:before="200" w:after="283"/>
        <w:ind w:left="0" w:right="0" w:hanging="270"/>
        <w:jc w:val="both"/>
        <w:rPr/>
      </w:pPr>
      <w:r>
        <w:rPr>
          <w:color w:val="000000"/>
        </w:rPr>
        <w:t>•</w:t>
      </w:r>
      <w:r>
        <w:rPr>
          <w:rFonts w:ascii="Times New Roman;serif" w:hAnsi="Times New Roman;serif"/>
          <w:b/>
          <w:color w:val="000000"/>
          <w:sz w:val="20"/>
        </w:rPr>
        <w:t>Sign-on Equity</w:t>
      </w:r>
      <w:r>
        <w:rPr>
          <w:rFonts w:ascii="Times New Roman;serif" w:hAnsi="Times New Roman;serif"/>
          <w:b w:val="false"/>
          <w:color w:val="000000"/>
          <w:sz w:val="20"/>
        </w:rPr>
        <w:t>: Within thirty (30) days after your start date, the Company will grant to you a sign-on equity award with a grant date fair value of $6,000,000 comprised of restricted stock units (RSUs) to replace the long-term incentives you will forfeit with your former employer (“Sign-On Award”). This Sign-On Award will have a vesting commencement date of March 2, 2026 and will vest one-third per year over three years subject to continued employment through each applicable vesting date. Should the Company or Board terminate your employment without Cause (as defined below), any unvested RSUs remaining from the Sign-On Award that would have vested during the 2-year period immediately following the date of such termination shall immediately vest as of the termination date.</w:t>
      </w:r>
    </w:p>
    <w:p>
      <w:pPr>
        <w:pStyle w:val="TextBody"/>
        <w:bidi w:val="0"/>
        <w:spacing w:lineRule="auto" w:line="288" w:before="200" w:after="283"/>
        <w:ind w:left="0" w:right="0" w:hanging="270"/>
        <w:jc w:val="both"/>
        <w:rPr/>
      </w:pPr>
      <w:r>
        <w:rPr>
          <w:color w:val="000000"/>
        </w:rPr>
        <w:t>•</w:t>
      </w:r>
      <w:r>
        <w:rPr>
          <w:rFonts w:ascii="Times New Roman;serif" w:hAnsi="Times New Roman;serif"/>
          <w:b/>
          <w:color w:val="000000"/>
          <w:sz w:val="20"/>
        </w:rPr>
        <w:t>Annual Long-Term Incentive Plan</w:t>
      </w:r>
      <w:r>
        <w:rPr>
          <w:rFonts w:ascii="Times New Roman;serif" w:hAnsi="Times New Roman;serif"/>
          <w:b w:val="false"/>
          <w:color w:val="000000"/>
          <w:sz w:val="20"/>
        </w:rPr>
        <w:t>: You will receive an initial annual equity award with a target grant date fair value of $6,500,000 and a vesting commencement date of March 2, 2026, subject to the approval of the Leadership Development and Compensation Committee of the Company’s Board of Directors and the Board of Directors (“Initial Equity Award”). This Initial Equity Award will be comprised of 50% RSUs and 50% performance share units (PSUs). The RSUs related to this Initial Equity Award vest one-third per year over three years and the PSUs will be eligible to vest 100% after the three-year performance period based on performance against pre-established free cash flow and revenue goals, in each case, subject to continued employment through each applicable vesting dates.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You will also receive an initial award of Share Appreciation Units (SAUs) with a maximum grant date fair value of $1,625,000 and a vesting commencement date of March 2, 2026 (“Initial SAU Award”). The SAUs related to the Initial SAU Award will vest one-third per year if the Company’s annualized stock price appreciation targets (which, consistent with SAU grants in 2026 to other senior executives of the Company, shall be measured based on a “Grant Date Price” as if the grant date of such SAU was March 2, 2026) are met, subject to continued employment through each applicable vesting date.</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44"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right"/>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righ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Starting in 2027 and subject to your continued employment, you will receive annual long-term equity incentive awards with an aggregate grant date fair value of at least $6,500,000 (“Annual LTI Target”), which may be in the form of RSUs, PSUs, SAUs or other equity-based award types, as determined by the Board. Your equity awards will be subject to and contingent upon your acceptance of, the terms and conditions of the Sotera Health Company 2020 Omnibus Incentive Plan, as well as any applicable grant notices and agreements associated with your awards. Additional information will be provided upon acceptance of this offer.</w:t>
      </w:r>
    </w:p>
    <w:p>
      <w:pPr>
        <w:pStyle w:val="TextBody"/>
        <w:bidi w:val="0"/>
        <w:spacing w:lineRule="auto" w:line="288" w:before="200" w:after="283"/>
        <w:ind w:left="0" w:right="0" w:hanging="270"/>
        <w:jc w:val="both"/>
        <w:rPr/>
      </w:pPr>
      <w:r>
        <w:rPr>
          <w:color w:val="000000"/>
        </w:rPr>
        <w:t>•</w:t>
      </w:r>
      <w:r>
        <w:rPr>
          <w:rFonts w:ascii="Times New Roman;serif" w:hAnsi="Times New Roman;serif"/>
          <w:b/>
          <w:color w:val="000000"/>
          <w:sz w:val="20"/>
        </w:rPr>
        <w:t>Benefits Program</w:t>
      </w:r>
      <w:r>
        <w:rPr>
          <w:rFonts w:ascii="Times New Roman;serif" w:hAnsi="Times New Roman;serif"/>
          <w:b w:val="false"/>
          <w:color w:val="000000"/>
          <w:sz w:val="20"/>
        </w:rPr>
        <w:t>: You are eligible to participate in the Company’s benefits program, including but not limited to medical, dental, vision and 401(k) plan with company match. All plans are in accordance with the terms and conditions of that program and associated insurance policies, as may be in effect from time to time. The Company reserves the right to amend or discontinue its benefits program at any time, with or without advance notice.</w:t>
      </w:r>
    </w:p>
    <w:p>
      <w:pPr>
        <w:pStyle w:val="TextBody"/>
        <w:bidi w:val="0"/>
        <w:spacing w:lineRule="auto" w:line="288" w:before="200" w:after="283"/>
        <w:ind w:left="0" w:right="0" w:hanging="270"/>
        <w:jc w:val="both"/>
        <w:rPr/>
      </w:pPr>
      <w:r>
        <w:rPr>
          <w:color w:val="000000"/>
        </w:rPr>
        <w:t>•</w:t>
      </w:r>
      <w:r>
        <w:rPr>
          <w:rFonts w:ascii="Times New Roman;serif" w:hAnsi="Times New Roman;serif"/>
          <w:b/>
          <w:color w:val="000000"/>
          <w:sz w:val="20"/>
        </w:rPr>
        <w:t>Vacation</w:t>
      </w:r>
      <w:r>
        <w:rPr>
          <w:rFonts w:ascii="Times New Roman;serif" w:hAnsi="Times New Roman;serif"/>
          <w:b w:val="false"/>
          <w:color w:val="000000"/>
          <w:sz w:val="20"/>
        </w:rPr>
        <w:t>: You are entitled to four (4) weeks of vacation annually, subject to the terms and conditions of the Company’s vacation policy as may be in effect from time to time. Your vacation time will be prorated during your first year of employment, according to your hire date.</w:t>
      </w:r>
    </w:p>
    <w:p>
      <w:pPr>
        <w:pStyle w:val="TextBody"/>
        <w:bidi w:val="0"/>
        <w:spacing w:lineRule="auto" w:line="288" w:before="200" w:after="283"/>
        <w:ind w:left="0" w:right="0" w:hanging="270"/>
        <w:jc w:val="both"/>
        <w:rPr/>
      </w:pPr>
      <w:r>
        <w:rPr>
          <w:color w:val="000000"/>
        </w:rPr>
        <w:t>•</w:t>
      </w:r>
      <w:r>
        <w:rPr>
          <w:rFonts w:ascii="Times New Roman;serif" w:hAnsi="Times New Roman;serif"/>
          <w:b/>
          <w:color w:val="000000"/>
          <w:sz w:val="20"/>
        </w:rPr>
        <w:t xml:space="preserve">Termination of Employment: </w:t>
      </w:r>
      <w:r>
        <w:rPr>
          <w:rFonts w:ascii="Times New Roman;serif" w:hAnsi="Times New Roman;serif"/>
          <w:b w:val="false"/>
          <w:color w:val="000000"/>
          <w:sz w:val="20"/>
        </w:rPr>
        <w:t>In the event your employment is terminated by the Company without Cause or by you for Good Reason (defined below), the Company will provide you with separation pay as follows: (i) salary continuation equal to eighteen (18) months of your then current base salary (prior to any unauthorized salary reduction that may have triggered “Good Reason), (ii) payment of your full AIP at target for the year in which the separation occurs, and (iii) if you elect COBRA continuation coverage, reimbursement on a monthly basis for a portion of the COBRA premiums paid for by you for yourself and your eligible dependents at the same rate as the Company pays for health insurance coverage for its active employees (with you paying for the employee paid portion of such coverage) for eighteen (18) months following your termination of employment (“COBRA Amount”); provided, however, that if you become re-employed with another employer, you will be obligated to provide the Company with written notice of such new employment within five (5) business days of obtaining such new employment and the reimbursement by the Company of the COBRA Amount will cease (hereafter the “Separation Payments”). Payment of the Separation Payments is subject to the following: (A) such Separation Payments shall be made in accordance with the Company’s normal payroll practices (other than the COBRA Amount) and shall commence on the sixtieth (60th) day following the date of your termination of employment (the “Release Date”) subject to your execution and delivery to the Company of a general release in a form acceptable to the Company (and such release being in full force and effect and having not been timely revoked in accordance with its terms) (the “Release Requirement”) and (B) you shall be entitled to receive such Separation Payments only so long as you have not breached any of the provisions of such general release or any restrictive covenants to which you are subject. If the Release Requirement is satisfied, then the portion of the Separation Payments which would otherwise have been paid during the period between the date of termination of employment and the Release Date shall instead be paid as soon as reasonably practicable following the Release Date. If the Release Requirement is not satisfied as of the Release Date, you shall not be entitled to any Separation Payments and the Company shall have no further obligations in connection with the Separation Payments.</w:t>
      </w:r>
    </w:p>
    <w:p>
      <w:pPr>
        <w:pStyle w:val="TextBody"/>
        <w:bidi w:val="0"/>
        <w:spacing w:lineRule="auto" w:line="288" w:before="200" w:after="283"/>
        <w:jc w:val="both"/>
        <w:rPr/>
      </w:pPr>
      <w:r>
        <w:rPr>
          <w:rFonts w:ascii="Times New Roman;serif" w:hAnsi="Times New Roman;serif"/>
          <w:b w:val="false"/>
          <w:color w:val="000000"/>
          <w:sz w:val="20"/>
          <w:shd w:fill="FFFFFF" w:val="clear"/>
        </w:rPr>
        <w:t>For</w:t>
      </w:r>
      <w:r>
        <w:rPr>
          <w:color w:val="000000"/>
        </w:rPr>
        <w:t xml:space="preserve"> </w:t>
      </w:r>
      <w:r>
        <w:rPr>
          <w:rFonts w:ascii="Times New Roman;serif" w:hAnsi="Times New Roman;serif"/>
          <w:b w:val="false"/>
          <w:color w:val="000000"/>
          <w:sz w:val="20"/>
          <w:shd w:fill="FFFFFF" w:val="clear"/>
        </w:rPr>
        <w:t>purposes</w:t>
      </w:r>
      <w:r>
        <w:rPr>
          <w:color w:val="000000"/>
        </w:rPr>
        <w:t xml:space="preserve"> </w:t>
      </w:r>
      <w:r>
        <w:rPr>
          <w:rFonts w:ascii="Times New Roman;serif" w:hAnsi="Times New Roman;serif"/>
          <w:b w:val="false"/>
          <w:color w:val="000000"/>
          <w:sz w:val="20"/>
          <w:shd w:fill="FFFFFF" w:val="clear"/>
        </w:rPr>
        <w:t xml:space="preserve">hereof, “Cause” shall have the same meaning as ascribed to such term in the Sotera Health Company 2020 Omnibus Incentive Plan. For the purposes hereof, “Good Reason” shall not include your death or disability but shall mean any of the following occurrences without your written consent: (i) material diminution in your duties, responsibilities or authority or assignment to you of any duties inconsistent in any material respect with your position as CEO; (ii) any reduction by the Company in your base salary, Annual AIP Target or your Annual LTI Target, in each case, as set forth herein, unless such reduction is a part of an across-the-board proportional decrease in base salaries, annual AIP targets and/or annual LTI targets affecting all Company senior executives, which reduction is approved by the Board; (iii) you are required to relocate to any location that is more than fifty (50) miles away from your residence in Lake Forest, Illinois (it being agreed and understood that the requirement that you continue to regularly commute to Broadview Heights, Ohio (as described herein) shall not constitute grounds for Good Reason hereunder); or (iv) a material breach by the Company of any provision of this offer agreement; </w:t>
      </w:r>
      <w:r>
        <w:rPr>
          <w:rFonts w:ascii="Times New Roman;serif" w:hAnsi="Times New Roman;serif"/>
          <w:b w:val="false"/>
          <w:color w:val="000000"/>
          <w:sz w:val="20"/>
          <w:u w:val="single"/>
          <w:shd w:fill="FFFFFF" w:val="clear"/>
        </w:rPr>
        <w:t>provided</w:t>
      </w:r>
      <w:r>
        <w:rPr>
          <w:color w:val="000000"/>
          <w:shd w:fill="FFFFFF" w:val="clear"/>
        </w:rPr>
        <w:t xml:space="preserve"> </w:t>
      </w:r>
      <w:r>
        <w:rPr>
          <w:rFonts w:ascii="Times New Roman;serif" w:hAnsi="Times New Roman;serif"/>
          <w:b w:val="false"/>
          <w:color w:val="000000"/>
          <w:sz w:val="20"/>
          <w:shd w:fill="FFFFFF" w:val="clear"/>
        </w:rPr>
        <w:t>that, in each case, (A) within ninety (90) days of the initial occurrence of the specified event you have given the Company written notice giving the Company at least thirty (30) days to cure the Good Reason event, (B) the Company has not cured the Good Reason event within the thirty-day (30) day cure period, and (C) you resign immediately, and in no event later than thirty (30) days, following the expiration of such thirty-day (30) cure period.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Notwithstanding any provision of this letter to the contrary, in the event that you are a “specified employee” within the meaning of Code Section 409A (as defined below), any payments or benefits that are considered non-qualified deferred compensation under Code Section 409A payable under this section on account of a “separation from service” during the six-month period immediately following the termination date shall, to the extent necessary to comply with Code Section 409A, instead be paid, or provided, as the case may be, on the first business day after the date that is six months following your </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45"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righ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00" w:after="283"/>
        <w:jc w:val="both"/>
        <w:rPr>
          <w:color w:val="000000"/>
        </w:rPr>
      </w:pPr>
      <w:r>
        <w:rPr>
          <w:color w:val="000000"/>
        </w:rPr>
        <w:t>“</w:t>
      </w:r>
      <w:r>
        <w:rPr>
          <w:rFonts w:ascii="Times New Roman;serif" w:hAnsi="Times New Roman;serif"/>
          <w:b w:val="false"/>
          <w:color w:val="000000"/>
          <w:sz w:val="20"/>
        </w:rPr>
        <w:t>separation from service” within the meaning of Code Section 409A. For purposes of Code Section 409A, your right to receive any installment payments pursuant to this section shall be treated as a right to receive a series of separate and distinct payments. In no event may you, directly or indirectly, designate the calendar year of any payment to be made under this section that is considered nonqualified deferred compensation, subject to Code Section 409A.</w:t>
      </w:r>
    </w:p>
    <w:p>
      <w:pPr>
        <w:pStyle w:val="TextBody"/>
        <w:bidi w:val="0"/>
        <w:spacing w:lineRule="auto" w:line="288" w:before="200" w:after="283"/>
        <w:ind w:left="0" w:right="0" w:hanging="270"/>
        <w:jc w:val="left"/>
        <w:rPr/>
      </w:pPr>
      <w:r>
        <w:rPr>
          <w:color w:val="000000"/>
        </w:rPr>
        <w:t>•</w:t>
      </w:r>
      <w:r>
        <w:rPr>
          <w:rFonts w:ascii="Times New Roman;serif" w:hAnsi="Times New Roman;serif"/>
          <w:b/>
          <w:color w:val="000000"/>
          <w:sz w:val="20"/>
        </w:rPr>
        <w:t xml:space="preserve">Commuting Bonus: </w:t>
      </w:r>
      <w:r>
        <w:rPr>
          <w:rFonts w:ascii="Times New Roman;serif" w:hAnsi="Times New Roman;serif"/>
          <w:b w:val="false"/>
          <w:color w:val="000000"/>
          <w:sz w:val="20"/>
        </w:rPr>
        <w:t>We will provide you an annual commuting bonus of $100,000 to cover reasonable travel expenses to the corporate headquarters.</w:t>
      </w:r>
    </w:p>
    <w:p>
      <w:pPr>
        <w:pStyle w:val="TextBody"/>
        <w:bidi w:val="0"/>
        <w:spacing w:lineRule="auto" w:line="288" w:before="200" w:after="283"/>
        <w:ind w:left="0" w:right="0" w:hanging="270"/>
        <w:jc w:val="left"/>
        <w:rPr/>
      </w:pPr>
      <w:r>
        <w:rPr>
          <w:color w:val="000000"/>
        </w:rPr>
        <w:t>•</w:t>
      </w:r>
      <w:r>
        <w:rPr>
          <w:rFonts w:ascii="Times New Roman;serif" w:hAnsi="Times New Roman;serif"/>
          <w:b/>
          <w:color w:val="000000"/>
          <w:sz w:val="20"/>
        </w:rPr>
        <w:t xml:space="preserve">Stock Ownership Guidelines: </w:t>
      </w:r>
      <w:r>
        <w:rPr>
          <w:rFonts w:ascii="Times New Roman;serif" w:hAnsi="Times New Roman;serif"/>
          <w:b w:val="false"/>
          <w:color w:val="000000"/>
          <w:sz w:val="20"/>
        </w:rPr>
        <w:t>You will be subject to stock ownership guidelines equal to five-times your annual base salary. You will have five years to attain such amount.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Your employment with the Company is “at will”; it is for no specified term and may be terminated by you or the Company at any time, with or without cause or advance notice. This letter may be executed in counterparts and shall be binding upon the parties upon execution and may only be amended in writing signed by each of the parties hereto. The Company reserves the right to add, delete, or modify all plans, program, policies, procedures, and guidelines at any time, provided, however, that such actions shall not modify the compensation and benefits specifically provided to you under this letter. This letter constitutes the complete agreement between you and the Company with respect to the subject matter hereof, and supersedes any prior understandings or agreements with respect thereto, and shall be governed by the internal substantive laws of the state of Delaware. All compensation and benefits described herein will be subject to applicable tax withholding.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intent of the parties is that payments and benefits under this letter comply with or be exempt from Section 409A of the Internal Revenue Code of 1986, as amended (the “Code”) and the regulations and guidance promulgated thereunder (collectively “Code Section 409A”) and, accordingly, to the maximum extent permitted, this letter shall be interpreted to be exempt from or in compliance therewith. In no event whatsoever shall the Company be liable for any additional tax, interest or penalty that may be imposed on you by Code Section 409A or damages for failing to comply with Code Section 409A.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This offer is contingent upon favorable references and successful completion of background and drug screens.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a condition of your employment, you will be required to provide the Company with documents establishing your identity and right to work in the United States. These documents must be provided to the Company within three days after your employment start date. In addition, you will also be required to sign a restrictive covenants agreement in a form customary for senior executives covering non-competition and non-solicitation (while employed and for 18 months postemployment) and confidentiality.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Alton, we look forward to you joining the Company and becoming part of our team. We are sure you will find your career with us both challenging and rewarding. To confirm your acceptance of this offer of employment on the terms and conditions set out above, please sign below and return to me.</w:t>
      </w:r>
    </w:p>
    <w:p>
      <w:pPr>
        <w:pStyle w:val="TextBody"/>
        <w:bidi w:val="0"/>
        <w:spacing w:lineRule="auto" w:line="288" w:before="400" w:after="283"/>
        <w:jc w:val="left"/>
        <w:rPr>
          <w:rFonts w:ascii="Times New Roman;serif" w:hAnsi="Times New Roman;serif"/>
          <w:b w:val="false"/>
          <w:color w:val="000000"/>
          <w:sz w:val="20"/>
        </w:rPr>
      </w:pPr>
      <w:r>
        <w:rPr>
          <w:rFonts w:ascii="Times New Roman;serif" w:hAnsi="Times New Roman;serif"/>
          <w:b w:val="false"/>
          <w:color w:val="000000"/>
          <w:sz w:val="20"/>
        </w:rPr>
        <w:t>Sincerely,</w:t>
      </w:r>
    </w:p>
    <w:tbl>
      <w:tblPr>
        <w:tblW w:w="5249" w:type="dxa"/>
        <w:jc w:val="left"/>
        <w:tblInd w:w="0" w:type="dxa"/>
        <w:tblLayout w:type="fixed"/>
        <w:tblCellMar>
          <w:top w:w="28" w:type="dxa"/>
          <w:left w:w="28" w:type="dxa"/>
          <w:bottom w:w="28" w:type="dxa"/>
          <w:right w:w="28" w:type="dxa"/>
        </w:tblCellMar>
      </w:tblPr>
      <w:tblGrid>
        <w:gridCol w:w="1678"/>
        <w:gridCol w:w="1473"/>
        <w:gridCol w:w="2098"/>
      </w:tblGrid>
      <w:tr>
        <w:trPr/>
        <w:tc>
          <w:tcPr>
            <w:tcW w:w="1678"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Michael B. Petras, Jr.</w:t>
            </w:r>
          </w:p>
        </w:tc>
      </w:tr>
      <w:tr>
        <w:trPr/>
        <w:tc>
          <w:tcPr>
            <w:tcW w:w="5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Michael B. Petras, Jr.</w:t>
            </w:r>
          </w:p>
        </w:tc>
      </w:tr>
      <w:tr>
        <w:trPr/>
        <w:tc>
          <w:tcPr>
            <w:tcW w:w="52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 Sotera Health Company</w:t>
            </w:r>
          </w:p>
        </w:tc>
      </w:tr>
    </w:tbl>
    <w:p>
      <w:pPr>
        <w:pStyle w:val="TextBody"/>
        <w:bidi w:val="0"/>
        <w:spacing w:lineRule="auto" w:line="288" w:before="400" w:after="283"/>
        <w:jc w:val="left"/>
        <w:rPr>
          <w:rFonts w:ascii="Times New Roman;serif" w:hAnsi="Times New Roman;serif"/>
          <w:b w:val="false"/>
          <w:i/>
          <w:color w:val="000000"/>
          <w:sz w:val="20"/>
        </w:rPr>
      </w:pPr>
      <w:r>
        <w:rPr>
          <w:rFonts w:ascii="Times New Roman;serif" w:hAnsi="Times New Roman;serif"/>
          <w:b w:val="false"/>
          <w:i/>
          <w:color w:val="000000"/>
          <w:sz w:val="20"/>
        </w:rPr>
        <w:t>By my signature below, I confirm that I have read, understand and agree with the terms of this offer.</w:t>
      </w:r>
    </w:p>
    <w:tbl>
      <w:tblPr>
        <w:tblW w:w="5680" w:type="dxa"/>
        <w:jc w:val="left"/>
        <w:tblInd w:w="0" w:type="dxa"/>
        <w:tblLayout w:type="fixed"/>
        <w:tblCellMar>
          <w:top w:w="28" w:type="dxa"/>
          <w:left w:w="28" w:type="dxa"/>
          <w:bottom w:w="28" w:type="dxa"/>
          <w:right w:w="28" w:type="dxa"/>
        </w:tblCellMar>
      </w:tblPr>
      <w:tblGrid>
        <w:gridCol w:w="907"/>
        <w:gridCol w:w="796"/>
        <w:gridCol w:w="801"/>
        <w:gridCol w:w="109"/>
        <w:gridCol w:w="109"/>
        <w:gridCol w:w="109"/>
        <w:gridCol w:w="831"/>
        <w:gridCol w:w="831"/>
        <w:gridCol w:w="1187"/>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Alton E. Shader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Alton E. Shader / May 2, 2026</w:t>
            </w:r>
          </w:p>
        </w:tc>
      </w:tr>
      <w:tr>
        <w:trPr/>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Alton E. Shader (please print)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Signature/Date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10.3</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6"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192"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Amendment to Amended and Restated Senior Management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Amendment to Amended and Restated Senior Management Agreement (the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is entered into by and between Sotera Health Company,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Michael B. Petras, Jr. (the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as of April 30, 2026. Capitalized terms used but not otherwise defined herein are defined in the Original Agreement.</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Company and Executive are parties to an Amended and Restated Senior Management Agreement dated as of November 10, 2020 (the “</w:t>
      </w:r>
      <w:r>
        <w:rPr>
          <w:rFonts w:ascii="Times New Roman;serif" w:hAnsi="Times New Roman;serif"/>
          <w:b w:val="false"/>
          <w:color w:val="000000"/>
          <w:sz w:val="24"/>
          <w:u w:val="single"/>
        </w:rPr>
        <w:t>Original Agreement</w:t>
      </w:r>
      <w:r>
        <w:rPr>
          <w:color w:val="000000"/>
        </w:rPr>
        <w:t>”</w:t>
      </w:r>
      <w:r>
        <w:rPr>
          <w:rFonts w:ascii="Times New Roman;serif" w:hAnsi="Times New Roman;serif"/>
          <w:b w:val="false"/>
          <w:color w:val="000000"/>
          <w:sz w:val="24"/>
        </w:rPr>
        <w:t>), providing for the terms of Executive’s employment by the Company as its Chief Executive Officer; and</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in connection with Executive’s transition to the role of Executive Chairman, the Company and Executive have agreed to amend the Original Agreement as set forth 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covenants contained herein and other good and valuable consideration, the receipt and sufficiency of which are hereby acknowledged, the parties to this Amendment hereby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 </w:t>
      </w:r>
      <w:r>
        <w:rPr>
          <w:rFonts w:ascii="Times New Roman;serif" w:hAnsi="Times New Roman;serif"/>
          <w:b w:val="false"/>
          <w:color w:val="000000"/>
          <w:sz w:val="24"/>
          <w:u w:val="single"/>
        </w:rPr>
        <w:t>Amendment to Section 1</w:t>
      </w:r>
      <w:r>
        <w:rPr>
          <w:rFonts w:ascii="Times New Roman;serif" w:hAnsi="Times New Roman;serif"/>
          <w:b w:val="false"/>
          <w:color w:val="000000"/>
          <w:sz w:val="24"/>
        </w:rPr>
        <w:t>. The first sentence of Section 1 of the Original Agreement is hereby amended and restated as follows: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rPr>
        <w:t>Effective as of May 26, 2026 or such other date as mutually agreed by the parties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xml:space="preserve">), the Company agrees to employ Executive as Executive Chairman, and Executive accepts such employment, for the period beginning on the Effective Date and ending upon his Separation pursuant to </w:t>
      </w:r>
      <w:r>
        <w:rPr>
          <w:rFonts w:ascii="Times New Roman;serif" w:hAnsi="Times New Roman;serif"/>
          <w:b w:val="false"/>
          <w:color w:val="000000"/>
          <w:sz w:val="24"/>
          <w:u w:val="single"/>
        </w:rPr>
        <w:t>Section 1(c)</w:t>
      </w:r>
      <w:r>
        <w:rPr>
          <w:color w:val="000000"/>
        </w:rPr>
        <w:t xml:space="preserve"> </w:t>
      </w:r>
      <w:r>
        <w:rPr>
          <w:rFonts w:ascii="Times New Roman;serif" w:hAnsi="Times New Roman;serif"/>
          <w:b w:val="false"/>
          <w:color w:val="000000"/>
          <w:sz w:val="24"/>
        </w:rPr>
        <w:t>hereof (the “</w:t>
      </w:r>
      <w:r>
        <w:rPr>
          <w:rFonts w:ascii="Times New Roman;serif" w:hAnsi="Times New Roman;serif"/>
          <w:b w:val="false"/>
          <w:color w:val="000000"/>
          <w:sz w:val="24"/>
          <w:u w:val="single"/>
        </w:rPr>
        <w:t>Employment Period</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 </w:t>
      </w:r>
      <w:r>
        <w:rPr>
          <w:rFonts w:ascii="Times New Roman;serif" w:hAnsi="Times New Roman;serif"/>
          <w:b w:val="false"/>
          <w:color w:val="000000"/>
          <w:sz w:val="24"/>
          <w:u w:val="single"/>
        </w:rPr>
        <w:t>Amendment to Sections 1(a)(i) and (ii)</w:t>
      </w:r>
      <w:r>
        <w:rPr>
          <w:rFonts w:ascii="Times New Roman;serif" w:hAnsi="Times New Roman;serif"/>
          <w:b w:val="false"/>
          <w:color w:val="000000"/>
          <w:sz w:val="24"/>
        </w:rPr>
        <w:t>. Sections 1(a)(i) and (ii) of the Original Agreement are hereby amended and restated as follows:</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(i) During the Employment Period, Executive shall serve as Executive Chairman of the Company and shall have the normal duties, responsibilities and authority implied by such position, including, without limitation, supporting the transition of the responsibilities of the Chief Executive Officer role and the Company’s strategic priorities, the responsibilities associated with the Executive Chairman of the Company and such other activities as are reasonably directed by the Board, subject in each case to the power of the Board to expand such duties, responsibilities, positions and authority and to otherwise override actions of officers.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Executive in his capacity as Executive Chairman shall report to the Board, and Executive shall devote his best efforts and his full business time and attention to the business and affairs of the Company and its Subsidiaries. Executive will not engage in any other business, profession or occupation for compensation or otherwise which would conflict or interfere with the performance of his duties and responsibilities either directly or indirectly without the prior written consent of the Board.”</w:t>
      </w:r>
    </w:p>
    <w:p>
      <w:pPr>
        <w:pStyle w:val="TextBody"/>
        <w:bidi w:val="0"/>
        <w:spacing w:before="0" w:after="24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02920"/>
                <wp:effectExtent l="0" t="0" r="0" b="0"/>
                <wp:wrapNone/>
                <wp:docPr id="47" name="Frame46"/>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 </w:t>
      </w:r>
      <w:r>
        <w:rPr>
          <w:rFonts w:ascii="Times New Roman;serif" w:hAnsi="Times New Roman;serif"/>
          <w:b w:val="false"/>
          <w:color w:val="000000"/>
          <w:sz w:val="24"/>
          <w:u w:val="single"/>
        </w:rPr>
        <w:t>Amendment to Section 1(b)(i)</w:t>
      </w:r>
      <w:r>
        <w:rPr>
          <w:rFonts w:ascii="Times New Roman;serif" w:hAnsi="Times New Roman;serif"/>
          <w:b w:val="false"/>
          <w:color w:val="000000"/>
          <w:sz w:val="24"/>
        </w:rPr>
        <w:t>. As of the Effective Date, the defined term “</w:t>
      </w:r>
      <w:r>
        <w:rPr>
          <w:rFonts w:ascii="Times New Roman;serif" w:hAnsi="Times New Roman;serif"/>
          <w:b w:val="false"/>
          <w:color w:val="000000"/>
          <w:sz w:val="24"/>
          <w:u w:val="single"/>
        </w:rPr>
        <w:t>Annual Base Salary</w:t>
      </w:r>
      <w:r>
        <w:rPr>
          <w:color w:val="000000"/>
        </w:rPr>
        <w:t xml:space="preserve">” </w:t>
      </w:r>
      <w:r>
        <w:rPr>
          <w:rFonts w:ascii="Times New Roman;serif" w:hAnsi="Times New Roman;serif"/>
          <w:b w:val="false"/>
          <w:color w:val="000000"/>
          <w:sz w:val="24"/>
        </w:rPr>
        <w:t>shall be redefined as “$900,000 per annum.”</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 </w:t>
      </w:r>
      <w:r>
        <w:rPr>
          <w:rFonts w:ascii="Times New Roman;serif" w:hAnsi="Times New Roman;serif"/>
          <w:b w:val="false"/>
          <w:color w:val="000000"/>
          <w:sz w:val="24"/>
          <w:u w:val="single"/>
        </w:rPr>
        <w:t>Amendment to Section 1(b)(ii)</w:t>
      </w:r>
      <w:r>
        <w:rPr>
          <w:rFonts w:ascii="Times New Roman;serif" w:hAnsi="Times New Roman;serif"/>
          <w:b w:val="false"/>
          <w:color w:val="000000"/>
          <w:sz w:val="24"/>
        </w:rPr>
        <w:t>. The second and third sentences of Section 1(b)(ii) of the Original Agreement are hereby amended and restated as follows: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rPr>
        <w:t>As of the Effective Date, the target Annual Bonus will be 110% of the Annual Base Salary (the “</w:t>
      </w:r>
      <w:r>
        <w:rPr>
          <w:rFonts w:ascii="Times New Roman;serif" w:hAnsi="Times New Roman;serif"/>
          <w:b w:val="false"/>
          <w:color w:val="000000"/>
          <w:sz w:val="24"/>
          <w:u w:val="single"/>
        </w:rPr>
        <w:t>Annual Bonus Opportunity</w:t>
      </w:r>
      <w:r>
        <w:rPr>
          <w:color w:val="000000"/>
        </w:rPr>
        <w:t>”</w:t>
      </w:r>
      <w:r>
        <w:rPr>
          <w:rFonts w:ascii="Times New Roman;serif" w:hAnsi="Times New Roman;serif"/>
          <w:b w:val="false"/>
          <w:color w:val="000000"/>
          <w:sz w:val="24"/>
        </w:rPr>
        <w:t>). The maximum Annual Bonus will be 220% of the Annual Base Salary.”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5. </w:t>
      </w:r>
      <w:r>
        <w:rPr>
          <w:rFonts w:ascii="Times New Roman;serif" w:hAnsi="Times New Roman;serif"/>
          <w:b w:val="false"/>
          <w:color w:val="000000"/>
          <w:sz w:val="24"/>
          <w:u w:val="single"/>
        </w:rPr>
        <w:t>Amendment to Section 1(b)(iii)</w:t>
      </w:r>
      <w:r>
        <w:rPr>
          <w:rFonts w:ascii="Times New Roman;serif" w:hAnsi="Times New Roman;serif"/>
          <w:b w:val="false"/>
          <w:color w:val="000000"/>
          <w:sz w:val="24"/>
        </w:rPr>
        <w:t>. Section 1(b)(iii) of the Original Agreement is hereby amended and restated as follows:</w:t>
      </w:r>
    </w:p>
    <w:p>
      <w:pPr>
        <w:pStyle w:val="TextBody"/>
        <w:bidi w:val="0"/>
        <w:spacing w:lineRule="auto" w:line="288" w:before="0" w:after="200"/>
        <w:ind w:left="0" w:right="0" w:firstLine="720"/>
        <w:jc w:val="both"/>
        <w:rPr/>
      </w:pPr>
      <w:r>
        <w:rPr>
          <w:color w:val="000000"/>
        </w:rPr>
        <w:t>“</w:t>
      </w:r>
      <w:r>
        <w:rPr>
          <w:rFonts w:ascii="Times New Roman;serif" w:hAnsi="Times New Roman;serif"/>
          <w:b w:val="false"/>
          <w:color w:val="000000"/>
          <w:sz w:val="24"/>
        </w:rPr>
        <w:t>Beginning in 2027, Executive will receive an annual equity award with a target grant date fair value of $5,000,000. The annual grant shall be made when other Company annual grants are made, typically in March of each year. Executive’s equity awards will be subject to and contingent upon his acceptance of, the terms and conditions of the Company Equity Incentive Plan, as well as any applicable grant notices and agreements associated with his awards. Company equity awards granted to Executive following the Effective Date (the “</w:t>
      </w:r>
      <w:r>
        <w:rPr>
          <w:rFonts w:ascii="Times New Roman;serif" w:hAnsi="Times New Roman;serif"/>
          <w:b w:val="false"/>
          <w:color w:val="000000"/>
          <w:sz w:val="24"/>
          <w:u w:val="single"/>
        </w:rPr>
        <w:t>Covered Equity Awards</w:t>
      </w:r>
      <w:r>
        <w:rPr>
          <w:color w:val="000000"/>
        </w:rPr>
        <w:t>”</w:t>
      </w:r>
      <w:r>
        <w:rPr>
          <w:rFonts w:ascii="Times New Roman;serif" w:hAnsi="Times New Roman;serif"/>
          <w:b w:val="false"/>
          <w:color w:val="000000"/>
          <w:sz w:val="24"/>
        </w:rPr>
        <w:t>) shall provide the following terms and conditions: (A) subject to the Executive’s satisfaction of the Release Requirement (as defined below), full vesting upon a termination by the Company without Cause or by Executive with Good Reason; (B) full vesting upon Executive’s Retirement (excluding awards that were granted within six (6) months before such Retirement) or upon Executive’s death or Disability; and (C) full vesting upon a Change in Control (as defined in the Company Equity Incentive Plan) where the acquiror does not assume or substitute the outstanding unvested Covered Equity Awards. The type and vesting schedule of any future equity awards granted to Executive shall be determined by the Board or the Committee in its discretion; provided, however, that the applicable award agreements evidencing such equity awards shall provide time-based vesting protections that are no less favorable to Executive than those set forth in the foregoing clauses (A), (B) and (C) of this Section 1(b)(iii); provided, further, that to the extent any such equity award is subject to any performance or performance-based vesting conditions, as determined in the discretion of the Board or the Committee, if the vesting protections set forth in the foregoing clauses (A), (B) or (C) of this Section 1(b)(iii) are triggered, any performance or performance-based vesting component of such award shall be deemed satisfied at the target level of performance, excluding any units for which the performance condition is a specified increase in share price (including any “share appreciation unit” grants), for which performance shall be determined on the basis of the relative achievement of the applicable performance goals in accordance with the terms of the applicable grant notice and agreement (the “</w:t>
      </w:r>
      <w:r>
        <w:rPr>
          <w:rFonts w:ascii="Times New Roman;serif" w:hAnsi="Times New Roman;serif"/>
          <w:b w:val="false"/>
          <w:color w:val="000000"/>
          <w:sz w:val="24"/>
          <w:u w:val="single"/>
        </w:rPr>
        <w:t>Vesting Protections</w:t>
      </w:r>
      <w:r>
        <w:rPr>
          <w:color w:val="000000"/>
        </w:rPr>
        <w:t>”</w:t>
      </w:r>
      <w:r>
        <w:rPr>
          <w:rFonts w:ascii="Times New Roman;serif" w:hAnsi="Times New Roman;serif"/>
          <w:b w:val="false"/>
          <w:color w:val="000000"/>
          <w:sz w:val="24"/>
        </w:rPr>
        <w:t xml:space="preserve">). For the avoidance of doubt, no Covered Equity Award that constitutes non-qualified deferred compensation for purposes of Code Section 409A shall vest in accordance with the foregoing clauses (A) or (B) until Executive experiences a termination in his Continuous Service Status (as defined in the Company Equity Incentive Plan) that qualifies as a “separation from service” as defined under Code Section 409A. All Covered Equity Awards that constitute non-qualified </w:t>
      </w:r>
    </w:p>
    <w:p>
      <w:pPr>
        <w:pStyle w:val="TextBody"/>
        <w:bidi w:val="0"/>
        <w:spacing w:before="0" w:after="24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deferred compensation for purposes of Code Section 409A will be subject to a six-month settlement delay in accordance with Section 19 of the Company Equity Incentive Plan.”</w:t>
      </w:r>
    </w:p>
    <w:p>
      <w:pPr>
        <w:pStyle w:val="TextBody"/>
        <w:bidi w:val="0"/>
        <w:spacing w:lineRule="auto" w:line="288" w:before="0" w:after="200"/>
        <w:ind w:left="0" w:right="0" w:firstLine="720"/>
        <w:jc w:val="both"/>
        <w:rPr/>
      </w:pPr>
      <w:r>
        <w:rPr>
          <w:rFonts w:ascii="Times New Roman;serif" w:hAnsi="Times New Roman;serif"/>
          <w:b w:val="false"/>
          <w:color w:val="000000"/>
          <w:sz w:val="24"/>
        </w:rPr>
        <w:t xml:space="preserve">Section 6. </w:t>
      </w:r>
      <w:r>
        <w:rPr>
          <w:rFonts w:ascii="Times New Roman;serif" w:hAnsi="Times New Roman;serif"/>
          <w:b w:val="false"/>
          <w:color w:val="000000"/>
          <w:sz w:val="24"/>
          <w:u w:val="single"/>
        </w:rPr>
        <w:t>Amendment to Section 3(c)</w:t>
      </w:r>
      <w:r>
        <w:rPr>
          <w:rFonts w:ascii="Times New Roman;serif" w:hAnsi="Times New Roman;serif"/>
          <w:b w:val="false"/>
          <w:color w:val="000000"/>
          <w:sz w:val="24"/>
        </w:rPr>
        <w:t>. The last sentence of Section 3(c) of the Original Agreement is hereby amended and restated as follows:</w:t>
      </w:r>
    </w:p>
    <w:p>
      <w:pPr>
        <w:pStyle w:val="TextBody"/>
        <w:bidi w:val="0"/>
        <w:spacing w:lineRule="auto" w:line="288" w:before="0" w:after="200"/>
        <w:ind w:left="0" w:right="0" w:firstLine="720"/>
        <w:jc w:val="both"/>
        <w:rPr/>
      </w:pPr>
      <w:r>
        <w:rPr>
          <w:color w:val="000000"/>
        </w:rPr>
        <w:t>“</w:t>
      </w:r>
      <w:r>
        <w:rPr>
          <w:rFonts w:ascii="Times New Roman;serif" w:hAnsi="Times New Roman;serif"/>
          <w:b w:val="false"/>
          <w:color w:val="000000"/>
          <w:sz w:val="24"/>
        </w:rPr>
        <w:t xml:space="preserve">Nothing in this </w:t>
      </w:r>
      <w:r>
        <w:rPr>
          <w:rFonts w:ascii="Times New Roman;serif" w:hAnsi="Times New Roman;serif"/>
          <w:b w:val="false"/>
          <w:color w:val="000000"/>
          <w:sz w:val="24"/>
          <w:u w:val="single"/>
        </w:rPr>
        <w:t>Section 3(c)</w:t>
      </w:r>
      <w:r>
        <w:rPr>
          <w:color w:val="000000"/>
        </w:rPr>
        <w:t xml:space="preserve"> </w:t>
      </w:r>
      <w:r>
        <w:rPr>
          <w:rFonts w:ascii="Times New Roman;serif" w:hAnsi="Times New Roman;serif"/>
          <w:b w:val="false"/>
          <w:color w:val="000000"/>
          <w:sz w:val="24"/>
        </w:rPr>
        <w:t xml:space="preserve">shall be construed to limit the ability of any Person to disclose information and documents, or give truthful testimony, pursuant to a subpoena, court order or a government investigative matter or to provide, during the Employment Period truthful statements necessary to the performance of Executive’s duties as Executive Chairman, subject to and as provided in </w:t>
      </w:r>
      <w:r>
        <w:rPr>
          <w:rFonts w:ascii="Times New Roman;serif" w:hAnsi="Times New Roman;serif"/>
          <w:b w:val="false"/>
          <w:color w:val="000000"/>
          <w:sz w:val="24"/>
          <w:u w:val="single"/>
        </w:rPr>
        <w:t>Section 2</w:t>
      </w:r>
      <w:r>
        <w:rPr>
          <w:rFonts w:ascii="Times New Roman;serif" w:hAnsi="Times New Roman;serif"/>
          <w:b w:val="false"/>
          <w:color w:val="000000"/>
          <w:sz w:val="24"/>
        </w:rPr>
        <w:t>.”</w:t>
      </w:r>
    </w:p>
    <w:p>
      <w:pPr>
        <w:pStyle w:val="TextBody"/>
        <w:bidi w:val="0"/>
        <w:spacing w:lineRule="auto" w:line="288" w:before="0" w:after="200"/>
        <w:ind w:left="0" w:right="0" w:firstLine="720"/>
        <w:jc w:val="both"/>
        <w:rPr/>
      </w:pPr>
      <w:r>
        <w:rPr>
          <w:rFonts w:ascii="Times New Roman;serif" w:hAnsi="Times New Roman;serif"/>
          <w:b w:val="false"/>
          <w:color w:val="000000"/>
          <w:sz w:val="24"/>
        </w:rPr>
        <w:t xml:space="preserve">Section 7. </w:t>
      </w:r>
      <w:r>
        <w:rPr>
          <w:rFonts w:ascii="Times New Roman;serif" w:hAnsi="Times New Roman;serif"/>
          <w:b w:val="false"/>
          <w:color w:val="000000"/>
          <w:sz w:val="24"/>
          <w:u w:val="single"/>
        </w:rPr>
        <w:t>Amendment to Good Reason Definition</w:t>
      </w:r>
      <w:r>
        <w:rPr>
          <w:rFonts w:ascii="Times New Roman;serif" w:hAnsi="Times New Roman;serif"/>
          <w:b w:val="false"/>
          <w:color w:val="000000"/>
          <w:sz w:val="24"/>
        </w:rPr>
        <w:t>. The definition of “Good Reason” contained in Section 4 of the Original Agreement is hereby amended and restated as follows:</w:t>
      </w:r>
    </w:p>
    <w:p>
      <w:pPr>
        <w:pStyle w:val="TextBody"/>
        <w:bidi w:val="0"/>
        <w:spacing w:lineRule="auto" w:line="288" w:before="0" w:after="200"/>
        <w:ind w:left="0" w:right="0" w:firstLine="720"/>
        <w:jc w:val="both"/>
        <w:rPr/>
      </w:pP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means without Executive’s prior written consent (i) any material reduction in Executive’s title, status or authority, including the failure to elect Executive to serve as the Executive Chairman of the Board (it being understood that the Board’s election of a Lead Independent Director shall not be grounds for Good Reason, provided that Executive continues to serve as Executive Chairman), (ii) any material reduction of Executive’s responsibilities or assignment of duties inconsistent with the position of Executive Chairman, (iii) any material reduction of (1) Executive’s Annual Base Salary or Annual Bonus Opportunity, (2) Executive’s other compensation or (3) the aggregate value of Executive’s benefits or (iv) failure of the Board or the Committee to provide the Vesting Protections in respect of any Covered Equity Awards; provided that, in order for an event to constitute Good Reason for any purpose hereunder, Executive must, within 30 days after the date Executive learned or could reasonably have been expected to have learned of the occurrence of such event, provide the Board with written notice of his objection to such event, and, even if such notice is timely delivered, such event shall not constitute Good Reason for any purpose hereunder if substantially all detriment otherwise resulting to Executive from such action can be cured by appropriate action which the Company causes to be taken within 30 days following the Board’s receipt of Executive’s written notice (such period, the “</w:t>
      </w:r>
      <w:r>
        <w:rPr>
          <w:rFonts w:ascii="Times New Roman;serif" w:hAnsi="Times New Roman;serif"/>
          <w:b w:val="false"/>
          <w:color w:val="000000"/>
          <w:sz w:val="24"/>
          <w:u w:val="single"/>
        </w:rPr>
        <w:t>Cure Period</w:t>
      </w:r>
      <w:r>
        <w:rPr>
          <w:color w:val="000000"/>
        </w:rPr>
        <w:t>”</w:t>
      </w:r>
      <w:r>
        <w:rPr>
          <w:rFonts w:ascii="Times New Roman;serif" w:hAnsi="Times New Roman;serif"/>
          <w:b w:val="false"/>
          <w:color w:val="000000"/>
          <w:sz w:val="24"/>
        </w:rPr>
        <w:t>); provided, further, in order for an event to constitute Good Reason for any purpose hereunder, Executive must, within 30 days after expiration of the Cure Period, deliver a written notice to the Company of his resignation, which resignation shall be effective on the date immediately following the Company’s receipt of such notice (or on such other day mutually agreed upon by the Company and Executive).”</w:t>
      </w:r>
    </w:p>
    <w:p>
      <w:pPr>
        <w:pStyle w:val="TextBody"/>
        <w:bidi w:val="0"/>
        <w:spacing w:lineRule="auto" w:line="288" w:before="0" w:after="200"/>
        <w:ind w:left="0" w:right="0" w:firstLine="720"/>
        <w:jc w:val="both"/>
        <w:rPr/>
      </w:pPr>
      <w:r>
        <w:rPr>
          <w:rFonts w:ascii="Times New Roman;serif" w:hAnsi="Times New Roman;serif"/>
          <w:b w:val="false"/>
          <w:color w:val="000000"/>
          <w:sz w:val="24"/>
        </w:rPr>
        <w:t xml:space="preserve">Section 8. </w:t>
      </w:r>
      <w:r>
        <w:rPr>
          <w:rFonts w:ascii="Times New Roman;serif" w:hAnsi="Times New Roman;serif"/>
          <w:b w:val="false"/>
          <w:color w:val="000000"/>
          <w:sz w:val="24"/>
          <w:u w:val="single"/>
        </w:rPr>
        <w:t>Amendment to Retirement Definition</w:t>
      </w:r>
      <w:r>
        <w:rPr>
          <w:rFonts w:ascii="Times New Roman;serif" w:hAnsi="Times New Roman;serif"/>
          <w:b w:val="false"/>
          <w:color w:val="000000"/>
          <w:sz w:val="24"/>
        </w:rPr>
        <w:t>. The definition of “Retirement” contained in Section 4 of the Original Agreement, and in Company equity awards issued in 2024, is hereby amended and restated as follows: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Retirement</w:t>
      </w:r>
      <w:r>
        <w:rPr>
          <w:color w:val="000000"/>
        </w:rPr>
        <w:t xml:space="preserve">” </w:t>
      </w:r>
      <w:r>
        <w:rPr>
          <w:rFonts w:ascii="Times New Roman;serif" w:hAnsi="Times New Roman;serif"/>
          <w:b w:val="false"/>
          <w:color w:val="000000"/>
          <w:sz w:val="24"/>
        </w:rPr>
        <w:t>means termination of Participant’s Continuous Service Status (as defined in the Company Equity Incentive Plan) after the date on which the sum of Participant’s age and years of Continuous Service Status with the Company is equal to or greater than 65.”</w:t>
      </w:r>
    </w:p>
    <w:p>
      <w:pPr>
        <w:pStyle w:val="TextBody"/>
        <w:bidi w:val="0"/>
        <w:spacing w:before="0" w:after="24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9. This Amendment shall be deemed to be an amendment of the Original Agreement in accordance with </w:t>
      </w:r>
      <w:r>
        <w:rPr>
          <w:rFonts w:ascii="Times New Roman;serif" w:hAnsi="Times New Roman;serif"/>
          <w:b w:val="false"/>
          <w:color w:val="000000"/>
          <w:sz w:val="24"/>
          <w:u w:val="single"/>
        </w:rPr>
        <w:t>Section 6(k)</w:t>
      </w:r>
      <w:r>
        <w:rPr>
          <w:color w:val="000000"/>
        </w:rPr>
        <w:t xml:space="preserve"> </w:t>
      </w:r>
      <w:r>
        <w:rPr>
          <w:rFonts w:ascii="Times New Roman;serif" w:hAnsi="Times New Roman;serif"/>
          <w:b w:val="false"/>
          <w:color w:val="000000"/>
          <w:sz w:val="24"/>
        </w:rPr>
        <w:t>of the Original Agreement. Except as specifically modified herein, the Original Agreement shall remain in full force and effect.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Section 10. This Amendment may be executed in separate counterparts (including by means of facsimile), each of which is deemed to be an original and all of which taken together constitute one and the same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before="0" w:after="240"/>
        <w:ind w:left="0" w:right="0" w:firstLine="72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Amendment as of the date first above written.</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SOTERA HEALTH COMPANY </w:t>
      </w:r>
    </w:p>
    <w:tbl>
      <w:tblPr>
        <w:tblW w:w="3450" w:type="dxa"/>
        <w:jc w:val="left"/>
        <w:tblInd w:w="0" w:type="dxa"/>
        <w:tblLayout w:type="fixed"/>
        <w:tblCellMar>
          <w:top w:w="28" w:type="dxa"/>
          <w:left w:w="28" w:type="dxa"/>
          <w:bottom w:w="28" w:type="dxa"/>
          <w:right w:w="28" w:type="dxa"/>
        </w:tblCellMar>
      </w:tblPr>
      <w:tblGrid>
        <w:gridCol w:w="271"/>
        <w:gridCol w:w="238"/>
        <w:gridCol w:w="241"/>
        <w:gridCol w:w="789"/>
        <w:gridCol w:w="789"/>
        <w:gridCol w:w="1122"/>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tc>
        <w:tc>
          <w:tcPr>
            <w:tcW w:w="27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Vincent K. Petrella</w:t>
            </w:r>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7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Vincent K. Petrella </w:t>
            </w:r>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7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Lead Independent Director</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EXECUTIVE</w:t>
      </w:r>
    </w:p>
    <w:p>
      <w:pPr>
        <w:pStyle w:val="TextBody"/>
        <w:bidi w:val="0"/>
        <w:spacing w:before="0" w:after="0"/>
        <w:jc w:val="left"/>
        <w:rPr/>
      </w:pPr>
      <w:r>
        <w:rPr/>
      </w:r>
    </w:p>
    <w:tbl>
      <w:tblPr>
        <w:tblW w:w="3195" w:type="dxa"/>
        <w:jc w:val="left"/>
        <w:tblInd w:w="0" w:type="dxa"/>
        <w:tblLayout w:type="fixed"/>
        <w:tblCellMar>
          <w:top w:w="28" w:type="dxa"/>
          <w:left w:w="28" w:type="dxa"/>
          <w:bottom w:w="28" w:type="dxa"/>
          <w:right w:w="28" w:type="dxa"/>
        </w:tblCellMar>
      </w:tblPr>
      <w:tblGrid>
        <w:gridCol w:w="271"/>
        <w:gridCol w:w="238"/>
        <w:gridCol w:w="241"/>
        <w:gridCol w:w="714"/>
        <w:gridCol w:w="714"/>
        <w:gridCol w:w="1017"/>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tc>
        <w:tc>
          <w:tcPr>
            <w:tcW w:w="24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Michael B. Petras, Jr.</w:t>
            </w:r>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4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Michael B. Petras, Jr. </w:t>
            </w:r>
          </w:p>
        </w:tc>
      </w:tr>
      <w:tr>
        <w:trPr/>
        <w:tc>
          <w:tcPr>
            <w:tcW w:w="75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45" w:type="dxa"/>
            <w:gridSpan w:val="3"/>
            <w:tcBorders/>
            <w:tcMar>
              <w:top w:w="0" w:type="dxa"/>
              <w:left w:w="0" w:type="dxa"/>
              <w:bottom w:w="0" w:type="dxa"/>
              <w:right w:w="0" w:type="dxa"/>
            </w:tcMar>
            <w:vAlign w:val="center"/>
          </w:tcPr>
          <w:p>
            <w:pPr>
              <w:pStyle w:val="TableContents"/>
              <w:bidi w:val="0"/>
              <w:spacing w:before="0" w:after="12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Amendment</w:t>
                            </w:r>
                            <w:r>
                              <w:rPr>
                                <w:rFonts w:ascii="Times New Roman;serif" w:hAnsi="Times New Roman;serif"/>
                                <w:b w:val="false"/>
                                <w:color w:val="000000"/>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Amendment</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before="0" w:after="0"/>
        <w:ind w:left="0" w:right="0" w:firstLine="14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Alton E. Shader, certify that: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Sotera Health Company;</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2565" w:type="dxa"/>
        <w:jc w:val="left"/>
        <w:tblInd w:w="0" w:type="dxa"/>
        <w:tblLayout w:type="fixed"/>
        <w:tblCellMar>
          <w:top w:w="28" w:type="dxa"/>
          <w:left w:w="28" w:type="dxa"/>
          <w:bottom w:w="28" w:type="dxa"/>
          <w:right w:w="28" w:type="dxa"/>
        </w:tblCellMar>
      </w:tblPr>
      <w:tblGrid>
        <w:gridCol w:w="822"/>
        <w:gridCol w:w="722"/>
        <w:gridCol w:w="1021"/>
      </w:tblGrid>
      <w:tr>
        <w:trPr/>
        <w:tc>
          <w:tcPr>
            <w:tcW w:w="8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Alton E. Shader</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Alton E. Shader</w:t>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(Principal Executive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before="0" w:after="0"/>
        <w:ind w:left="0" w:right="0" w:firstLine="14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Jonathan M. Lyons, certify that: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Sotera Health Company;</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4155" w:type="dxa"/>
        <w:jc w:val="left"/>
        <w:tblInd w:w="0" w:type="dxa"/>
        <w:tblLayout w:type="fixed"/>
        <w:tblCellMar>
          <w:top w:w="28" w:type="dxa"/>
          <w:left w:w="28" w:type="dxa"/>
          <w:bottom w:w="28" w:type="dxa"/>
          <w:right w:w="28" w:type="dxa"/>
        </w:tblCellMar>
      </w:tblPr>
      <w:tblGrid>
        <w:gridCol w:w="1328"/>
        <w:gridCol w:w="1167"/>
        <w:gridCol w:w="1660"/>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Jonathan M. Lyons</w:t>
            </w:r>
          </w:p>
        </w:tc>
      </w:tr>
      <w:tr>
        <w:trPr/>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Jonathan M. Lyons</w:t>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(Principal Financial Officer) </w:t>
            </w:r>
          </w:p>
        </w:tc>
      </w:tr>
    </w:tbl>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CERTIFICATIONS OF PRINCIPAL EXECUTIVE OFFICER AND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480"/>
        <w:ind w:left="0" w:right="0" w:firstLine="720"/>
        <w:jc w:val="left"/>
        <w:rPr/>
      </w:pPr>
      <w:r>
        <w:rPr>
          <w:rFonts w:ascii="Times New Roman;serif" w:hAnsi="Times New Roman;serif"/>
          <w:b w:val="false"/>
          <w:color w:val="000000"/>
          <w:sz w:val="20"/>
        </w:rPr>
        <w:t>Pursuant to section 906 of the Sarbanes-Oxley Act of 2002 (subsections (a) and (b) of Section 1350, Chapter 63 of Title 18, United States Code), each of the undersigned officers of Sotera Health Company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do hereby certify, to each such officer’s knowledge, that the Company’s Quarterly Report on Form 10-Q for the quarter ended June 30, 2026 fully complies with the requirements of Section 13(a) or 15(d) of the Securities Exchange Act of 1934 and information contained in the Form 10-Q fairly presents, in all material respects, the financial condition and results of operations of the Company.</w:t>
      </w:r>
    </w:p>
    <w:tbl>
      <w:tblPr>
        <w:tblW w:w="6584" w:type="dxa"/>
        <w:jc w:val="left"/>
        <w:tblInd w:w="0" w:type="dxa"/>
        <w:tblLayout w:type="fixed"/>
        <w:tblCellMar>
          <w:top w:w="28" w:type="dxa"/>
          <w:left w:w="28" w:type="dxa"/>
          <w:bottom w:w="28" w:type="dxa"/>
          <w:right w:w="28" w:type="dxa"/>
        </w:tblCellMar>
      </w:tblPr>
      <w:tblGrid>
        <w:gridCol w:w="705"/>
        <w:gridCol w:w="619"/>
        <w:gridCol w:w="625"/>
        <w:gridCol w:w="1352"/>
        <w:gridCol w:w="1352"/>
        <w:gridCol w:w="1931"/>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Alton E. Shader</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46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Alton E. Shader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Jonathan M. Lyons</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46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Jonathan M. Lyons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Senior Vice President and Chief Financial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 foregoing certifications are furnished and are not deemed filed with the Securities and Exchange Commission for purposes of Section 18 of the Securities Exchange Act of 1934, as amended (the “Exchange Act”), and are not deemed to be incorporated by reference into any filing of Sotera Health Company under the Securities Act of 1933, as amended, or the Exchange Act, except to the extent that Sotera Health Company specifically incorporates them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2479/000119312526232585/d107933dex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24036</Words>
  <Characters>133428</Characters>
  <CharactersWithSpaces>155759</CharactersWithSpaces>
  <Paragraphs>3110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