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4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23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For the transition period from</w:t>
      </w:r>
    </w:p>
    <w:p>
      <w:pPr>
        <w:spacing w:after="0" w:line="113"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95250</wp:posOffset>
            </wp:positionV>
            <wp:extent cx="128587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496" w:lineRule="exact"/>
        <w:rPr>
          <w:sz w:val="24"/>
          <w:szCs w:val="24"/>
          <w:color w:val="auto"/>
        </w:rPr>
      </w:pPr>
    </w:p>
    <w:p>
      <w:pPr>
        <w:sectPr>
          <w:pgSz w:w="11900" w:h="16838" w:orient="portrait"/>
          <w:cols w:equalWidth="0" w:num="2">
            <w:col w:w="6880" w:space="0"/>
            <w:col w:w="4360"/>
          </w:cols>
          <w:pgMar w:left="320" w:top="22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SOTERA HEALTH COMPANY</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3"/>
              </w:rPr>
              <w:t>Delaware</w:t>
            </w:r>
          </w:p>
        </w:tc>
        <w:tc>
          <w:tcPr>
            <w:tcW w:w="2000" w:type="dxa"/>
            <w:vAlign w:val="bottom"/>
          </w:tcPr>
          <w:p>
            <w:pPr>
              <w:spacing w:after="0"/>
              <w:rPr>
                <w:sz w:val="18"/>
                <w:szCs w:val="18"/>
                <w:color w:val="auto"/>
              </w:rPr>
            </w:pPr>
          </w:p>
        </w:tc>
        <w:tc>
          <w:tcPr>
            <w:tcW w:w="4440" w:type="dxa"/>
            <w:vAlign w:val="bottom"/>
          </w:tcPr>
          <w:p>
            <w:pPr>
              <w:jc w:val="right"/>
              <w:ind w:right="2239"/>
              <w:spacing w:after="0"/>
              <w:rPr>
                <w:sz w:val="20"/>
                <w:szCs w:val="20"/>
                <w:color w:val="auto"/>
              </w:rPr>
            </w:pPr>
            <w:r>
              <w:rPr>
                <w:rFonts w:ascii="Arial" w:cs="Arial" w:eastAsia="Arial" w:hAnsi="Arial"/>
                <w:sz w:val="16"/>
                <w:szCs w:val="16"/>
                <w:b w:val="1"/>
                <w:bCs w:val="1"/>
                <w:color w:val="auto"/>
              </w:rPr>
              <w:t>47-3531161</w:t>
            </w: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2000" w:type="dxa"/>
            <w:vAlign w:val="bottom"/>
          </w:tcPr>
          <w:p>
            <w:pPr>
              <w:spacing w:after="0"/>
              <w:rPr>
                <w:sz w:val="21"/>
                <w:szCs w:val="21"/>
                <w:color w:val="auto"/>
              </w:rPr>
            </w:pPr>
          </w:p>
        </w:tc>
        <w:tc>
          <w:tcPr>
            <w:tcW w:w="4440" w:type="dxa"/>
            <w:vAlign w:val="bottom"/>
          </w:tcPr>
          <w:p>
            <w:pPr>
              <w:jc w:val="center"/>
              <w:ind w:right="899"/>
              <w:spacing w:after="0"/>
              <w:rPr>
                <w:sz w:val="20"/>
                <w:szCs w:val="20"/>
                <w:color w:val="auto"/>
              </w:rPr>
            </w:pPr>
            <w:r>
              <w:rPr>
                <w:rFonts w:ascii="Arial" w:cs="Arial" w:eastAsia="Arial" w:hAnsi="Arial"/>
                <w:sz w:val="16"/>
                <w:szCs w:val="16"/>
                <w:color w:val="auto"/>
                <w:w w:val="94"/>
              </w:rPr>
              <w:t>(I.R.S. Employer Identification No.)</w:t>
            </w:r>
          </w:p>
        </w:tc>
      </w:tr>
      <w:tr>
        <w:trPr>
          <w:trHeight w:val="365"/>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9100 South Hills Blvd, Suite 300</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Broadview Heights, Ohio</w:t>
            </w:r>
          </w:p>
        </w:tc>
        <w:tc>
          <w:tcPr>
            <w:tcW w:w="2000" w:type="dxa"/>
            <w:vAlign w:val="bottom"/>
          </w:tcPr>
          <w:p>
            <w:pPr>
              <w:spacing w:after="0"/>
              <w:rPr>
                <w:sz w:val="21"/>
                <w:szCs w:val="21"/>
                <w:color w:val="auto"/>
              </w:rPr>
            </w:pPr>
          </w:p>
        </w:tc>
        <w:tc>
          <w:tcPr>
            <w:tcW w:w="4440" w:type="dxa"/>
            <w:vAlign w:val="bottom"/>
          </w:tcPr>
          <w:p>
            <w:pPr>
              <w:jc w:val="right"/>
              <w:ind w:right="2419"/>
              <w:spacing w:after="0"/>
              <w:rPr>
                <w:sz w:val="20"/>
                <w:szCs w:val="20"/>
                <w:color w:val="auto"/>
              </w:rPr>
            </w:pPr>
            <w:r>
              <w:rPr>
                <w:rFonts w:ascii="Arial" w:cs="Arial" w:eastAsia="Arial" w:hAnsi="Arial"/>
                <w:sz w:val="16"/>
                <w:szCs w:val="16"/>
                <w:b w:val="1"/>
                <w:bCs w:val="1"/>
                <w:color w:val="auto"/>
              </w:rPr>
              <w:t>44147</w:t>
            </w: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color w:val="auto"/>
                <w:w w:val="94"/>
              </w:rPr>
              <w:t>(Address of principal executive offices)</w:t>
            </w:r>
          </w:p>
        </w:tc>
        <w:tc>
          <w:tcPr>
            <w:tcW w:w="2000" w:type="dxa"/>
            <w:vAlign w:val="bottom"/>
          </w:tcPr>
          <w:p>
            <w:pPr>
              <w:spacing w:after="0"/>
              <w:rPr>
                <w:sz w:val="21"/>
                <w:szCs w:val="21"/>
                <w:color w:val="auto"/>
              </w:rPr>
            </w:pPr>
          </w:p>
        </w:tc>
        <w:tc>
          <w:tcPr>
            <w:tcW w:w="4440" w:type="dxa"/>
            <w:vAlign w:val="bottom"/>
          </w:tcPr>
          <w:p>
            <w:pPr>
              <w:jc w:val="center"/>
              <w:ind w:right="879"/>
              <w:spacing w:after="0"/>
              <w:rPr>
                <w:sz w:val="20"/>
                <w:szCs w:val="20"/>
                <w:color w:val="auto"/>
              </w:rPr>
            </w:pPr>
            <w:r>
              <w:rPr>
                <w:rFonts w:ascii="Arial" w:cs="Arial" w:eastAsia="Arial" w:hAnsi="Arial"/>
                <w:sz w:val="16"/>
                <w:szCs w:val="16"/>
                <w:color w:val="auto"/>
                <w:w w:val="95"/>
              </w:rPr>
              <w:t>(Zip Code)</w:t>
            </w:r>
          </w:p>
        </w:tc>
      </w:tr>
      <w:tr>
        <w:trPr>
          <w:trHeight w:val="365"/>
        </w:trPr>
        <w:tc>
          <w:tcPr>
            <w:tcW w:w="4780" w:type="dxa"/>
            <w:vAlign w:val="bottom"/>
          </w:tcPr>
          <w:p>
            <w:pPr>
              <w:jc w:val="center"/>
              <w:ind w:left="499"/>
              <w:spacing w:after="0"/>
              <w:rPr>
                <w:sz w:val="20"/>
                <w:szCs w:val="20"/>
                <w:color w:val="auto"/>
              </w:rPr>
            </w:pPr>
            <w:r>
              <w:rPr>
                <w:rFonts w:ascii="Arial" w:cs="Arial" w:eastAsia="Arial" w:hAnsi="Arial"/>
                <w:sz w:val="16"/>
                <w:szCs w:val="16"/>
                <w:color w:val="auto"/>
                <w:w w:val="90"/>
              </w:rPr>
              <w:t>Registrant’s telephone number, including area code</w:t>
            </w:r>
          </w:p>
        </w:tc>
        <w:tc>
          <w:tcPr>
            <w:tcW w:w="2000" w:type="dxa"/>
            <w:vAlign w:val="bottom"/>
          </w:tcPr>
          <w:p>
            <w:pPr>
              <w:spacing w:after="0"/>
              <w:rPr>
                <w:sz w:val="24"/>
                <w:szCs w:val="24"/>
                <w:color w:val="auto"/>
              </w:rPr>
            </w:pPr>
          </w:p>
        </w:tc>
        <w:tc>
          <w:tcPr>
            <w:tcW w:w="4440" w:type="dxa"/>
            <w:vAlign w:val="bottom"/>
          </w:tcPr>
          <w:p>
            <w:pPr>
              <w:jc w:val="right"/>
              <w:ind w:right="1939"/>
              <w:spacing w:after="0"/>
              <w:rPr>
                <w:sz w:val="20"/>
                <w:szCs w:val="20"/>
                <w:color w:val="auto"/>
              </w:rPr>
            </w:pPr>
            <w:r>
              <w:rPr>
                <w:rFonts w:ascii="Arial" w:cs="Arial" w:eastAsia="Arial" w:hAnsi="Arial"/>
                <w:sz w:val="16"/>
                <w:szCs w:val="16"/>
                <w:b w:val="1"/>
                <w:bCs w:val="1"/>
                <w:color w:val="auto"/>
              </w:rPr>
              <w:t>(440)  262-1410</w:t>
            </w:r>
          </w:p>
        </w:tc>
      </w:tr>
      <w:tr>
        <w:trPr>
          <w:trHeight w:val="418"/>
        </w:trPr>
        <w:tc>
          <w:tcPr>
            <w:tcW w:w="478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64"/>
        </w:trPr>
        <w:tc>
          <w:tcPr>
            <w:tcW w:w="47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8"/>
              </w:rPr>
              <w:t>Title of each class</w:t>
            </w:r>
          </w:p>
        </w:tc>
        <w:tc>
          <w:tcPr>
            <w:tcW w:w="20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1"/>
              </w:rPr>
              <w:t>Trading Symbol(s)</w:t>
            </w:r>
          </w:p>
        </w:tc>
        <w:tc>
          <w:tcPr>
            <w:tcW w:w="44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3"/>
        </w:trPr>
        <w:tc>
          <w:tcPr>
            <w:tcW w:w="478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200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SHC</w:t>
            </w:r>
          </w:p>
        </w:tc>
        <w:tc>
          <w:tcPr>
            <w:tcW w:w="444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The Nasdaq Stock Market LLC</w:t>
            </w:r>
          </w:p>
        </w:tc>
      </w:tr>
    </w:tbl>
    <w:p>
      <w:pPr>
        <w:spacing w:after="0" w:line="280"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p>
      <w:pPr>
        <w:spacing w:after="0" w:line="1"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w:t>
      </w:r>
    </w:p>
    <w:p>
      <w:pPr>
        <w:spacing w:after="0" w:line="173"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54" w:lineRule="exact"/>
        <w:rPr>
          <w:sz w:val="24"/>
          <w:szCs w:val="24"/>
          <w:color w:val="auto"/>
        </w:rPr>
      </w:pPr>
    </w:p>
    <w:p>
      <w:pPr>
        <w:ind w:right="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1860" w:type="dxa"/>
        <w:tblCellMar>
          <w:top w:w="0" w:type="dxa"/>
          <w:left w:w="0" w:type="dxa"/>
          <w:bottom w:w="0" w:type="dxa"/>
          <w:right w:w="0" w:type="dxa"/>
        </w:tblCellMar>
      </w:tblPr>
      <w:tr>
        <w:trPr>
          <w:trHeight w:val="243"/>
        </w:trPr>
        <w:tc>
          <w:tcPr>
            <w:tcW w:w="2460" w:type="dxa"/>
            <w:vAlign w:val="bottom"/>
          </w:tcPr>
          <w:p>
            <w:pPr>
              <w:jc w:val="center"/>
              <w:ind w:right="919"/>
              <w:spacing w:after="0"/>
              <w:rPr>
                <w:sz w:val="20"/>
                <w:szCs w:val="20"/>
                <w:color w:val="auto"/>
              </w:rPr>
            </w:pPr>
            <w:r>
              <w:rPr>
                <w:rFonts w:ascii="Arial" w:cs="Arial" w:eastAsia="Arial" w:hAnsi="Arial"/>
                <w:sz w:val="16"/>
                <w:szCs w:val="16"/>
                <w:color w:val="auto"/>
                <w:w w:val="92"/>
              </w:rPr>
              <w:t>Large 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w w:val="94"/>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460" w:type="dxa"/>
            <w:vAlign w:val="bottom"/>
          </w:tcPr>
          <w:p>
            <w:pPr>
              <w:jc w:val="center"/>
              <w:ind w:right="919"/>
              <w:spacing w:after="0"/>
              <w:rPr>
                <w:sz w:val="20"/>
                <w:szCs w:val="20"/>
                <w:color w:val="auto"/>
              </w:rPr>
            </w:pPr>
            <w:r>
              <w:rPr>
                <w:rFonts w:ascii="Arial" w:cs="Arial" w:eastAsia="Arial" w:hAnsi="Arial"/>
                <w:sz w:val="16"/>
                <w:szCs w:val="16"/>
                <w:color w:val="auto"/>
                <w:w w:val="93"/>
              </w:rPr>
              <w:t>Non-accelerated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w w:val="92"/>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6"/>
                <w:szCs w:val="16"/>
                <w:color w:val="auto"/>
                <w:w w:val="92"/>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6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As of July 27, 2022, there were 282,902,367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TABLE OF CONTENTS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3040" w:type="dxa"/>
            <w:vAlign w:val="bottom"/>
            <w:gridSpan w:val="10"/>
            <w:shd w:val="clear" w:color="auto" w:fill="CCEEFF"/>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I—FINANCIAL INFORMATION</w:t>
              </w:r>
            </w:hyperlink>
          </w:p>
        </w:tc>
        <w:tc>
          <w:tcPr>
            <w:tcW w:w="7980" w:type="dxa"/>
            <w:vAlign w:val="bottom"/>
            <w:gridSpan w:val="3"/>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9"/>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Item 1. Financial Statements</w:t>
              </w:r>
            </w:hyperlink>
          </w:p>
        </w:tc>
        <w:tc>
          <w:tcPr>
            <w:tcW w:w="7980" w:type="dxa"/>
            <w:vAlign w:val="bottom"/>
            <w:gridSpan w:val="3"/>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1"/>
              </w:rPr>
            </w:pPr>
            <w:hyperlink w:anchor="page30">
              <w:r>
                <w:rPr>
                  <w:rFonts w:ascii="Arial" w:cs="Arial" w:eastAsia="Arial" w:hAnsi="Arial"/>
                  <w:sz w:val="18"/>
                  <w:szCs w:val="18"/>
                  <w:color w:val="0000FF"/>
                  <w:w w:val="91"/>
                </w:rPr>
                <w:t>Item 2. Management’s Discussion and Analysis of Financial Condition and Results of Operations</w:t>
              </w:r>
            </w:hyperlink>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31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line="202" w:lineRule="exact"/>
              <w:rPr>
                <w:rFonts w:ascii="Arial" w:cs="Arial" w:eastAsia="Arial" w:hAnsi="Arial"/>
                <w:sz w:val="18"/>
                <w:szCs w:val="18"/>
                <w:color w:val="0000FF"/>
                <w:w w:val="94"/>
              </w:rPr>
            </w:pPr>
            <w:hyperlink w:anchor="page45">
              <w:r>
                <w:rPr>
                  <w:rFonts w:ascii="Arial" w:cs="Arial" w:eastAsia="Arial" w:hAnsi="Arial"/>
                  <w:sz w:val="18"/>
                  <w:szCs w:val="18"/>
                  <w:color w:val="0000FF"/>
                  <w:w w:val="94"/>
                </w:rPr>
                <w:t>Item 3.</w:t>
              </w:r>
            </w:hyperlink>
          </w:p>
        </w:tc>
        <w:tc>
          <w:tcPr>
            <w:tcW w:w="10260" w:type="dxa"/>
            <w:vAlign w:val="bottom"/>
            <w:gridSpan w:val="11"/>
          </w:tcPr>
          <w:p>
            <w:pPr>
              <w:ind w:lef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Quantitative and Qualitative Disclosures About Market Risk</w:t>
              </w:r>
            </w:hyperlink>
          </w:p>
        </w:tc>
        <w:tc>
          <w:tcPr>
            <w:tcW w:w="180" w:type="dxa"/>
            <w:vAlign w:val="bottom"/>
            <w:gridSpan w:val="2"/>
          </w:tcPr>
          <w:p>
            <w:pPr>
              <w:jc w:val="right"/>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2" w:lineRule="exact"/>
              <w:rPr>
                <w:rFonts w:ascii="Arial" w:cs="Arial" w:eastAsia="Arial" w:hAnsi="Arial"/>
                <w:sz w:val="18"/>
                <w:szCs w:val="18"/>
                <w:color w:val="0000FF"/>
                <w:w w:val="94"/>
              </w:rPr>
            </w:pPr>
            <w:hyperlink w:anchor="page45">
              <w:r>
                <w:rPr>
                  <w:rFonts w:ascii="Arial" w:cs="Arial" w:eastAsia="Arial" w:hAnsi="Arial"/>
                  <w:sz w:val="18"/>
                  <w:szCs w:val="18"/>
                  <w:color w:val="0000FF"/>
                  <w:w w:val="94"/>
                </w:rPr>
                <w:t>Item 4.</w:t>
              </w:r>
            </w:hyperlink>
          </w:p>
        </w:tc>
        <w:tc>
          <w:tcPr>
            <w:tcW w:w="10260" w:type="dxa"/>
            <w:vAlign w:val="bottom"/>
            <w:gridSpan w:val="11"/>
            <w:shd w:val="clear" w:color="auto" w:fill="CCEEFF"/>
          </w:tcPr>
          <w:p>
            <w:pPr>
              <w:ind w:lef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20" w:type="dxa"/>
            <w:vAlign w:val="bottom"/>
            <w:gridSpan w:val="13"/>
          </w:tcPr>
          <w:p>
            <w:pPr>
              <w:spacing w:after="0" w:line="202" w:lineRule="exact"/>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Part II—OTHER INFORMATION</w:t>
              </w:r>
            </w:hyperlink>
          </w:p>
        </w:tc>
        <w:tc>
          <w:tcPr>
            <w:tcW w:w="180" w:type="dxa"/>
            <w:vAlign w:val="bottom"/>
            <w:gridSpan w:val="2"/>
          </w:tcPr>
          <w:p>
            <w:pPr>
              <w:jc w:val="right"/>
              <w:spacing w:after="0" w:line="202"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rFonts w:ascii="Arial" w:cs="Arial" w:eastAsia="Arial" w:hAnsi="Arial"/>
                <w:sz w:val="18"/>
                <w:szCs w:val="18"/>
                <w:color w:val="0000FF"/>
                <w:w w:val="94"/>
              </w:rPr>
            </w:pPr>
            <w:hyperlink w:anchor="page47">
              <w:r>
                <w:rPr>
                  <w:rFonts w:ascii="Arial" w:cs="Arial" w:eastAsia="Arial" w:hAnsi="Arial"/>
                  <w:sz w:val="18"/>
                  <w:szCs w:val="18"/>
                  <w:color w:val="0000FF"/>
                  <w:w w:val="94"/>
                </w:rPr>
                <w:t>Item 1.</w:t>
              </w:r>
            </w:hyperlink>
          </w:p>
        </w:tc>
        <w:tc>
          <w:tcPr>
            <w:tcW w:w="1400" w:type="dxa"/>
            <w:vAlign w:val="bottom"/>
            <w:tcBorders>
              <w:bottom w:val="single" w:sz="8" w:color="0000FF"/>
            </w:tcBorders>
            <w:gridSpan w:val="4"/>
            <w:shd w:val="clear" w:color="auto" w:fill="CCEEFF"/>
          </w:tcPr>
          <w:p>
            <w:pPr>
              <w:ind w:left="20"/>
              <w:spacing w:after="0" w:line="202" w:lineRule="exact"/>
              <w:rPr>
                <w:rFonts w:ascii="Arial" w:cs="Arial" w:eastAsia="Arial" w:hAnsi="Arial"/>
                <w:sz w:val="18"/>
                <w:szCs w:val="18"/>
                <w:color w:val="0000FF"/>
                <w:w w:val="88"/>
              </w:rPr>
            </w:pPr>
            <w:hyperlink w:anchor="page47">
              <w:r>
                <w:rPr>
                  <w:rFonts w:ascii="Arial" w:cs="Arial" w:eastAsia="Arial" w:hAnsi="Arial"/>
                  <w:sz w:val="18"/>
                  <w:szCs w:val="18"/>
                  <w:color w:val="0000FF"/>
                  <w:w w:val="88"/>
                </w:rPr>
                <w:t>Legal Proceedings.</w:t>
              </w:r>
            </w:hyperlink>
          </w:p>
        </w:tc>
        <w:tc>
          <w:tcPr>
            <w:tcW w:w="886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2"/>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Item 1A. Risk Factors.</w:t>
              </w:r>
            </w:hyperlink>
          </w:p>
        </w:tc>
        <w:tc>
          <w:tcPr>
            <w:tcW w:w="180" w:type="dxa"/>
            <w:vAlign w:val="bottom"/>
            <w:gridSpan w:val="2"/>
          </w:tcPr>
          <w:p>
            <w:pPr>
              <w:jc w:val="right"/>
              <w:spacing w:after="0" w:line="20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line="202" w:lineRule="exact"/>
              <w:rPr>
                <w:rFonts w:ascii="Arial" w:cs="Arial" w:eastAsia="Arial" w:hAnsi="Arial"/>
                <w:sz w:val="18"/>
                <w:szCs w:val="18"/>
                <w:color w:val="0000FF"/>
                <w:w w:val="94"/>
              </w:rPr>
            </w:pPr>
            <w:hyperlink w:anchor="page48">
              <w:r>
                <w:rPr>
                  <w:rFonts w:ascii="Arial" w:cs="Arial" w:eastAsia="Arial" w:hAnsi="Arial"/>
                  <w:sz w:val="18"/>
                  <w:szCs w:val="18"/>
                  <w:color w:val="0000FF"/>
                  <w:w w:val="94"/>
                </w:rPr>
                <w:t>Item 6.</w:t>
              </w:r>
            </w:hyperlink>
          </w:p>
        </w:tc>
        <w:tc>
          <w:tcPr>
            <w:tcW w:w="10260" w:type="dxa"/>
            <w:vAlign w:val="bottom"/>
            <w:gridSpan w:val="11"/>
            <w:shd w:val="clear" w:color="auto" w:fill="CCEEFF"/>
          </w:tcPr>
          <w:p>
            <w:pPr>
              <w:ind w:lef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c>
          <w:tcPr>
            <w:tcW w:w="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0" w:type="dxa"/>
            <w:vAlign w:val="bottom"/>
            <w:tcBorders>
              <w:top w:val="single" w:sz="8" w:color="0000FF"/>
            </w:tcBorders>
            <w:gridSpan w:val="3"/>
          </w:tcPr>
          <w:p>
            <w:pPr>
              <w:spacing w:after="0" w:line="202" w:lineRule="exact"/>
              <w:rPr>
                <w:rFonts w:ascii="Arial" w:cs="Arial" w:eastAsia="Arial" w:hAnsi="Arial"/>
                <w:sz w:val="18"/>
                <w:szCs w:val="18"/>
                <w:b w:val="1"/>
                <w:bCs w:val="1"/>
                <w:color w:val="0000FF"/>
                <w:w w:val="99"/>
              </w:rPr>
            </w:pPr>
            <w:hyperlink w:anchor="page49">
              <w:r>
                <w:rPr>
                  <w:rFonts w:ascii="Arial" w:cs="Arial" w:eastAsia="Arial" w:hAnsi="Arial"/>
                  <w:sz w:val="18"/>
                  <w:szCs w:val="18"/>
                  <w:b w:val="1"/>
                  <w:bCs w:val="1"/>
                  <w:color w:val="0000FF"/>
                  <w:w w:val="99"/>
                </w:rPr>
                <w:t>SIGNATURES</w:t>
              </w:r>
            </w:hyperlink>
          </w:p>
        </w:tc>
        <w:tc>
          <w:tcPr>
            <w:tcW w:w="960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FF"/>
            </w:tcBorders>
            <w:gridSpan w:val="2"/>
          </w:tcPr>
          <w:p>
            <w:pPr>
              <w:jc w:val="right"/>
              <w:spacing w:after="0" w:line="202"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50</w:t>
              </w:r>
            </w:hyperlink>
          </w:p>
        </w:tc>
        <w:tc>
          <w:tcPr>
            <w:tcW w:w="20" w:type="dxa"/>
            <w:vAlign w:val="bottom"/>
            <w:tcBorders>
              <w:top w:val="single" w:sz="8" w:color="CCEEFF"/>
            </w:tcBorders>
          </w:tcPr>
          <w:p>
            <w:pPr>
              <w:spacing w:after="0"/>
              <w:rPr>
                <w:sz w:val="17"/>
                <w:szCs w:val="17"/>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This Quarterly Report on Form 10-Q includes “forward-looking statements” within the meaning of the Private Securities Litigation Reform Act of 1995. Forward looking statements are often characterized by the use of the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192" w:lineRule="exact"/>
        <w:rPr>
          <w:sz w:val="20"/>
          <w:szCs w:val="20"/>
          <w:color w:val="auto"/>
        </w:rPr>
      </w:pPr>
    </w:p>
    <w:p>
      <w:pPr>
        <w:ind w:left="980" w:hanging="324"/>
        <w:spacing w:after="0" w:line="255"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the availability of, or increases in the price of, ethylene oxide (“EO”), Cobalt-60 (“Co-60”) or our other direct materials, services and supplies, including as a result of current geopolitical instability arising from U.S., Canadian and European Union relations with Russia and related sanctions;</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industry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environmental, health and safety regulations or preferences;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health and safety risks associated with the use, storage, transportation and disposal of potentially hazardous materials such as EO and Co-60;</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liability claims relating to health risks associated with the use of EO;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future legal proceedings;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we face;</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changes, including inflationary trends, that impact our long-term supply contracts with variable price clauses and increase our cost of revenues;</w:t>
      </w: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allegations of our failure to properly perform services and potential product liability claims, recalls, penalties and reputational harm;</w:t>
      </w:r>
    </w:p>
    <w:p>
      <w:pPr>
        <w:spacing w:after="0" w:line="20" w:lineRule="exact"/>
        <w:rPr>
          <w:rFonts w:ascii="Arial" w:cs="Arial" w:eastAsia="Arial" w:hAnsi="Arial"/>
          <w:sz w:val="17"/>
          <w:szCs w:val="17"/>
          <w:color w:val="auto"/>
        </w:rPr>
      </w:pPr>
    </w:p>
    <w:p>
      <w:pPr>
        <w:ind w:left="980" w:right="2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the extensive regulatory requirements to which we are subject, the related costs, and any failures to receive or maintain, or delays in receiving, required clearance or approvals;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continuity hazards, including supply chain disruptions and other risks associated with our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impact of the COVID-19 pandemic;</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build new facilities in a timely and cost-effective manner and renew leases for our facilities;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doing business internationally, including global and regional economic and political instability and compliance with numerous laws and regulations in multiple jurisdictions;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 security breaches, unauthorized data disclosures, and our dependence on information technology systems;</w:t>
      </w:r>
    </w:p>
    <w:p>
      <w:pPr>
        <w:spacing w:after="0" w:line="9" w:lineRule="exact"/>
        <w:rPr>
          <w:rFonts w:ascii="Arial" w:cs="Arial" w:eastAsia="Arial" w:hAnsi="Arial"/>
          <w:sz w:val="18"/>
          <w:szCs w:val="18"/>
          <w:color w:val="auto"/>
        </w:rPr>
      </w:pPr>
    </w:p>
    <w:p>
      <w:pPr>
        <w:ind w:left="980" w:right="4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inability to pursue strategic transactions, including our ability to find suitable acquisition targets, or our failure to integrate strategic acquisitions successfully into our business;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ind w:left="980" w:right="2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rapidly evolving data privacy and security laws and regulations and any ineffective compliance efforts with such laws and regulations;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unionization efforts and labor regulations in certain countries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 as well as other long-lived assets and intangible assets with definite lives;</w:t>
      </w:r>
    </w:p>
    <w:p>
      <w:pPr>
        <w:ind w:left="980" w:right="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w:t>
      </w:r>
    </w:p>
    <w:p>
      <w:pPr>
        <w:jc w:val="both"/>
        <w:ind w:left="980" w:right="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around discontinuation of LIBOR and transition to certain other interest “benchmarks.”</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2021 (the “2021 10-K”).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2022</w:t>
            </w:r>
          </w:p>
        </w:tc>
        <w:tc>
          <w:tcPr>
            <w:tcW w:w="14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26"/>
        </w:trPr>
        <w:tc>
          <w:tcPr>
            <w:tcW w:w="8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i w:val="1"/>
                <w:iCs w:val="1"/>
                <w:color w:val="auto"/>
                <w:w w:val="92"/>
              </w:rPr>
              <w:t>(Unaudited)</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139,564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106,917</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Restricted cash short-term</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1,054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 net of allowance for uncollectible accounts of $1,816 and $1,287,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119,852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108,183</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Inventories,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39,652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54,288</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81,173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71,923</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Income taxes receivable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17,386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4,643</w:t>
            </w:r>
          </w:p>
        </w:tc>
        <w:tc>
          <w:tcPr>
            <w:tcW w:w="0" w:type="dxa"/>
            <w:vAlign w:val="bottom"/>
          </w:tcPr>
          <w:p>
            <w:pPr>
              <w:spacing w:after="0"/>
              <w:rPr>
                <w:sz w:val="1"/>
                <w:szCs w:val="1"/>
                <w:color w:val="auto"/>
              </w:rPr>
            </w:pPr>
          </w:p>
        </w:tc>
      </w:tr>
      <w:tr>
        <w:trPr>
          <w:trHeight w:val="26"/>
        </w:trPr>
        <w:tc>
          <w:tcPr>
            <w:tcW w:w="8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398,681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345,961</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699,571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650,797</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29,853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39,946</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5,425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5,885</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 unconsolidated affiliate</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9,405</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Post-retirement assets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8,788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5,478</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38,308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12,866</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Other intangible assets,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543,057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598,844</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1,116,002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1,120,320</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2,839,685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2,789,502</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8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Liabilities and equity</w:t>
            </w:r>
          </w:p>
        </w:tc>
        <w:tc>
          <w:tcPr>
            <w:tcW w:w="2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65,271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72,868</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52,658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61,861</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revenues</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6,863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8,669</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Current portion of finance lease obligations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1,615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Current portion of operating lease obligations</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8,132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9,289</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Current portion of asset retirement obligations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Income taxes payable</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6,876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142,021</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161,161</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1,745,548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1,743,534</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Finance lease obligations, less current portion</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57,140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40,877</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obligations, less current portion</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24,546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33,017</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42,688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41,833</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lease income</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20,146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20,745</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Post-retirement obligations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11,198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11,464</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15,668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16,274</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144,730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134,501</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2,203,685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2,203,406</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See Commitments and contingencies note</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280" w:type="dxa"/>
            <w:vAlign w:val="bottom"/>
          </w:tcPr>
          <w:p>
            <w:pPr>
              <w:ind w:left="360"/>
              <w:spacing w:after="0"/>
              <w:rPr>
                <w:sz w:val="20"/>
                <w:szCs w:val="20"/>
                <w:color w:val="auto"/>
              </w:rPr>
            </w:pPr>
            <w:r>
              <w:rPr>
                <w:rFonts w:ascii="Arial" w:cs="Arial" w:eastAsia="Arial" w:hAnsi="Arial"/>
                <w:sz w:val="14"/>
                <w:szCs w:val="14"/>
                <w:color w:val="auto"/>
                <w:w w:val="95"/>
              </w:rPr>
              <w:t>Common stock, with $0.01 par value, 1,200,000 shares authorized; 286,037 shares issued at June 30, 2022 and December 31, 2021,</w:t>
            </w: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80" w:type="dxa"/>
            <w:vAlign w:val="bottom"/>
          </w:tcPr>
          <w:p>
            <w:pPr>
              <w:ind w:left="520"/>
              <w:spacing w:after="0"/>
              <w:rPr>
                <w:sz w:val="20"/>
                <w:szCs w:val="20"/>
                <w:color w:val="auto"/>
              </w:rPr>
            </w:pPr>
            <w:r>
              <w:rPr>
                <w:rFonts w:ascii="Arial" w:cs="Arial" w:eastAsia="Arial" w:hAnsi="Arial"/>
                <w:sz w:val="14"/>
                <w:szCs w:val="14"/>
                <w:color w:val="auto"/>
              </w:rPr>
              <w:t>respectively.</w:t>
            </w: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Preferred stock, with $0.01 par value, 120,000 authorized; no shares issued at June 30, 2022 and</w:t>
            </w:r>
          </w:p>
        </w:tc>
        <w:tc>
          <w:tcPr>
            <w:tcW w:w="20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December 31, 2021, respectively</w:t>
            </w:r>
          </w:p>
        </w:tc>
        <w:tc>
          <w:tcPr>
            <w:tcW w:w="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Treasury stock, at cost (3,135 and 3,052 shares at June 30, 2022 and December 31, 2021, respectively)</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(32,654)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(33,545)</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1,181,995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1,172,593</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Retained deficit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(411,187)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(472,246)</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(105,014)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(83,566)</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equity attributable to Sotera Health Company</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636,000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586,096</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equity</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636,000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586,096</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2,839,685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2,789,502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240"/>
          </w:cols>
          <w:pgMar w:left="320" w:top="161" w:right="339" w:bottom="1027"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027"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4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6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20" w:type="dxa"/>
            <w:vAlign w:val="bottom"/>
          </w:tcPr>
          <w:p>
            <w:pPr>
              <w:ind w:left="460"/>
              <w:spacing w:after="0"/>
              <w:rPr>
                <w:sz w:val="20"/>
                <w:szCs w:val="20"/>
                <w:color w:val="auto"/>
              </w:rPr>
            </w:pPr>
            <w:r>
              <w:rPr>
                <w:rFonts w:ascii="Arial" w:cs="Arial" w:eastAsia="Arial" w:hAnsi="Arial"/>
                <w:sz w:val="16"/>
                <w:szCs w:val="16"/>
                <w:color w:val="auto"/>
              </w:rPr>
              <w:t>Service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221,529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208,710</w:t>
            </w:r>
          </w:p>
        </w:tc>
        <w:tc>
          <w:tcPr>
            <w:tcW w:w="16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427,747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397,408</w:t>
            </w:r>
          </w:p>
        </w:tc>
        <w:tc>
          <w:tcPr>
            <w:tcW w:w="0" w:type="dxa"/>
            <w:vAlign w:val="bottom"/>
          </w:tcPr>
          <w:p>
            <w:pPr>
              <w:spacing w:after="0"/>
              <w:rPr>
                <w:sz w:val="1"/>
                <w:szCs w:val="1"/>
                <w:color w:val="auto"/>
              </w:rPr>
            </w:pPr>
          </w:p>
        </w:tc>
      </w:tr>
      <w:tr>
        <w:trPr>
          <w:trHeight w:val="246"/>
        </w:trPr>
        <w:tc>
          <w:tcPr>
            <w:tcW w:w="6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Product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45,110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43,207</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75,646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66,657</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Total net revenues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266,639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251,917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503,393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464,065</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20" w:type="dxa"/>
            <w:vAlign w:val="bottom"/>
          </w:tcPr>
          <w:p>
            <w:pPr>
              <w:ind w:left="460"/>
              <w:spacing w:after="0"/>
              <w:rPr>
                <w:sz w:val="20"/>
                <w:szCs w:val="20"/>
                <w:color w:val="auto"/>
              </w:rPr>
            </w:pPr>
            <w:r>
              <w:rPr>
                <w:rFonts w:ascii="Arial" w:cs="Arial" w:eastAsia="Arial" w:hAnsi="Arial"/>
                <w:sz w:val="16"/>
                <w:szCs w:val="16"/>
                <w:color w:val="auto"/>
              </w:rPr>
              <w:t>Service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98,407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91,391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192,983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176,427</w:t>
            </w:r>
          </w:p>
        </w:tc>
        <w:tc>
          <w:tcPr>
            <w:tcW w:w="0" w:type="dxa"/>
            <w:vAlign w:val="bottom"/>
          </w:tcPr>
          <w:p>
            <w:pPr>
              <w:spacing w:after="0"/>
              <w:rPr>
                <w:sz w:val="1"/>
                <w:szCs w:val="1"/>
                <w:color w:val="auto"/>
              </w:rPr>
            </w:pPr>
          </w:p>
        </w:tc>
      </w:tr>
      <w:tr>
        <w:trPr>
          <w:trHeight w:val="246"/>
        </w:trPr>
        <w:tc>
          <w:tcPr>
            <w:tcW w:w="6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Product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17,836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16,765</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31,139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28,505</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cost of revenues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116,243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108,156</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224,122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204,932</w:t>
            </w: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150,396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143,761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279,271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259,133</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63,132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49,828</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122,674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102,293</w:t>
            </w:r>
          </w:p>
        </w:tc>
        <w:tc>
          <w:tcPr>
            <w:tcW w:w="0" w:type="dxa"/>
            <w:vAlign w:val="bottom"/>
          </w:tcPr>
          <w:p>
            <w:pPr>
              <w:spacing w:after="0"/>
              <w:rPr>
                <w:sz w:val="1"/>
                <w:szCs w:val="1"/>
                <w:color w:val="auto"/>
              </w:rPr>
            </w:pPr>
          </w:p>
        </w:tc>
      </w:tr>
      <w:tr>
        <w:trPr>
          <w:trHeight w:val="237"/>
        </w:trPr>
        <w:tc>
          <w:tcPr>
            <w:tcW w:w="61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15,769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15,661</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31,610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32,204</w:t>
            </w:r>
          </w:p>
        </w:tc>
        <w:tc>
          <w:tcPr>
            <w:tcW w:w="0" w:type="dxa"/>
            <w:vAlign w:val="bottom"/>
          </w:tcPr>
          <w:p>
            <w:pPr>
              <w:spacing w:after="0"/>
              <w:rPr>
                <w:sz w:val="1"/>
                <w:szCs w:val="1"/>
                <w:color w:val="auto"/>
              </w:rPr>
            </w:pPr>
          </w:p>
        </w:tc>
      </w:tr>
      <w:tr>
        <w:trPr>
          <w:trHeight w:val="23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78,901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65,489</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154,284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134,497</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71,495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78,272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124,987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124,636</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19,163</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24,448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40,445</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Arial" w:cs="Arial" w:eastAsia="Arial" w:hAnsi="Arial"/>
                <w:sz w:val="16"/>
                <w:szCs w:val="16"/>
                <w:color w:val="auto"/>
              </w:rPr>
              <w:t>Impairment of investment in unconsolidated affiliate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9,613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9,613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14,312</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Arial" w:cs="Arial" w:eastAsia="Arial" w:hAnsi="Arial"/>
                <w:sz w:val="16"/>
                <w:szCs w:val="16"/>
                <w:color w:val="auto"/>
              </w:rPr>
              <w:t>Foreign exchange (gain) loss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4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(6,654)</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48,108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61,797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93,375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75,879</w:t>
            </w:r>
          </w:p>
        </w:tc>
        <w:tc>
          <w:tcPr>
            <w:tcW w:w="0" w:type="dxa"/>
            <w:vAlign w:val="bottom"/>
          </w:tcPr>
          <w:p>
            <w:pPr>
              <w:spacing w:after="0"/>
              <w:rPr>
                <w:sz w:val="1"/>
                <w:szCs w:val="1"/>
                <w:color w:val="auto"/>
              </w:rPr>
            </w:pPr>
          </w:p>
        </w:tc>
      </w:tr>
      <w:tr>
        <w:trPr>
          <w:trHeight w:val="24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17,690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19,182</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32,316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22,199</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30,418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42,615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61,059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53,680</w:t>
            </w:r>
          </w:p>
        </w:tc>
        <w:tc>
          <w:tcPr>
            <w:tcW w:w="0" w:type="dxa"/>
            <w:vAlign w:val="bottom"/>
          </w:tcPr>
          <w:p>
            <w:pPr>
              <w:spacing w:after="0"/>
              <w:rPr>
                <w:sz w:val="1"/>
                <w:szCs w:val="1"/>
                <w:color w:val="auto"/>
              </w:rPr>
            </w:pPr>
          </w:p>
        </w:tc>
      </w:tr>
      <w:tr>
        <w:trPr>
          <w:trHeight w:val="24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Less: Net income attributable to noncontrolling interests</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6"/>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attributable to Sotera Health Company</w:t>
            </w: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30,418</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42,599</w:t>
            </w:r>
          </w:p>
        </w:tc>
        <w:tc>
          <w:tcPr>
            <w:tcW w:w="1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61,059</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53,441</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120" w:type="dxa"/>
            <w:vAlign w:val="bottom"/>
          </w:tcPr>
          <w:p>
            <w:pPr>
              <w:ind w:left="440"/>
              <w:spacing w:after="0"/>
              <w:rPr>
                <w:sz w:val="20"/>
                <w:szCs w:val="20"/>
                <w:color w:val="auto"/>
              </w:rPr>
            </w:pPr>
            <w:r>
              <w:rPr>
                <w:rFonts w:ascii="Arial" w:cs="Arial" w:eastAsia="Arial" w:hAnsi="Arial"/>
                <w:sz w:val="16"/>
                <w:szCs w:val="16"/>
                <w:color w:val="auto"/>
                <w:w w:val="95"/>
              </w:rPr>
              <w:t>Pension and post-retirement benefits (net of taxes of $179, $(142), $87, and $(226),</w:t>
            </w:r>
          </w:p>
        </w:tc>
        <w:tc>
          <w:tcPr>
            <w:tcW w:w="2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68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9"/>
              </w:rPr>
              <w:t>Interest rate derivatives (net of taxes of $1,241, $0, $3,350 and $0, respectively)</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61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Foreign currency translation</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(46,038)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20,425</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(31,063)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17,339</w:t>
            </w: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62,619</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39,611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70,349</w:t>
            </w:r>
          </w:p>
        </w:tc>
        <w:tc>
          <w:tcPr>
            <w:tcW w:w="0" w:type="dxa"/>
            <w:vAlign w:val="bottom"/>
          </w:tcPr>
          <w:p>
            <w:pPr>
              <w:spacing w:after="0"/>
              <w:rPr>
                <w:sz w:val="1"/>
                <w:szCs w:val="1"/>
                <w:color w:val="auto"/>
              </w:rPr>
            </w:pPr>
          </w:p>
        </w:tc>
      </w:tr>
      <w:tr>
        <w:trPr>
          <w:trHeight w:val="237"/>
        </w:trPr>
        <w:tc>
          <w:tcPr>
            <w:tcW w:w="6120" w:type="dxa"/>
            <w:vAlign w:val="bottom"/>
          </w:tcPr>
          <w:p>
            <w:pPr>
              <w:ind w:left="2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68"/>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 attributable to Sotera Health Company</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62,293</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39,611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69,815</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33"/>
        </w:trPr>
        <w:tc>
          <w:tcPr>
            <w:tcW w:w="6120" w:type="dxa"/>
            <w:vAlign w:val="bottom"/>
          </w:tcPr>
          <w:p>
            <w:pPr>
              <w:ind w:left="46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20" w:type="dxa"/>
            <w:vAlign w:val="bottom"/>
          </w:tcPr>
          <w:p>
            <w:pPr>
              <w:ind w:left="46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279,990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279,078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279,910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278,953</w:t>
            </w:r>
          </w:p>
        </w:tc>
        <w:tc>
          <w:tcPr>
            <w:tcW w:w="0" w:type="dxa"/>
            <w:vAlign w:val="bottom"/>
          </w:tcPr>
          <w:p>
            <w:pPr>
              <w:spacing w:after="0"/>
              <w:rPr>
                <w:sz w:val="1"/>
                <w:szCs w:val="1"/>
                <w:color w:val="auto"/>
              </w:rPr>
            </w:pPr>
          </w:p>
        </w:tc>
      </w:tr>
      <w:tr>
        <w:trPr>
          <w:trHeight w:val="253"/>
        </w:trPr>
        <w:tc>
          <w:tcPr>
            <w:tcW w:w="6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280,171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279,214</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280,038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279,078</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4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72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61,059</w:t>
            </w:r>
          </w:p>
        </w:tc>
        <w:tc>
          <w:tcPr>
            <w:tcW w:w="100" w:type="dxa"/>
            <w:vAlign w:val="bottom"/>
          </w:tcPr>
          <w:p>
            <w:pPr>
              <w:spacing w:after="0"/>
              <w:rPr>
                <w:sz w:val="16"/>
                <w:szCs w:val="16"/>
                <w:color w:val="auto"/>
              </w:rPr>
            </w:pP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53,680</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Depreciation</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31,611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31,062</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intangible assets</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41,378</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44,060</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Impairment of investment in unconsolidated affiliate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9,613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w:t>
            </w:r>
          </w:p>
        </w:tc>
        <w:tc>
          <w:tcPr>
            <w:tcW w:w="9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14,312</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10,416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3,504</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Share-based compensation expense</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10,339</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6,942</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Accretion of asset retirement obligations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1,118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Unrealized foreign exchange losses</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1,274</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Unrealized gains on derivatives not designated as hedging instruments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(8,029)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2,836</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3,245</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Other</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(4,043)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(4,241)</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260" w:type="dxa"/>
            <w:vAlign w:val="bottom"/>
          </w:tcPr>
          <w:p>
            <w:pPr>
              <w:ind w:left="680"/>
              <w:spacing w:after="0"/>
              <w:rPr>
                <w:sz w:val="20"/>
                <w:szCs w:val="20"/>
                <w:color w:val="auto"/>
              </w:rPr>
            </w:pPr>
            <w:r>
              <w:rPr>
                <w:rFonts w:ascii="Arial" w:cs="Arial" w:eastAsia="Arial" w:hAnsi="Arial"/>
                <w:sz w:val="14"/>
                <w:szCs w:val="14"/>
                <w:color w:val="auto"/>
              </w:rPr>
              <w:t>Accounts receivable</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5"/>
              </w:rPr>
              <w:t>(13,921)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(25,754)</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Inventories</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14,012</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91"/>
        </w:trPr>
        <w:tc>
          <w:tcPr>
            <w:tcW w:w="8260" w:type="dxa"/>
            <w:vAlign w:val="bottom"/>
          </w:tcPr>
          <w:p>
            <w:pPr>
              <w:ind w:left="680"/>
              <w:spacing w:after="0"/>
              <w:rPr>
                <w:sz w:val="20"/>
                <w:szCs w:val="20"/>
                <w:color w:val="auto"/>
              </w:rPr>
            </w:pPr>
            <w:r>
              <w:rPr>
                <w:rFonts w:ascii="Arial" w:cs="Arial" w:eastAsia="Arial" w:hAnsi="Arial"/>
                <w:sz w:val="14"/>
                <w:szCs w:val="14"/>
                <w:color w:val="auto"/>
              </w:rPr>
              <w:t>Other current assets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(6,683)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(9,993)</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15,080</w:t>
            </w:r>
          </w:p>
        </w:tc>
        <w:tc>
          <w:tcPr>
            <w:tcW w:w="0" w:type="dxa"/>
            <w:vAlign w:val="bottom"/>
          </w:tcPr>
          <w:p>
            <w:pPr>
              <w:spacing w:after="0"/>
              <w:rPr>
                <w:sz w:val="1"/>
                <w:szCs w:val="1"/>
                <w:color w:val="auto"/>
              </w:rPr>
            </w:pPr>
          </w:p>
        </w:tc>
      </w:tr>
      <w:tr>
        <w:trPr>
          <w:trHeight w:val="190"/>
        </w:trPr>
        <w:tc>
          <w:tcPr>
            <w:tcW w:w="8260" w:type="dxa"/>
            <w:vAlign w:val="bottom"/>
          </w:tcPr>
          <w:p>
            <w:pPr>
              <w:ind w:left="680"/>
              <w:spacing w:after="0"/>
              <w:rPr>
                <w:sz w:val="20"/>
                <w:szCs w:val="20"/>
                <w:color w:val="auto"/>
              </w:rPr>
            </w:pPr>
            <w:r>
              <w:rPr>
                <w:rFonts w:ascii="Arial" w:cs="Arial" w:eastAsia="Arial" w:hAnsi="Arial"/>
                <w:sz w:val="14"/>
                <w:szCs w:val="14"/>
                <w:color w:val="auto"/>
              </w:rPr>
              <w:t>Accrued liabilities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5"/>
              </w:rPr>
              <w:t>(11,869)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(4,375)</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Income taxes payable / receivable</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(15,968)</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(3,998)</w:t>
            </w:r>
          </w:p>
        </w:tc>
        <w:tc>
          <w:tcPr>
            <w:tcW w:w="0" w:type="dxa"/>
            <w:vAlign w:val="bottom"/>
          </w:tcPr>
          <w:p>
            <w:pPr>
              <w:spacing w:after="0"/>
              <w:rPr>
                <w:sz w:val="1"/>
                <w:szCs w:val="1"/>
                <w:color w:val="auto"/>
              </w:rPr>
            </w:pPr>
          </w:p>
        </w:tc>
      </w:tr>
      <w:tr>
        <w:trPr>
          <w:trHeight w:val="190"/>
        </w:trPr>
        <w:tc>
          <w:tcPr>
            <w:tcW w:w="8260" w:type="dxa"/>
            <w:vAlign w:val="bottom"/>
          </w:tcPr>
          <w:p>
            <w:pPr>
              <w:ind w:left="680"/>
              <w:spacing w:after="0"/>
              <w:rPr>
                <w:sz w:val="20"/>
                <w:szCs w:val="20"/>
                <w:color w:val="auto"/>
              </w:rPr>
            </w:pPr>
            <w:r>
              <w:rPr>
                <w:rFonts w:ascii="Arial" w:cs="Arial" w:eastAsia="Arial" w:hAnsi="Arial"/>
                <w:sz w:val="14"/>
                <w:szCs w:val="14"/>
                <w:color w:val="auto"/>
              </w:rPr>
              <w:t>Other liabilities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(468)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Other long-term assets</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(4,426)</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108,256</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134,256</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5"/>
              </w:rPr>
              <w:t>(71,642)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(44,789)</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mandatorily redeemable noncontrolling interest in Nelson Laboratories Fairfield, Inc.</w:t>
            </w:r>
          </w:p>
        </w:tc>
        <w:tc>
          <w:tcPr>
            <w:tcW w:w="9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(12,425)</w:t>
            </w:r>
          </w:p>
        </w:tc>
        <w:tc>
          <w:tcPr>
            <w:tcW w:w="0" w:type="dxa"/>
            <w:vAlign w:val="bottom"/>
          </w:tcPr>
          <w:p>
            <w:pPr>
              <w:spacing w:after="0"/>
              <w:rPr>
                <w:sz w:val="1"/>
                <w:szCs w:val="1"/>
                <w:color w:val="auto"/>
              </w:rPr>
            </w:pPr>
          </w:p>
        </w:tc>
      </w:tr>
      <w:tr>
        <w:trPr>
          <w:trHeight w:val="191"/>
        </w:trPr>
        <w:tc>
          <w:tcPr>
            <w:tcW w:w="8260" w:type="dxa"/>
            <w:vAlign w:val="bottom"/>
          </w:tcPr>
          <w:p>
            <w:pPr>
              <w:ind w:left="20"/>
              <w:spacing w:after="0"/>
              <w:rPr>
                <w:sz w:val="20"/>
                <w:szCs w:val="20"/>
                <w:color w:val="auto"/>
              </w:rPr>
            </w:pPr>
            <w:r>
              <w:rPr>
                <w:rFonts w:ascii="Arial" w:cs="Arial" w:eastAsia="Arial" w:hAnsi="Arial"/>
                <w:sz w:val="14"/>
                <w:szCs w:val="14"/>
                <w:color w:val="auto"/>
              </w:rPr>
              <w:t>Purchase of BioScience Laboratories, LLC, net of cash acquired</w:t>
            </w:r>
          </w:p>
        </w:tc>
        <w:tc>
          <w:tcPr>
            <w:tcW w:w="9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(13,760)</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 to purchase of Regulatory Compliance Associates Inc.</w:t>
            </w:r>
          </w:p>
        </w:tc>
        <w:tc>
          <w:tcPr>
            <w:tcW w:w="9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450</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(71,192)</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(70,974)</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260" w:type="dxa"/>
            <w:vAlign w:val="bottom"/>
          </w:tcPr>
          <w:p>
            <w:pPr>
              <w:ind w:left="20"/>
              <w:spacing w:after="0"/>
              <w:rPr>
                <w:sz w:val="20"/>
                <w:szCs w:val="20"/>
                <w:color w:val="auto"/>
              </w:rPr>
            </w:pPr>
            <w:r>
              <w:rPr>
                <w:rFonts w:ascii="Arial" w:cs="Arial" w:eastAsia="Arial" w:hAnsi="Arial"/>
                <w:sz w:val="14"/>
                <w:szCs w:val="14"/>
                <w:color w:val="auto"/>
              </w:rPr>
              <w:t>Purchase of noncontrolling interests in China subsidiaries</w:t>
            </w:r>
          </w:p>
        </w:tc>
        <w:tc>
          <w:tcPr>
            <w:tcW w:w="9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(7,720)</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of debt issuance costs</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(3,661)</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(1,056)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5"/>
        </w:trPr>
        <w:tc>
          <w:tcPr>
            <w:tcW w:w="82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(1,083)</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(12,090)</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(2,287)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25"/>
        </w:trPr>
        <w:tc>
          <w:tcPr>
            <w:tcW w:w="82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 including restricted cash</w:t>
            </w:r>
          </w:p>
        </w:tc>
        <w:tc>
          <w:tcPr>
            <w:tcW w:w="9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33,694</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53,770</w:t>
            </w:r>
          </w:p>
        </w:tc>
        <w:tc>
          <w:tcPr>
            <w:tcW w:w="0" w:type="dxa"/>
            <w:vAlign w:val="bottom"/>
          </w:tcPr>
          <w:p>
            <w:pPr>
              <w:spacing w:after="0"/>
              <w:rPr>
                <w:sz w:val="1"/>
                <w:szCs w:val="1"/>
                <w:color w:val="auto"/>
              </w:rPr>
            </w:pPr>
          </w:p>
        </w:tc>
      </w:tr>
      <w:tr>
        <w:trPr>
          <w:trHeight w:val="191"/>
        </w:trPr>
        <w:tc>
          <w:tcPr>
            <w:tcW w:w="8260" w:type="dxa"/>
            <w:vAlign w:val="bottom"/>
          </w:tcPr>
          <w:p>
            <w:pPr>
              <w:ind w:left="20"/>
              <w:spacing w:after="0"/>
              <w:rPr>
                <w:sz w:val="20"/>
                <w:szCs w:val="20"/>
                <w:color w:val="auto"/>
              </w:rPr>
            </w:pPr>
            <w:r>
              <w:rPr>
                <w:rFonts w:ascii="Arial" w:cs="Arial" w:eastAsia="Arial" w:hAnsi="Arial"/>
                <w:sz w:val="14"/>
                <w:szCs w:val="14"/>
                <w:color w:val="auto"/>
              </w:rPr>
              <w:t>Cash and cash equivalents, including restricted cash, at beginning of period</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0"/>
              </w:rPr>
              <w:t>106,924</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102,454</w:t>
            </w:r>
          </w:p>
        </w:tc>
        <w:tc>
          <w:tcPr>
            <w:tcW w:w="0" w:type="dxa"/>
            <w:vAlign w:val="bottom"/>
          </w:tcPr>
          <w:p>
            <w:pPr>
              <w:spacing w:after="0"/>
              <w:rPr>
                <w:sz w:val="1"/>
                <w:szCs w:val="1"/>
                <w:color w:val="auto"/>
              </w:rPr>
            </w:pPr>
          </w:p>
        </w:tc>
      </w:tr>
      <w:tr>
        <w:trPr>
          <w:trHeight w:val="25"/>
        </w:trPr>
        <w:tc>
          <w:tcPr>
            <w:tcW w:w="82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including restricted cash, at end of period</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140,618</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156,224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2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paid during the period for interest</w:t>
            </w: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42,057</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36,615</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Cash paid during the period for income taxes, net of tax refunds received</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37,340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22,785</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property, plant and equipment included in accounts payable</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17,923</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9,670</w:t>
            </w:r>
          </w:p>
        </w:tc>
        <w:tc>
          <w:tcPr>
            <w:tcW w:w="0" w:type="dxa"/>
            <w:vAlign w:val="bottom"/>
          </w:tcPr>
          <w:p>
            <w:pPr>
              <w:spacing w:after="0"/>
              <w:rPr>
                <w:sz w:val="1"/>
                <w:szCs w:val="1"/>
                <w:color w:val="auto"/>
              </w:rPr>
            </w:pPr>
          </w:p>
        </w:tc>
      </w:tr>
      <w:tr>
        <w:trPr>
          <w:trHeight w:val="25"/>
        </w:trPr>
        <w:tc>
          <w:tcPr>
            <w:tcW w:w="8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60" w:type="dxa"/>
            <w:vAlign w:val="bottom"/>
            <w:gridSpan w:val="8"/>
          </w:tcPr>
          <w:p>
            <w:pPr>
              <w:jc w:val="center"/>
              <w:ind w:left="8"/>
              <w:spacing w:after="0"/>
              <w:rPr>
                <w:sz w:val="20"/>
                <w:szCs w:val="20"/>
                <w:color w:val="auto"/>
              </w:rPr>
            </w:pPr>
            <w:r>
              <w:rPr>
                <w:rFonts w:ascii="Arial" w:cs="Arial" w:eastAsia="Arial" w:hAnsi="Arial"/>
                <w:sz w:val="14"/>
                <w:szCs w:val="14"/>
                <w:b w:val="1"/>
                <w:bCs w:val="1"/>
                <w:color w:val="auto"/>
                <w:w w:val="93"/>
              </w:rPr>
              <w:t>Three Months Ended June 30, 2022</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720" w:type="dxa"/>
            <w:vAlign w:val="bottom"/>
          </w:tcPr>
          <w:p>
            <w:pPr>
              <w:spacing w:after="0"/>
              <w:rPr>
                <w:sz w:val="15"/>
                <w:szCs w:val="15"/>
                <w:color w:val="auto"/>
              </w:rPr>
            </w:pPr>
          </w:p>
        </w:tc>
        <w:tc>
          <w:tcPr>
            <w:tcW w:w="2120" w:type="dxa"/>
            <w:vAlign w:val="bottom"/>
            <w:gridSpan w:val="5"/>
          </w:tcPr>
          <w:p>
            <w:pPr>
              <w:ind w:left="66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0"/>
              </w:rPr>
              <w:t>Retained</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tcPr>
          <w:p>
            <w:pPr>
              <w:jc w:val="center"/>
              <w:ind w:right="260"/>
              <w:spacing w:after="0" w:line="88" w:lineRule="exact"/>
              <w:rPr>
                <w:sz w:val="20"/>
                <w:szCs w:val="20"/>
                <w:color w:val="auto"/>
              </w:rPr>
            </w:pPr>
            <w:r>
              <w:rPr>
                <w:rFonts w:ascii="Arial" w:cs="Arial" w:eastAsia="Arial" w:hAnsi="Arial"/>
                <w:sz w:val="10"/>
                <w:szCs w:val="10"/>
                <w:b w:val="1"/>
                <w:bCs w:val="1"/>
                <w:color w:val="auto"/>
                <w:w w:val="98"/>
              </w:rPr>
              <w:t>Additional</w:t>
            </w:r>
          </w:p>
        </w:tc>
        <w:tc>
          <w:tcPr>
            <w:tcW w:w="140" w:type="dxa"/>
            <w:vAlign w:val="bottom"/>
          </w:tcPr>
          <w:p>
            <w:pPr>
              <w:spacing w:after="0"/>
              <w:rPr>
                <w:sz w:val="8"/>
                <w:szCs w:val="8"/>
                <w:color w:val="auto"/>
              </w:rPr>
            </w:pPr>
          </w:p>
        </w:tc>
        <w:tc>
          <w:tcPr>
            <w:tcW w:w="960" w:type="dxa"/>
            <w:vAlign w:val="bottom"/>
            <w:gridSpan w:val="3"/>
          </w:tcPr>
          <w:p>
            <w:pPr>
              <w:jc w:val="center"/>
              <w:ind w:right="240"/>
              <w:spacing w:after="0" w:line="88" w:lineRule="exact"/>
              <w:rPr>
                <w:sz w:val="20"/>
                <w:szCs w:val="20"/>
                <w:color w:val="auto"/>
              </w:rPr>
            </w:pPr>
            <w:r>
              <w:rPr>
                <w:rFonts w:ascii="Arial" w:cs="Arial" w:eastAsia="Arial" w:hAnsi="Arial"/>
                <w:sz w:val="10"/>
                <w:szCs w:val="10"/>
                <w:b w:val="1"/>
                <w:bCs w:val="1"/>
                <w:color w:val="auto"/>
                <w:w w:val="99"/>
              </w:rPr>
              <w:t>Earnings /</w:t>
            </w:r>
          </w:p>
        </w:tc>
        <w:tc>
          <w:tcPr>
            <w:tcW w:w="100" w:type="dxa"/>
            <w:vAlign w:val="bottom"/>
          </w:tcPr>
          <w:p>
            <w:pPr>
              <w:spacing w:after="0"/>
              <w:rPr>
                <w:sz w:val="8"/>
                <w:szCs w:val="8"/>
                <w:color w:val="auto"/>
              </w:rPr>
            </w:pPr>
          </w:p>
        </w:tc>
        <w:tc>
          <w:tcPr>
            <w:tcW w:w="100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10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1"/>
                <w:szCs w:val="11"/>
                <w:color w:val="auto"/>
              </w:rPr>
            </w:pPr>
          </w:p>
        </w:tc>
        <w:tc>
          <w:tcPr>
            <w:tcW w:w="800" w:type="dxa"/>
            <w:vAlign w:val="bottom"/>
          </w:tcPr>
          <w:p>
            <w:pPr>
              <w:jc w:val="center"/>
              <w:ind w:right="112"/>
              <w:spacing w:after="0"/>
              <w:rPr>
                <w:sz w:val="20"/>
                <w:szCs w:val="20"/>
                <w:color w:val="auto"/>
              </w:rPr>
            </w:pPr>
            <w:r>
              <w:rPr>
                <w:rFonts w:ascii="Arial" w:cs="Arial" w:eastAsia="Arial" w:hAnsi="Arial"/>
                <w:sz w:val="11"/>
                <w:szCs w:val="11"/>
                <w:color w:val="auto"/>
                <w:w w:val="87"/>
              </w:rPr>
              <w:t>Treasury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1"/>
                <w:szCs w:val="11"/>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0"/>
              </w:rPr>
              <w:t>(Accumulated</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Noncontrolling</w:t>
            </w:r>
          </w:p>
        </w:tc>
        <w:tc>
          <w:tcPr>
            <w:tcW w:w="220" w:type="dxa"/>
            <w:vAlign w:val="bottom"/>
          </w:tcPr>
          <w:p>
            <w:pPr>
              <w:spacing w:after="0"/>
              <w:rPr>
                <w:sz w:val="11"/>
                <w:szCs w:val="11"/>
                <w:color w:val="auto"/>
              </w:rPr>
            </w:pPr>
          </w:p>
        </w:tc>
        <w:tc>
          <w:tcPr>
            <w:tcW w:w="760" w:type="dxa"/>
            <w:vAlign w:val="bottom"/>
          </w:tcPr>
          <w:p>
            <w:pPr>
              <w:jc w:val="center"/>
              <w:ind w:right="13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0"/>
        </w:trPr>
        <w:tc>
          <w:tcPr>
            <w:tcW w:w="27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1"/>
                <w:szCs w:val="11"/>
                <w:color w:val="auto"/>
                <w:w w:val="94"/>
              </w:rPr>
              <w:t>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2"/>
                <w:szCs w:val="12"/>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1"/>
              </w:rPr>
              <w:t>Deficit)</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(Loss) Income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220" w:type="dxa"/>
            <w:vAlign w:val="bottom"/>
          </w:tcPr>
          <w:p>
            <w:pPr>
              <w:spacing w:after="0"/>
              <w:rPr>
                <w:sz w:val="12"/>
                <w:szCs w:val="12"/>
                <w:color w:val="auto"/>
              </w:rPr>
            </w:pPr>
          </w:p>
        </w:tc>
        <w:tc>
          <w:tcPr>
            <w:tcW w:w="760" w:type="dxa"/>
            <w:vAlign w:val="bottom"/>
          </w:tcPr>
          <w:p>
            <w:pPr>
              <w:jc w:val="center"/>
              <w:ind w:right="13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2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282,930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(33,536)</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1,177,097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(441,605)</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(62,686)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642,130</w:t>
            </w:r>
          </w:p>
        </w:tc>
        <w:tc>
          <w:tcPr>
            <w:tcW w:w="0" w:type="dxa"/>
            <w:vAlign w:val="bottom"/>
          </w:tcPr>
          <w:p>
            <w:pPr>
              <w:spacing w:after="0"/>
              <w:rPr>
                <w:sz w:val="1"/>
                <w:szCs w:val="1"/>
                <w:color w:val="auto"/>
              </w:rPr>
            </w:pPr>
          </w:p>
        </w:tc>
      </w:tr>
      <w:tr>
        <w:trPr>
          <w:trHeight w:val="190"/>
        </w:trPr>
        <w:tc>
          <w:tcPr>
            <w:tcW w:w="272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5,780</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2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532</w:t>
            </w:r>
          </w:p>
        </w:tc>
        <w:tc>
          <w:tcPr>
            <w:tcW w:w="0" w:type="dxa"/>
            <w:vAlign w:val="bottom"/>
          </w:tcPr>
          <w:p>
            <w:pPr>
              <w:spacing w:after="0"/>
              <w:rPr>
                <w:sz w:val="1"/>
                <w:szCs w:val="1"/>
                <w:color w:val="auto"/>
              </w:rPr>
            </w:pPr>
          </w:p>
        </w:tc>
      </w:tr>
      <w:tr>
        <w:trPr>
          <w:trHeight w:val="182"/>
        </w:trPr>
        <w:tc>
          <w:tcPr>
            <w:tcW w:w="272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(46,038)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(46,038)</w:t>
            </w:r>
          </w:p>
        </w:tc>
        <w:tc>
          <w:tcPr>
            <w:tcW w:w="0" w:type="dxa"/>
            <w:vAlign w:val="bottom"/>
          </w:tcPr>
          <w:p>
            <w:pPr>
              <w:spacing w:after="0"/>
              <w:rPr>
                <w:sz w:val="1"/>
                <w:szCs w:val="1"/>
                <w:color w:val="auto"/>
              </w:rPr>
            </w:pPr>
          </w:p>
        </w:tc>
      </w:tr>
      <w:tr>
        <w:trPr>
          <w:trHeight w:val="190"/>
        </w:trPr>
        <w:tc>
          <w:tcPr>
            <w:tcW w:w="272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3,178</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30,418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30,418</w:t>
            </w:r>
          </w:p>
        </w:tc>
        <w:tc>
          <w:tcPr>
            <w:tcW w:w="0" w:type="dxa"/>
            <w:vAlign w:val="bottom"/>
          </w:tcPr>
          <w:p>
            <w:pPr>
              <w:spacing w:after="0"/>
              <w:rPr>
                <w:sz w:val="1"/>
                <w:szCs w:val="1"/>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282,902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(32,654)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1,181,995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(411,187)</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(105,014)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636,000</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9"/>
        </w:trPr>
        <w:tc>
          <w:tcPr>
            <w:tcW w:w="2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2"/>
              </w:rPr>
              <w:t>Six Months Ended June 30, 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120" w:type="dxa"/>
            <w:vAlign w:val="bottom"/>
            <w:gridSpan w:val="5"/>
          </w:tcPr>
          <w:p>
            <w:pPr>
              <w:ind w:left="66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0"/>
              </w:rPr>
              <w:t>Retained</w:t>
            </w:r>
          </w:p>
        </w:tc>
        <w:tc>
          <w:tcPr>
            <w:tcW w:w="1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tcPr>
          <w:p>
            <w:pPr>
              <w:jc w:val="center"/>
              <w:ind w:right="260"/>
              <w:spacing w:after="0" w:line="89" w:lineRule="exact"/>
              <w:rPr>
                <w:sz w:val="20"/>
                <w:szCs w:val="20"/>
                <w:color w:val="auto"/>
              </w:rPr>
            </w:pPr>
            <w:r>
              <w:rPr>
                <w:rFonts w:ascii="Arial" w:cs="Arial" w:eastAsia="Arial" w:hAnsi="Arial"/>
                <w:sz w:val="10"/>
                <w:szCs w:val="10"/>
                <w:b w:val="1"/>
                <w:bCs w:val="1"/>
                <w:color w:val="auto"/>
                <w:w w:val="98"/>
              </w:rPr>
              <w:t>Additional</w:t>
            </w:r>
          </w:p>
        </w:tc>
        <w:tc>
          <w:tcPr>
            <w:tcW w:w="140" w:type="dxa"/>
            <w:vAlign w:val="bottom"/>
          </w:tcPr>
          <w:p>
            <w:pPr>
              <w:spacing w:after="0"/>
              <w:rPr>
                <w:sz w:val="8"/>
                <w:szCs w:val="8"/>
                <w:color w:val="auto"/>
              </w:rPr>
            </w:pPr>
          </w:p>
        </w:tc>
        <w:tc>
          <w:tcPr>
            <w:tcW w:w="960" w:type="dxa"/>
            <w:vAlign w:val="bottom"/>
            <w:gridSpan w:val="3"/>
          </w:tcPr>
          <w:p>
            <w:pPr>
              <w:jc w:val="center"/>
              <w:ind w:right="240"/>
              <w:spacing w:after="0" w:line="89" w:lineRule="exact"/>
              <w:rPr>
                <w:sz w:val="20"/>
                <w:szCs w:val="20"/>
                <w:color w:val="auto"/>
              </w:rPr>
            </w:pPr>
            <w:r>
              <w:rPr>
                <w:rFonts w:ascii="Arial" w:cs="Arial" w:eastAsia="Arial" w:hAnsi="Arial"/>
                <w:sz w:val="10"/>
                <w:szCs w:val="10"/>
                <w:b w:val="1"/>
                <w:bCs w:val="1"/>
                <w:color w:val="auto"/>
                <w:w w:val="99"/>
              </w:rPr>
              <w:t>Earnings /</w:t>
            </w:r>
          </w:p>
        </w:tc>
        <w:tc>
          <w:tcPr>
            <w:tcW w:w="100" w:type="dxa"/>
            <w:vAlign w:val="bottom"/>
          </w:tcPr>
          <w:p>
            <w:pPr>
              <w:spacing w:after="0"/>
              <w:rPr>
                <w:sz w:val="8"/>
                <w:szCs w:val="8"/>
                <w:color w:val="auto"/>
              </w:rPr>
            </w:pPr>
          </w:p>
        </w:tc>
        <w:tc>
          <w:tcPr>
            <w:tcW w:w="100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10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1"/>
                <w:szCs w:val="11"/>
                <w:color w:val="auto"/>
              </w:rPr>
            </w:pPr>
          </w:p>
        </w:tc>
        <w:tc>
          <w:tcPr>
            <w:tcW w:w="800" w:type="dxa"/>
            <w:vAlign w:val="bottom"/>
          </w:tcPr>
          <w:p>
            <w:pPr>
              <w:jc w:val="center"/>
              <w:ind w:right="112"/>
              <w:spacing w:after="0"/>
              <w:rPr>
                <w:sz w:val="20"/>
                <w:szCs w:val="20"/>
                <w:color w:val="auto"/>
              </w:rPr>
            </w:pPr>
            <w:r>
              <w:rPr>
                <w:rFonts w:ascii="Arial" w:cs="Arial" w:eastAsia="Arial" w:hAnsi="Arial"/>
                <w:sz w:val="11"/>
                <w:szCs w:val="11"/>
                <w:b w:val="1"/>
                <w:bCs w:val="1"/>
                <w:color w:val="auto"/>
                <w:w w:val="90"/>
              </w:rPr>
              <w:t>Treasury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1"/>
                <w:szCs w:val="11"/>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0"/>
              </w:rPr>
              <w:t>(Accumulated</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Noncontrolling</w:t>
            </w:r>
          </w:p>
        </w:tc>
        <w:tc>
          <w:tcPr>
            <w:tcW w:w="220" w:type="dxa"/>
            <w:vAlign w:val="bottom"/>
          </w:tcPr>
          <w:p>
            <w:pPr>
              <w:spacing w:after="0"/>
              <w:rPr>
                <w:sz w:val="11"/>
                <w:szCs w:val="11"/>
                <w:color w:val="auto"/>
              </w:rPr>
            </w:pPr>
          </w:p>
        </w:tc>
        <w:tc>
          <w:tcPr>
            <w:tcW w:w="760" w:type="dxa"/>
            <w:vAlign w:val="bottom"/>
          </w:tcPr>
          <w:p>
            <w:pPr>
              <w:jc w:val="center"/>
              <w:ind w:right="13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0"/>
        </w:trPr>
        <w:tc>
          <w:tcPr>
            <w:tcW w:w="27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2"/>
                <w:szCs w:val="12"/>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1"/>
              </w:rPr>
              <w:t>Deficit)</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(Loss) Income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220" w:type="dxa"/>
            <w:vAlign w:val="bottom"/>
          </w:tcPr>
          <w:p>
            <w:pPr>
              <w:spacing w:after="0"/>
              <w:rPr>
                <w:sz w:val="12"/>
                <w:szCs w:val="12"/>
                <w:color w:val="auto"/>
              </w:rPr>
            </w:pPr>
          </w:p>
        </w:tc>
        <w:tc>
          <w:tcPr>
            <w:tcW w:w="760" w:type="dxa"/>
            <w:vAlign w:val="bottom"/>
          </w:tcPr>
          <w:p>
            <w:pPr>
              <w:jc w:val="center"/>
              <w:ind w:right="13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2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282,985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(33,545)</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1,172,593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(472,246)</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(83,566)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586,096</w:t>
            </w:r>
          </w:p>
        </w:tc>
        <w:tc>
          <w:tcPr>
            <w:tcW w:w="0" w:type="dxa"/>
            <w:vAlign w:val="bottom"/>
          </w:tcPr>
          <w:p>
            <w:pPr>
              <w:spacing w:after="0"/>
              <w:rPr>
                <w:sz w:val="1"/>
                <w:szCs w:val="1"/>
                <w:color w:val="auto"/>
              </w:rPr>
            </w:pPr>
          </w:p>
        </w:tc>
      </w:tr>
      <w:tr>
        <w:trPr>
          <w:trHeight w:val="190"/>
        </w:trPr>
        <w:tc>
          <w:tcPr>
            <w:tcW w:w="272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10,293</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2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258</w:t>
            </w:r>
          </w:p>
        </w:tc>
        <w:tc>
          <w:tcPr>
            <w:tcW w:w="0" w:type="dxa"/>
            <w:vAlign w:val="bottom"/>
          </w:tcPr>
          <w:p>
            <w:pPr>
              <w:spacing w:after="0"/>
              <w:rPr>
                <w:sz w:val="1"/>
                <w:szCs w:val="1"/>
                <w:color w:val="auto"/>
              </w:rPr>
            </w:pPr>
          </w:p>
        </w:tc>
      </w:tr>
      <w:tr>
        <w:trPr>
          <w:trHeight w:val="182"/>
        </w:trPr>
        <w:tc>
          <w:tcPr>
            <w:tcW w:w="272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(31,063)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(31,063)</w:t>
            </w:r>
          </w:p>
        </w:tc>
        <w:tc>
          <w:tcPr>
            <w:tcW w:w="0" w:type="dxa"/>
            <w:vAlign w:val="bottom"/>
          </w:tcPr>
          <w:p>
            <w:pPr>
              <w:spacing w:after="0"/>
              <w:rPr>
                <w:sz w:val="1"/>
                <w:szCs w:val="1"/>
                <w:color w:val="auto"/>
              </w:rPr>
            </w:pPr>
          </w:p>
        </w:tc>
      </w:tr>
      <w:tr>
        <w:trPr>
          <w:trHeight w:val="190"/>
        </w:trPr>
        <w:tc>
          <w:tcPr>
            <w:tcW w:w="272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9,357</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61,059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61,059</w:t>
            </w:r>
          </w:p>
        </w:tc>
        <w:tc>
          <w:tcPr>
            <w:tcW w:w="0" w:type="dxa"/>
            <w:vAlign w:val="bottom"/>
          </w:tcPr>
          <w:p>
            <w:pPr>
              <w:spacing w:after="0"/>
              <w:rPr>
                <w:sz w:val="1"/>
                <w:szCs w:val="1"/>
                <w:color w:val="auto"/>
              </w:rPr>
            </w:pPr>
          </w:p>
        </w:tc>
      </w:tr>
      <w:tr>
        <w:trPr>
          <w:trHeight w:val="210"/>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282,902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(32,654)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1,181,995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(411,187)</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(105,014)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636,000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7"/>
          </w:tcPr>
          <w:p>
            <w:pPr>
              <w:ind w:left="20"/>
              <w:spacing w:after="0"/>
              <w:rPr>
                <w:sz w:val="20"/>
                <w:szCs w:val="20"/>
                <w:color w:val="auto"/>
              </w:rPr>
            </w:pPr>
            <w:r>
              <w:rPr>
                <w:rFonts w:ascii="Arial" w:cs="Arial" w:eastAsia="Arial" w:hAnsi="Arial"/>
                <w:sz w:val="14"/>
                <w:szCs w:val="14"/>
                <w:b w:val="1"/>
                <w:bCs w:val="1"/>
                <w:color w:val="auto"/>
                <w:w w:val="92"/>
              </w:rPr>
              <w:t>Three Months Ended June 30, 2021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720" w:type="dxa"/>
            <w:vAlign w:val="bottom"/>
          </w:tcPr>
          <w:p>
            <w:pPr>
              <w:spacing w:after="0"/>
              <w:rPr>
                <w:sz w:val="22"/>
                <w:szCs w:val="22"/>
                <w:color w:val="auto"/>
              </w:rPr>
            </w:pPr>
          </w:p>
        </w:tc>
        <w:tc>
          <w:tcPr>
            <w:tcW w:w="2100" w:type="dxa"/>
            <w:vAlign w:val="bottom"/>
            <w:gridSpan w:val="5"/>
          </w:tcPr>
          <w:p>
            <w:pPr>
              <w:ind w:left="66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0"/>
              </w:rPr>
              <w:t>Retained</w:t>
            </w:r>
          </w:p>
        </w:tc>
        <w:tc>
          <w:tcPr>
            <w:tcW w:w="80" w:type="dxa"/>
            <w:vAlign w:val="bottom"/>
          </w:tcPr>
          <w:p>
            <w:pPr>
              <w:spacing w:after="0"/>
              <w:rPr>
                <w:sz w:val="22"/>
                <w:szCs w:val="2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Treasury</w:t>
            </w:r>
          </w:p>
        </w:tc>
        <w:tc>
          <w:tcPr>
            <w:tcW w:w="160" w:type="dxa"/>
            <w:vAlign w:val="bottom"/>
          </w:tcPr>
          <w:p>
            <w:pPr>
              <w:spacing w:after="0"/>
              <w:rPr>
                <w:sz w:val="4"/>
                <w:szCs w:val="4"/>
                <w:color w:val="auto"/>
              </w:rPr>
            </w:pPr>
          </w:p>
        </w:tc>
        <w:tc>
          <w:tcPr>
            <w:tcW w:w="900" w:type="dxa"/>
            <w:vAlign w:val="bottom"/>
            <w:gridSpan w:val="2"/>
            <w:vMerge w:val="restart"/>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rPr>
                <w:sz w:val="4"/>
                <w:szCs w:val="4"/>
                <w:color w:val="auto"/>
              </w:rPr>
            </w:pPr>
          </w:p>
        </w:tc>
        <w:tc>
          <w:tcPr>
            <w:tcW w:w="1000" w:type="dxa"/>
            <w:vAlign w:val="bottom"/>
            <w:gridSpan w:val="3"/>
            <w:vMerge w:val="restart"/>
          </w:tcPr>
          <w:p>
            <w:pPr>
              <w:jc w:val="center"/>
              <w:ind w:right="280"/>
              <w:spacing w:after="0" w:line="122" w:lineRule="exact"/>
              <w:rPr>
                <w:sz w:val="20"/>
                <w:szCs w:val="20"/>
                <w:color w:val="auto"/>
              </w:rPr>
            </w:pPr>
            <w:r>
              <w:rPr>
                <w:rFonts w:ascii="Arial" w:cs="Arial" w:eastAsia="Arial" w:hAnsi="Arial"/>
                <w:sz w:val="11"/>
                <w:szCs w:val="11"/>
                <w:b w:val="1"/>
                <w:bCs w:val="1"/>
                <w:color w:val="auto"/>
                <w:w w:val="90"/>
              </w:rPr>
              <w:t>Earnings /</w:t>
            </w:r>
          </w:p>
        </w:tc>
        <w:tc>
          <w:tcPr>
            <w:tcW w:w="80" w:type="dxa"/>
            <w:vAlign w:val="bottom"/>
          </w:tcPr>
          <w:p>
            <w:pPr>
              <w:spacing w:after="0"/>
              <w:rPr>
                <w:sz w:val="4"/>
                <w:szCs w:val="4"/>
                <w:color w:val="auto"/>
              </w:rPr>
            </w:pPr>
          </w:p>
        </w:tc>
        <w:tc>
          <w:tcPr>
            <w:tcW w:w="10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06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2"/>
              </w:rPr>
              <w:t>Paid-In</w:t>
            </w:r>
          </w:p>
        </w:tc>
        <w:tc>
          <w:tcPr>
            <w:tcW w:w="140" w:type="dxa"/>
            <w:vAlign w:val="bottom"/>
          </w:tcPr>
          <w:p>
            <w:pPr>
              <w:spacing w:after="0"/>
              <w:rPr>
                <w:sz w:val="10"/>
                <w:szCs w:val="10"/>
                <w:color w:val="auto"/>
              </w:rPr>
            </w:pPr>
          </w:p>
        </w:tc>
        <w:tc>
          <w:tcPr>
            <w:tcW w:w="100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90"/>
              </w:rPr>
              <w:t>(Accumulated</w:t>
            </w:r>
          </w:p>
        </w:tc>
        <w:tc>
          <w:tcPr>
            <w:tcW w:w="8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0"/>
                <w:szCs w:val="10"/>
                <w:color w:val="auto"/>
              </w:rPr>
            </w:pPr>
          </w:p>
        </w:tc>
        <w:tc>
          <w:tcPr>
            <w:tcW w:w="9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220" w:type="dxa"/>
            <w:vAlign w:val="bottom"/>
          </w:tcPr>
          <w:p>
            <w:pPr>
              <w:spacing w:after="0"/>
              <w:rPr>
                <w:sz w:val="10"/>
                <w:szCs w:val="10"/>
                <w:color w:val="auto"/>
              </w:rPr>
            </w:pPr>
          </w:p>
        </w:tc>
        <w:tc>
          <w:tcPr>
            <w:tcW w:w="760" w:type="dxa"/>
            <w:vAlign w:val="bottom"/>
          </w:tcPr>
          <w:p>
            <w:pPr>
              <w:jc w:val="right"/>
              <w:ind w:right="292"/>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27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Stock</w:t>
            </w:r>
          </w:p>
        </w:tc>
        <w:tc>
          <w:tcPr>
            <w:tcW w:w="16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Capital</w:t>
            </w:r>
          </w:p>
        </w:tc>
        <w:tc>
          <w:tcPr>
            <w:tcW w:w="140" w:type="dxa"/>
            <w:vAlign w:val="bottom"/>
          </w:tcPr>
          <w:p>
            <w:pPr>
              <w:spacing w:after="0"/>
              <w:rPr>
                <w:sz w:val="12"/>
                <w:szCs w:val="12"/>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(Loss) Income</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Interests</w:t>
            </w:r>
          </w:p>
        </w:tc>
        <w:tc>
          <w:tcPr>
            <w:tcW w:w="220" w:type="dxa"/>
            <w:vAlign w:val="bottom"/>
          </w:tcPr>
          <w:p>
            <w:pPr>
              <w:spacing w:after="0"/>
              <w:rPr>
                <w:sz w:val="12"/>
                <w:szCs w:val="12"/>
                <w:color w:val="auto"/>
              </w:rPr>
            </w:pPr>
          </w:p>
        </w:tc>
        <w:tc>
          <w:tcPr>
            <w:tcW w:w="760" w:type="dxa"/>
            <w:vAlign w:val="bottom"/>
          </w:tcPr>
          <w:p>
            <w:pPr>
              <w:jc w:val="right"/>
              <w:ind w:right="252"/>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7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282,900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w w:val="95"/>
              </w:rPr>
              <w:t>(34,000)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1,169,852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(578,286)</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(97,162)</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465,744</w:t>
            </w:r>
          </w:p>
        </w:tc>
        <w:tc>
          <w:tcPr>
            <w:tcW w:w="0" w:type="dxa"/>
            <w:vAlign w:val="bottom"/>
          </w:tcPr>
          <w:p>
            <w:pPr>
              <w:spacing w:after="0"/>
              <w:rPr>
                <w:sz w:val="1"/>
                <w:szCs w:val="1"/>
                <w:color w:val="auto"/>
              </w:rPr>
            </w:pPr>
          </w:p>
        </w:tc>
      </w:tr>
      <w:tr>
        <w:trPr>
          <w:trHeight w:val="190"/>
        </w:trPr>
        <w:tc>
          <w:tcPr>
            <w:tcW w:w="2720" w:type="dxa"/>
            <w:vAlign w:val="bottom"/>
          </w:tcPr>
          <w:p>
            <w:pPr>
              <w:ind w:left="20"/>
              <w:spacing w:after="0"/>
              <w:rPr>
                <w:sz w:val="20"/>
                <w:szCs w:val="20"/>
                <w:color w:val="auto"/>
              </w:rPr>
            </w:pPr>
            <w:r>
              <w:rPr>
                <w:rFonts w:ascii="Arial" w:cs="Arial" w:eastAsia="Arial" w:hAnsi="Arial"/>
                <w:sz w:val="14"/>
                <w:szCs w:val="14"/>
                <w:color w:val="auto"/>
              </w:rPr>
              <w:t>Acquisition of noncontrolling interests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(2,806)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(8,578)</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shares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1,080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90"/>
        </w:trPr>
        <w:tc>
          <w:tcPr>
            <w:tcW w:w="272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2,406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2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2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20,115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20,425</w:t>
            </w:r>
          </w:p>
        </w:tc>
        <w:tc>
          <w:tcPr>
            <w:tcW w:w="0" w:type="dxa"/>
            <w:vAlign w:val="bottom"/>
          </w:tcPr>
          <w:p>
            <w:pPr>
              <w:spacing w:after="0"/>
              <w:rPr>
                <w:sz w:val="1"/>
                <w:szCs w:val="1"/>
                <w:color w:val="auto"/>
              </w:rPr>
            </w:pPr>
          </w:p>
        </w:tc>
      </w:tr>
      <w:tr>
        <w:trPr>
          <w:trHeight w:val="190"/>
        </w:trPr>
        <w:tc>
          <w:tcPr>
            <w:tcW w:w="2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42,599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42,615</w:t>
            </w:r>
          </w:p>
        </w:tc>
        <w:tc>
          <w:tcPr>
            <w:tcW w:w="0" w:type="dxa"/>
            <w:vAlign w:val="bottom"/>
          </w:tcPr>
          <w:p>
            <w:pPr>
              <w:spacing w:after="0"/>
              <w:rPr>
                <w:sz w:val="1"/>
                <w:szCs w:val="1"/>
                <w:color w:val="auto"/>
              </w:rPr>
            </w:pPr>
          </w:p>
        </w:tc>
      </w:tr>
      <w:tr>
        <w:trPr>
          <w:trHeight w:val="26"/>
        </w:trPr>
        <w:tc>
          <w:tcPr>
            <w:tcW w:w="2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5"/>
              </w:rPr>
              <w:t>(34,000)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1,167,566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(535,687)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(77,468)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523,271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6"/>
          </w:tcPr>
          <w:p>
            <w:pPr>
              <w:ind w:left="60"/>
              <w:spacing w:after="0"/>
              <w:rPr>
                <w:sz w:val="20"/>
                <w:szCs w:val="20"/>
                <w:color w:val="auto"/>
              </w:rPr>
            </w:pPr>
            <w:r>
              <w:rPr>
                <w:rFonts w:ascii="Arial" w:cs="Arial" w:eastAsia="Arial" w:hAnsi="Arial"/>
                <w:sz w:val="14"/>
                <w:szCs w:val="14"/>
                <w:b w:val="1"/>
                <w:bCs w:val="1"/>
                <w:color w:val="auto"/>
                <w:w w:val="95"/>
              </w:rPr>
              <w:t>Six Months Ended June 30, 2021</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2740" w:type="dxa"/>
            <w:vAlign w:val="bottom"/>
          </w:tcPr>
          <w:p>
            <w:pPr>
              <w:spacing w:after="0"/>
              <w:rPr>
                <w:sz w:val="24"/>
                <w:szCs w:val="24"/>
                <w:color w:val="auto"/>
              </w:rPr>
            </w:pPr>
          </w:p>
        </w:tc>
        <w:tc>
          <w:tcPr>
            <w:tcW w:w="2120" w:type="dxa"/>
            <w:vAlign w:val="bottom"/>
            <w:gridSpan w:val="5"/>
          </w:tcPr>
          <w:p>
            <w:pPr>
              <w:ind w:left="660"/>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Retained</w:t>
            </w:r>
          </w:p>
        </w:tc>
        <w:tc>
          <w:tcPr>
            <w:tcW w:w="12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Treasury</w:t>
            </w:r>
          </w:p>
        </w:tc>
        <w:tc>
          <w:tcPr>
            <w:tcW w:w="160" w:type="dxa"/>
            <w:vAlign w:val="bottom"/>
          </w:tcPr>
          <w:p>
            <w:pPr>
              <w:spacing w:after="0"/>
              <w:rPr>
                <w:sz w:val="4"/>
                <w:szCs w:val="4"/>
                <w:color w:val="auto"/>
              </w:rPr>
            </w:pPr>
          </w:p>
        </w:tc>
        <w:tc>
          <w:tcPr>
            <w:tcW w:w="920" w:type="dxa"/>
            <w:vAlign w:val="bottom"/>
            <w:gridSpan w:val="2"/>
            <w:vMerge w:val="restart"/>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Earnings /</w:t>
            </w:r>
          </w:p>
        </w:tc>
        <w:tc>
          <w:tcPr>
            <w:tcW w:w="120" w:type="dxa"/>
            <w:vAlign w:val="bottom"/>
          </w:tcPr>
          <w:p>
            <w:pPr>
              <w:spacing w:after="0"/>
              <w:rPr>
                <w:sz w:val="4"/>
                <w:szCs w:val="4"/>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08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(Accumulated</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Noncontrolling</w:t>
            </w:r>
          </w:p>
        </w:tc>
        <w:tc>
          <w:tcPr>
            <w:tcW w:w="220" w:type="dxa"/>
            <w:vAlign w:val="bottom"/>
          </w:tcPr>
          <w:p>
            <w:pPr>
              <w:spacing w:after="0"/>
              <w:rPr>
                <w:sz w:val="10"/>
                <w:szCs w:val="10"/>
                <w:color w:val="auto"/>
              </w:rPr>
            </w:pPr>
          </w:p>
        </w:tc>
        <w:tc>
          <w:tcPr>
            <w:tcW w:w="760" w:type="dxa"/>
            <w:vAlign w:val="bottom"/>
          </w:tcPr>
          <w:p>
            <w:pPr>
              <w:jc w:val="right"/>
              <w:ind w:right="292"/>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2"/>
                <w:szCs w:val="12"/>
                <w:color w:val="auto"/>
              </w:rPr>
            </w:pP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Stock</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Deficit)</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(Loss) Income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220" w:type="dxa"/>
            <w:vAlign w:val="bottom"/>
          </w:tcPr>
          <w:p>
            <w:pPr>
              <w:spacing w:after="0"/>
              <w:rPr>
                <w:sz w:val="12"/>
                <w:szCs w:val="12"/>
                <w:color w:val="auto"/>
              </w:rPr>
            </w:pPr>
          </w:p>
        </w:tc>
        <w:tc>
          <w:tcPr>
            <w:tcW w:w="760" w:type="dxa"/>
            <w:vAlign w:val="bottom"/>
          </w:tcPr>
          <w:p>
            <w:pPr>
              <w:jc w:val="right"/>
              <w:ind w:right="252"/>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283,248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w w:val="95"/>
              </w:rPr>
              <w:t>(34,000)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1,166,412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(589,128)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(93,842)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454,574</w:t>
            </w:r>
          </w:p>
        </w:tc>
        <w:tc>
          <w:tcPr>
            <w:tcW w:w="0" w:type="dxa"/>
            <w:vAlign w:val="bottom"/>
          </w:tcPr>
          <w:p>
            <w:pPr>
              <w:spacing w:after="0"/>
              <w:rPr>
                <w:sz w:val="1"/>
                <w:szCs w:val="1"/>
                <w:color w:val="auto"/>
              </w:rPr>
            </w:pPr>
          </w:p>
        </w:tc>
      </w:tr>
      <w:tr>
        <w:trPr>
          <w:trHeight w:val="191"/>
        </w:trPr>
        <w:tc>
          <w:tcPr>
            <w:tcW w:w="2740" w:type="dxa"/>
            <w:vAlign w:val="bottom"/>
          </w:tcPr>
          <w:p>
            <w:pPr>
              <w:ind w:left="20"/>
              <w:spacing w:after="0"/>
              <w:rPr>
                <w:sz w:val="20"/>
                <w:szCs w:val="20"/>
                <w:color w:val="auto"/>
              </w:rPr>
            </w:pPr>
            <w:r>
              <w:rPr>
                <w:rFonts w:ascii="Arial" w:cs="Arial" w:eastAsia="Arial" w:hAnsi="Arial"/>
                <w:sz w:val="14"/>
                <w:szCs w:val="14"/>
                <w:color w:val="auto"/>
              </w:rPr>
              <w:t>Acquisition of noncontrolling interests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(8,578)</w:t>
            </w: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shares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90"/>
        </w:trPr>
        <w:tc>
          <w:tcPr>
            <w:tcW w:w="274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5,846</w:t>
            </w: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4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17,044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17,339</w:t>
            </w:r>
          </w:p>
        </w:tc>
        <w:tc>
          <w:tcPr>
            <w:tcW w:w="0" w:type="dxa"/>
            <w:vAlign w:val="bottom"/>
          </w:tcPr>
          <w:p>
            <w:pPr>
              <w:spacing w:after="0"/>
              <w:rPr>
                <w:sz w:val="1"/>
                <w:szCs w:val="1"/>
                <w:color w:val="auto"/>
              </w:rPr>
            </w:pPr>
          </w:p>
        </w:tc>
      </w:tr>
      <w:tr>
        <w:trPr>
          <w:trHeight w:val="191"/>
        </w:trPr>
        <w:tc>
          <w:tcPr>
            <w:tcW w:w="27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53,441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53,680</w:t>
            </w:r>
          </w:p>
        </w:tc>
        <w:tc>
          <w:tcPr>
            <w:tcW w:w="0" w:type="dxa"/>
            <w:vAlign w:val="bottom"/>
          </w:tcPr>
          <w:p>
            <w:pPr>
              <w:spacing w:after="0"/>
              <w:rPr>
                <w:sz w:val="1"/>
                <w:szCs w:val="1"/>
                <w:color w:val="auto"/>
              </w:rPr>
            </w:pPr>
          </w:p>
        </w:tc>
      </w:tr>
      <w:tr>
        <w:trPr>
          <w:trHeight w:val="25"/>
        </w:trPr>
        <w:tc>
          <w:tcPr>
            <w:tcW w:w="2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5"/>
              </w:rPr>
              <w:t>(34,000)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1,167,566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(535,687)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523,271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Sotera Health Company (also referred to herein as the “Company,” “we,” “our,” “us” or “its”), is a leading global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mission-critical end-to-end sterilization solutions, lab testing and advisory services for the healthcare industry with operations primarily in the Americas, Europe and Asia.</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operate and report in three segments, Sterigenics, Nordion and Nelson Labs. We describe our reportable segments in Note 18, “Segment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in consolidation.</w:t>
      </w:r>
    </w:p>
    <w:p>
      <w:pPr>
        <w:spacing w:after="0" w:line="21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Noncontrolling interests represented the noncontrolling stockholders’ proportionate share of the total equity in the Company’s consolidated subsidiaries. In the second quarter of 2021, we purchased the outstanding noncontrolling interests of 15% and 33% of our two China subsidiaries. Refer to Note 4, “Acquisitions” for additional details. Prior to our acquisition of the noncontrolling interests in our two subsidiaries in China, we consolidated the results of operations of these subsidiaries with our results of operations and reflected the noncontrolling interest on our Consolidated Statements of Operations and Comprehensive Income (Loss) as “Net income attributable to noncontrolling interests.”</w:t>
      </w:r>
    </w:p>
    <w:p>
      <w:pPr>
        <w:spacing w:after="0" w:line="1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March 11, 2021, we purchased the 15% noncontrolling interest that remained from the August 2018 acquisition of Nelson Laboratories Fairfield, Inc. (“Nelson Labs Fairfield”). As the purchase of this noncontrolling interest was mandatorily redeemable, no earnings were allocated to this noncontrolling interest. See Note 4, “Acquisitions” for additional details.</w:t>
      </w:r>
    </w:p>
    <w:p>
      <w:pPr>
        <w:spacing w:after="0" w:line="18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July 2020, we acquired a 60% equity ownership interest in Auralux Enterprises, Ltd. (“Auralux”), a joint venture to construct an E-beam facility in Alberta, Canada in connection with our acquisition of Iotron Industries Canada, Inc. (“Iotron”). We determined this to be an investment in a variable interest entity (“VIE”). The investment was not consolidated as the Company concluded that we are not the primary beneficiary of the VIE. The Company accounts for the joint venture using the equity method. The investment is reflected within “Investment in unconsolidated affiliates” on the Consolidated Balance Sheets. During the three months ended June 30, 2022, we identified certain events and circumstances that indicated a decline in value of our investment in Auralux that was other-than-temporary. Consequently, as of June 30, 2022, we wrote down the investment in Auralux to its fair value of $0, resulting in an impairment charge of approximately $9.6 million.</w:t>
      </w:r>
    </w:p>
    <w:p>
      <w:pPr>
        <w:spacing w:after="0" w:line="17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In preparing our consolidated financial statements in conformity with U.S. Generally Accepted Accounting Principles (“GAAP”), we</w:t>
      </w:r>
      <w:r>
        <w:rPr>
          <w:rFonts w:ascii="Arial" w:cs="Arial" w:eastAsia="Arial" w:hAnsi="Arial"/>
          <w:sz w:val="18"/>
          <w:szCs w:val="18"/>
          <w:i w:val="1"/>
          <w:iCs w:val="1"/>
          <w:color w:val="auto"/>
        </w:rPr>
        <w:t xml:space="preserve"> </w:t>
      </w:r>
      <w:r>
        <w:rPr>
          <w:rFonts w:ascii="Arial" w:cs="Arial" w:eastAsia="Arial" w:hAnsi="Arial"/>
          <w:sz w:val="18"/>
          <w:szCs w:val="18"/>
          <w:color w:val="auto"/>
        </w:rPr>
        <w:t>make estimates and assumptions that affect the amounts reported and the accompanying notes. We regularly evaluate the estimates and assumptions used and revise them as new information becomes available. Actual results may vary from those estimates.</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Interim Financial Statements </w:t>
      </w:r>
      <w:r>
        <w:rPr>
          <w:rFonts w:ascii="Arial" w:cs="Arial" w:eastAsia="Arial" w:hAnsi="Arial"/>
          <w:sz w:val="16"/>
          <w:szCs w:val="16"/>
          <w:color w:val="auto"/>
        </w:rPr>
        <w:t>– The accompanying consolidated financial statements include the assets, liabilities, operating results, and cash flows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wholly owned subsidiaries. These financial statements are prepared in accordance with U.S. GAAP for interim financial information, the instructions to the Quarterly Report on Form 10-Q and Rule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on Form 10-K for the year ended December 31, 2021.</w:t>
      </w:r>
    </w:p>
    <w:p>
      <w:pPr>
        <w:spacing w:after="0" w:line="26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Effective January 1, 2022, we adopted </w:t>
      </w:r>
      <w:r>
        <w:rPr>
          <w:rFonts w:ascii="Arial" w:cs="Arial" w:eastAsia="Arial" w:hAnsi="Arial"/>
          <w:sz w:val="17"/>
          <w:szCs w:val="17"/>
          <w:i w:val="1"/>
          <w:iCs w:val="1"/>
          <w:color w:val="auto"/>
        </w:rPr>
        <w:t>Accounting Standards Update (“ASU”) 2016-13, Financial Instruments – Credit Losses</w:t>
      </w:r>
      <w:r>
        <w:rPr>
          <w:rFonts w:ascii="Arial" w:cs="Arial" w:eastAsia="Arial" w:hAnsi="Arial"/>
          <w:sz w:val="17"/>
          <w:szCs w:val="17"/>
          <w:color w:val="auto"/>
        </w:rPr>
        <w:t xml:space="preserve"> (“ASU 2016-13”):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and the subsequently issued additional guidance that modified ASU 2016-13 which was originally</w:t>
      </w:r>
      <w:r>
        <w:rPr>
          <w:rFonts w:ascii="Arial" w:cs="Arial" w:eastAsia="Arial" w:hAnsi="Arial"/>
          <w:sz w:val="17"/>
          <w:szCs w:val="17"/>
          <w:i w:val="1"/>
          <w:iCs w:val="1"/>
          <w:color w:val="auto"/>
        </w:rPr>
        <w:t xml:space="preserve"> </w:t>
      </w:r>
      <w:r>
        <w:rPr>
          <w:rFonts w:ascii="Arial" w:cs="Arial" w:eastAsia="Arial" w:hAnsi="Arial"/>
          <w:sz w:val="17"/>
          <w:szCs w:val="17"/>
          <w:color w:val="auto"/>
        </w:rPr>
        <w:t>issued by the Financial Accounting Standards Board (“FASB”) in June 2016. The standard requires an entity to change its accounting approach in determining impairment of certain financial instruments, including trade receivables, from an “incurred loss” to a “current expected credit loss” model. The adoption of this standard did not have a material impact on our consolidated financial statements and disclosures.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 xml:space="preserve">Effective January 1, 2022, we adopted </w:t>
      </w:r>
      <w:r>
        <w:rPr>
          <w:rFonts w:ascii="Arial" w:cs="Arial" w:eastAsia="Arial" w:hAnsi="Arial"/>
          <w:sz w:val="16"/>
          <w:szCs w:val="16"/>
          <w:i w:val="1"/>
          <w:iCs w:val="1"/>
          <w:color w:val="auto"/>
        </w:rPr>
        <w:t>ASU 2019-12 - Income Taxes (Topic 740): Simplifying the Accounting for Income Taxes</w:t>
      </w:r>
      <w:r>
        <w:rPr>
          <w:rFonts w:ascii="Arial" w:cs="Arial" w:eastAsia="Arial" w:hAnsi="Arial"/>
          <w:sz w:val="16"/>
          <w:szCs w:val="16"/>
          <w:color w:val="auto"/>
        </w:rPr>
        <w:t xml:space="preserve"> which was issued by the FASB in December 2019. The standard simplifies the accounting for income taxes and makes a number of changes meant to add or clarify guidance on accounting for income taxes. The adoption of this standard did not have a material impact on our consolidated financial statements and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ASUs Issued But Not Yet Adopted</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October 2021, the FASB issued </w:t>
      </w:r>
      <w:r>
        <w:rPr>
          <w:rFonts w:ascii="Arial" w:cs="Arial" w:eastAsia="Arial" w:hAnsi="Arial"/>
          <w:sz w:val="18"/>
          <w:szCs w:val="18"/>
          <w:i w:val="1"/>
          <w:iCs w:val="1"/>
          <w:color w:val="auto"/>
        </w:rPr>
        <w:t>ASU 2021-08 - 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2021-08”). The amendments in ASU 2021-08 require that an acquiring entity recognize and measure contract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liabilities acquired in a business combination in accordance with Accounting Standards Codification (“ASC”) Topic 606, Revenue from Contract with Customers (“ASC Topic 606”). At the acquisition date, an acquirer should account for the related revenue contracts in accordance with ASC Topic 606 as if it had originated the contracts. For public business entities, these amendments are effective for fiscal years beginning after December 15, 2022, including interim periods within those fiscal years. We are currently assessing the effect that ASU 2021-08 will have on our financial position, results of operations, and disclosures.</w:t>
      </w:r>
    </w:p>
    <w:p>
      <w:pPr>
        <w:spacing w:after="0" w:line="29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shows disaggregated net revenues from contracts with external customers by timing of revenue and by segment for the three and six months ended June 30, 2022 and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 2022</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2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Consolidated</w:t>
            </w:r>
          </w:p>
        </w:tc>
      </w:tr>
      <w:tr>
        <w:trPr>
          <w:trHeight w:val="26"/>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204,178</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62,461</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157,792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50,478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58,369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266,639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 2021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2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Consolidated</w:t>
            </w:r>
          </w:p>
        </w:tc>
      </w:tr>
      <w:tr>
        <w:trPr>
          <w:trHeight w:val="25"/>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192,935</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57,610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58,982</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145,182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49,125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57,610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251,917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 2022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2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Consolidated</w:t>
            </w:r>
          </w:p>
        </w:tc>
      </w:tr>
      <w:tr>
        <w:trPr>
          <w:trHeight w:val="25"/>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307,254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386,925</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111,659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116,468</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307,254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111,659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503,393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 2021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24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Consolidated</w:t>
            </w:r>
          </w:p>
        </w:tc>
      </w:tr>
      <w:tr>
        <w:trPr>
          <w:trHeight w:val="25"/>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350,004</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112,689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114,061</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276,333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75,043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112,689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464,065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June 30, 2022, and December 31, 2021, contract assets included in “Prepaid expenses and other current assets” on the Consolidated Balance Sheets totaled approximately $21.7 million and $15.6 million, respectively, resulting from revenue recognized over time in excess of the amount billed to the customer.</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When we receive consideration from a customer prior to transferring goods or services under the terms of a sales contract, we record deferred revenue, which represents a contract liability. Deferred revenue totaled $6.9 million and $8.7 million at June 30, 2022 and December 31, 2021, respectively. We recognize deferred revenue after all revenue recognition criteria are met.</w:t>
      </w:r>
    </w:p>
    <w:p>
      <w:pPr>
        <w:spacing w:after="0" w:line="28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Regulatory Compliance Associates Inc.</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4, 2021, we acquired Regulatory Compliance Associates Inc. (“RCA”) for approximately $30.6 million, net of $0.6 million of cash acquired. RCA is an industry leader in providing life sciences consulting focused on quality, regulatory, and technical advisory services for the pharmaceutical, medical device and combination device industries. Headquartered in Pleasant Prairie, Wisconsin, RCA will expand and further strengthen the technical consulting and expert advisory capabilities of our Nelson Labs segment.</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purchase price of RCA was allocated to the underlying assets acquired and liabilities assumed based upon management's estimated fair values at the date of acquisition. Changes to the allocation of the purchase price may occur as these measurements are completed. As of June 30, 2022, approximately $25.2 million of goodwill was recorded related to the RCA acquisition, representing the excess of the purchase price over preliminary estimated fair values of all the assets acquired and liabilities assumed. Based on our most recent estimates, we also recorded $6.4 million of finite-lived intangible assets, primarily related to customer relationships. The purchase price allocation will be finalized within a measurement period not to exceed one year from closing. We funded this acquisition using available cash. The acquisition price and the results of operations for this acquired entity are not material in relation to our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Noncontrolling Interests in China Subsidiaries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May 18, 2021, we acquired the remaining 15% and 33% noncontrolling interests associated with our two subsidiaries located in China. As a result, both entities are now 100% owned by the Company. The purchase price of the remaining equity interests was approximately $8.6 million, net of the cancellation of an $0.8 million demand note. We paid 90% of the cash consideration on the acquisition date. The remaining amounts were partially settled in post-closing payments in the third quarter of 2021; $0.2 million of the post-closing payment remain outstanding as of June 30, 2022 subject to the terms of the equity transfer agreements. As a result of the transactions, we continue to consolidate both of these subsidiaries, however, as of May 18, 2021, we no longer record noncontrolling interests in the consolidated financial statements as these subsidiaries are fully owned by the Company. The purchases were accounted for as equity transactions. As a result of these transactions, noncontrolling interests were reduced by $2.8 million reflecting the carrying value of the interest with $5.8 million of the difference charged to additional paid-in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Mandatorily Redeemable Noncontrolling Interest - Nelson Labs Fairfield</w:t>
      </w:r>
    </w:p>
    <w:p>
      <w:pPr>
        <w:spacing w:after="0" w:line="117"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On March 11, 2021, we completed the acquisition of the remaining 15% ownership of Nelson Labs Fairfield for $12.4 million, resulting in a gain of $1.2 million included in “Other expense (income), net” in the Consolidated Statements of Operations and Comprehensive Income (Loss) relative to the $13.6 million previously accrued. Pursuant to the terms of the acquisition, we initially acquired 85% of the equity interests of Nelson Labs Fairfield in August 2018 and were obligated to acquire the remaining 15% noncontrolling interest within three years from the date of the acquisition.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BioScience Laboratories, LLC</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8, 2021, we acquired BioScience Laboratories, LLC (“BioScience Labs”) for approximately $13.5 million, net of $0.2 million of cash acquired plus the contemporaneous repayment of BioScience Lab's outstanding debt of $1.9 million. BioScience Labs is a provider of outsourced topical antimicrobial product testing in the pharmaceutical, medical device, and consumer products industries with one location in Bozeman, Montana. BioScience Labs is included within the Nelson Labs segment.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purchase price of BioScience was allocated to the underlying assets acquired and liabilities assumed based upon management's estimated fair values at the date of acquisition. Approximately $8.4 million of goodwill was recorded related to the BioScience Labs acquisition, representing the excess of the purchase price over preliminary estimated fair values of all the assets acquired and liabilities assumed. We funded this acquisition using available cash. The acquisition price and the results of operations for this acquired entity are not material in relation to our consolidated financial statements.</w:t>
      </w:r>
    </w:p>
    <w:p>
      <w:pPr>
        <w:spacing w:after="0" w:line="26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primarily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2"/>
              </w:rPr>
              <w:t>June 30, 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7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33,329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39,774</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7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39,652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54,288</w:t>
            </w:r>
          </w:p>
        </w:tc>
        <w:tc>
          <w:tcPr>
            <w:tcW w:w="0" w:type="dxa"/>
            <w:vAlign w:val="bottom"/>
          </w:tcPr>
          <w:p>
            <w:pPr>
              <w:spacing w:after="0"/>
              <w:rPr>
                <w:sz w:val="1"/>
                <w:szCs w:val="1"/>
                <w:color w:val="auto"/>
              </w:rPr>
            </w:pPr>
          </w:p>
        </w:tc>
      </w:tr>
      <w:tr>
        <w:trPr>
          <w:trHeight w:val="21"/>
        </w:trPr>
        <w:tc>
          <w:tcPr>
            <w:tcW w:w="5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24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40" w:type="dxa"/>
            <w:vAlign w:val="bottom"/>
            <w:gridSpan w:val="4"/>
          </w:tcPr>
          <w:p>
            <w:pPr>
              <w:spacing w:after="0"/>
              <w:rPr>
                <w:sz w:val="20"/>
                <w:szCs w:val="20"/>
                <w:color w:val="auto"/>
              </w:rPr>
            </w:pPr>
            <w:r>
              <w:rPr>
                <w:rFonts w:ascii="Arial" w:cs="Arial" w:eastAsia="Arial" w:hAnsi="Arial"/>
                <w:sz w:val="18"/>
                <w:szCs w:val="18"/>
                <w:color w:val="auto"/>
                <w:w w:val="94"/>
              </w:rPr>
              <w:t>Prepaid expenses and other current assets consisted primarily of the following:</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taxes</w:t>
            </w:r>
          </w:p>
        </w:tc>
        <w:tc>
          <w:tcPr>
            <w:tcW w:w="7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27,972</w:t>
            </w:r>
          </w:p>
        </w:tc>
        <w:tc>
          <w:tcPr>
            <w:tcW w:w="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Prepaid business insurance</w:t>
            </w: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5,070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rent</w:t>
            </w:r>
          </w:p>
        </w:tc>
        <w:tc>
          <w:tcPr>
            <w:tcW w:w="7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Customer contract assets</w:t>
            </w: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21,746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7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Current deposits</w:t>
            </w: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7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Value added tax receivable</w:t>
            </w: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software licensing</w:t>
            </w:r>
          </w:p>
        </w:tc>
        <w:tc>
          <w:tcPr>
            <w:tcW w:w="7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Stock supplies</w:t>
            </w: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3,420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Embedded derivatives</w:t>
            </w:r>
          </w:p>
        </w:tc>
        <w:tc>
          <w:tcPr>
            <w:tcW w:w="7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11,571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81,173</w:t>
            </w:r>
          </w:p>
        </w:tc>
        <w:tc>
          <w:tcPr>
            <w:tcW w:w="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7.  Goodwill and Other Intangible Assets</w:t>
            </w:r>
          </w:p>
        </w:tc>
        <w:tc>
          <w:tcPr>
            <w:tcW w:w="7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24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40" w:type="dxa"/>
            <w:vAlign w:val="bottom"/>
            <w:gridSpan w:val="4"/>
          </w:tcPr>
          <w:p>
            <w:pPr>
              <w:spacing w:after="0"/>
              <w:rPr>
                <w:sz w:val="20"/>
                <w:szCs w:val="20"/>
                <w:color w:val="auto"/>
              </w:rPr>
            </w:pPr>
            <w:r>
              <w:rPr>
                <w:rFonts w:ascii="Arial" w:cs="Arial" w:eastAsia="Arial" w:hAnsi="Arial"/>
                <w:sz w:val="18"/>
                <w:szCs w:val="18"/>
                <w:color w:val="auto"/>
                <w:w w:val="91"/>
              </w:rPr>
              <w:t>Changes to goodwill during the six months ended June 30, 2022 were as follows: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520" w:type="dxa"/>
            <w:vAlign w:val="bottom"/>
            <w:gridSpan w:val="3"/>
          </w:tcPr>
          <w:p>
            <w:pPr>
              <w:ind w:left="380"/>
              <w:spacing w:after="0"/>
              <w:rPr>
                <w:sz w:val="20"/>
                <w:szCs w:val="20"/>
                <w:color w:val="auto"/>
              </w:rPr>
            </w:pPr>
            <w:r>
              <w:rPr>
                <w:rFonts w:ascii="Arial" w:cs="Arial" w:eastAsia="Arial" w:hAnsi="Arial"/>
                <w:sz w:val="14"/>
                <w:szCs w:val="14"/>
                <w:b w:val="1"/>
                <w:bCs w:val="1"/>
                <w:color w:val="auto"/>
              </w:rPr>
              <w:t>Sterigenics</w:t>
            </w:r>
          </w:p>
        </w:tc>
        <w:tc>
          <w:tcPr>
            <w:tcW w:w="280" w:type="dxa"/>
            <w:vAlign w:val="bottom"/>
          </w:tcPr>
          <w:p>
            <w:pPr>
              <w:spacing w:after="0"/>
              <w:rPr>
                <w:sz w:val="24"/>
                <w:szCs w:val="24"/>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Nordion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Nelson Labs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Goodwill at December 31, 2021</w:t>
            </w: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gridSpan w:val="2"/>
            <w:vMerge w:val="continue"/>
          </w:tcPr>
          <w:p>
            <w:pPr>
              <w:spacing w:after="0"/>
              <w:rPr>
                <w:sz w:val="20"/>
                <w:szCs w:val="20"/>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660,743</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288,905</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170,672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1,120,320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RCA acquisition measurement period adjustments</w:t>
            </w:r>
          </w:p>
        </w:tc>
        <w:tc>
          <w:tcPr>
            <w:tcW w:w="7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4,601</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Changes due to foreign currency exchange rates</w:t>
            </w:r>
          </w:p>
        </w:tc>
        <w:tc>
          <w:tcPr>
            <w:tcW w:w="7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5"/>
          </w:tcPr>
          <w:p>
            <w:pPr>
              <w:jc w:val="right"/>
              <w:ind w:right="40"/>
              <w:spacing w:after="0"/>
              <w:rPr>
                <w:sz w:val="20"/>
                <w:szCs w:val="20"/>
                <w:color w:val="auto"/>
              </w:rPr>
            </w:pPr>
            <w:r>
              <w:rPr>
                <w:rFonts w:ascii="Arial" w:cs="Arial" w:eastAsia="Arial" w:hAnsi="Arial"/>
                <w:sz w:val="18"/>
                <w:szCs w:val="18"/>
                <w:color w:val="auto"/>
              </w:rPr>
              <w:t>(2,755)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 at June 30, 2022</w:t>
            </w:r>
          </w:p>
        </w:tc>
        <w:tc>
          <w:tcPr>
            <w:tcW w:w="700" w:type="dxa"/>
            <w:vAlign w:val="bottom"/>
            <w:shd w:val="clear" w:color="auto" w:fill="CCEEFF"/>
          </w:tcPr>
          <w:p>
            <w:pPr>
              <w:jc w:val="right"/>
              <w:ind w:right="516"/>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658,886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284,598</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172,518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1,116,002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82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7"/>
                <w:szCs w:val="17"/>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Accumulated</w:t>
            </w:r>
          </w:p>
        </w:tc>
      </w:tr>
      <w:tr>
        <w:trPr>
          <w:trHeight w:val="185"/>
        </w:trPr>
        <w:tc>
          <w:tcPr>
            <w:tcW w:w="20" w:type="dxa"/>
            <w:vAlign w:val="bottom"/>
          </w:tcPr>
          <w:p>
            <w:pPr>
              <w:spacing w:after="0"/>
              <w:rPr>
                <w:sz w:val="16"/>
                <w:szCs w:val="16"/>
                <w:color w:val="auto"/>
              </w:rPr>
            </w:pPr>
          </w:p>
        </w:tc>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As of June 30, 2022</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652,538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391,452</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87,177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47,793</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2,555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452</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1,620</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214,744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91,341</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2,673</w:t>
            </w:r>
          </w:p>
        </w:tc>
      </w:tr>
      <w:tr>
        <w:trPr>
          <w:trHeight w:val="237"/>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971,948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535,331</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80,878</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25,562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106,440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1,078,388</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535,331</w:t>
            </w: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24"/>
                <w:szCs w:val="2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Accumulated</w:t>
            </w:r>
          </w:p>
        </w:tc>
      </w:tr>
      <w:tr>
        <w:trPr>
          <w:trHeight w:val="175"/>
        </w:trPr>
        <w:tc>
          <w:tcPr>
            <w:tcW w:w="20" w:type="dxa"/>
            <w:vAlign w:val="bottom"/>
          </w:tcPr>
          <w:p>
            <w:pPr>
              <w:spacing w:after="0"/>
              <w:rPr>
                <w:sz w:val="15"/>
                <w:szCs w:val="15"/>
                <w:color w:val="auto"/>
              </w:rPr>
            </w:pPr>
          </w:p>
        </w:tc>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668,628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365,935</w:t>
            </w: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44,866</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241,611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109,838</w:t>
            </w: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37"/>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1,015,408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524,507</w:t>
            </w: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spacing w:after="0"/>
              <w:rPr>
                <w:sz w:val="22"/>
                <w:szCs w:val="22"/>
                <w:color w:val="auto"/>
              </w:rPr>
            </w:pPr>
          </w:p>
        </w:tc>
        <w:tc>
          <w:tcPr>
            <w:tcW w:w="6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25,833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gridSpan w:val="2"/>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107,943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1,123,351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524,507</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60" w:hanging="332"/>
        <w:spacing w:after="0"/>
        <w:tabs>
          <w:tab w:leader="none" w:pos="335"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75 years of history.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the impact of foreign currency translation.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Amortization expense for other intangible assets was $21.2 million ($5.4 million is included in “Cost of revenues” and $15.8 million in “Selling, general and administrative expenses”) and $41.4 million ($9.8 million is included in “Cost of revenues” and $31.6 million in “Selling, general and administrative expenses”) in the Consolidated Statements of Operations and Comprehensive Income (Loss) for the three and six months ended June 30, 2022, respectively.</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Amortization expense for other intangible assets was $21.8 million ($6.1 million is included in “Cost of revenues” and $15.7 million in “Selling, general and administrative expenses”) and $44.1 million ($11.9 million is included in “Cost of revenues” and $32.2 million in “Selling, general and administrative expenses”) in the Consolidated Statements of Operations and Comprehensive Income (Loss) for the three and six months ended June 30,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 the remainder of 2022</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40,551</w:t>
            </w: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81,166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80,389</w:t>
            </w: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6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43,028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168,695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436,617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6"/>
            <w:vMerge w:val="restart"/>
          </w:tcPr>
          <w:p>
            <w:pPr>
              <w:spacing w:after="0"/>
              <w:rPr>
                <w:sz w:val="20"/>
                <w:szCs w:val="20"/>
                <w:color w:val="auto"/>
              </w:rPr>
            </w:pPr>
            <w:r>
              <w:rPr>
                <w:rFonts w:ascii="Arial" w:cs="Arial" w:eastAsia="Arial" w:hAnsi="Arial"/>
                <w:sz w:val="18"/>
                <w:szCs w:val="18"/>
                <w:color w:val="auto"/>
                <w:w w:val="94"/>
              </w:rPr>
              <w:t>The weighted-average remaining useful life of the finite-lived intangible assets was approximately 8.8 years as of June 30, 2022.</w:t>
            </w: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968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8.  Accrued Liabilities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3"/>
          </w:tcPr>
          <w:p>
            <w:pPr>
              <w:spacing w:after="0"/>
              <w:rPr>
                <w:sz w:val="20"/>
                <w:szCs w:val="20"/>
                <w:color w:val="auto"/>
              </w:rPr>
            </w:pPr>
            <w:r>
              <w:rPr>
                <w:rFonts w:ascii="Arial" w:cs="Arial" w:eastAsia="Arial" w:hAnsi="Arial"/>
                <w:sz w:val="18"/>
                <w:szCs w:val="18"/>
                <w:color w:val="auto"/>
              </w:rPr>
              <w:t>Accrued liabilities consisted of the following:</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6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9"/>
                <w:szCs w:val="19"/>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Legal reserves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3,119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Embedded derivatives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2,322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Accrued utilities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1,671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accrual</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3,291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52,658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61,861</w:t>
            </w:r>
          </w:p>
        </w:tc>
        <w:tc>
          <w:tcPr>
            <w:tcW w:w="0" w:type="dxa"/>
            <w:vAlign w:val="bottom"/>
          </w:tcPr>
          <w:p>
            <w:pPr>
              <w:spacing w:after="0"/>
              <w:rPr>
                <w:sz w:val="1"/>
                <w:szCs w:val="1"/>
                <w:color w:val="auto"/>
              </w:rPr>
            </w:pPr>
          </w:p>
        </w:tc>
      </w:tr>
      <w:tr>
        <w:trPr>
          <w:trHeight w:val="21"/>
        </w:trPr>
        <w:tc>
          <w:tcPr>
            <w:tcW w:w="8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Long-Term Debt</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80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3"/>
          </w:tcPr>
          <w:p>
            <w:pPr>
              <w:spacing w:after="0"/>
              <w:rPr>
                <w:sz w:val="20"/>
                <w:szCs w:val="20"/>
                <w:color w:val="auto"/>
              </w:rPr>
            </w:pPr>
            <w:r>
              <w:rPr>
                <w:rFonts w:ascii="Arial" w:cs="Arial" w:eastAsia="Arial" w:hAnsi="Arial"/>
                <w:sz w:val="18"/>
                <w:szCs w:val="18"/>
                <w:color w:val="auto"/>
              </w:rPr>
              <w:t>Long-term debt consisted of the following:</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6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9"/>
                <w:szCs w:val="19"/>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1,763,100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1,763,550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1,763,550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Less unamortized debt issuance costs and debt discounts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(18,002)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debt, less debt issuance costs and debt discounts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1,745,548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1,743,534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Term Loan mature on June 13, 2026 and December 13, 2026, respectively. The total borrowing capacity under the Revolving Credit Facility is $347.5 million. The Senior Secured Credit Facilities also provide SHH the right at any time and under certain conditions to request incremental term loans or incremental revolving credit commitments based on a formula defined in the Senior Secured Credit Facilities. As of June 30, 2022 and December 31, 2021, total borrowings under the Term Loan were $1,763.1 million, respectively, and there were no borrowings outstanding on the Revolving Credit Facility. The weighted average interest rate on borrowings under the Term Loan for the three months ended June 30, 2022 and June 30, 2021 was 3.53% and 3.25%, respectively, and 3.39% and 3.64% for the six months ended June 30, 2022 and June 30, 2021, respectively.</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resulted in an effective reduction in current interest rates of 225 basis points.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w:t>
      </w:r>
    </w:p>
    <w:p>
      <w:pPr>
        <w:spacing w:after="0" w:line="19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On March 26, 2021, we amended the Revolving Credit Facility, to (i) decrease the Applicable Rate (as defined in the Credit Agreement) related to any Revolving Loans (as defined in the Credit Agreement) from a rate per annum that ranged from an alternative base rate (“ABR”) plus 2.50% to ABR plus 3.00% depending on SHH’s Senior Secured First Lien Net Leverage Ratio to ABR plus 1.75%; and in the case of Eurodollar Loans (as defined in the Credit Agreement) from a rate per annum which ranged from the Adjusted LIBOR plus 3.50% to the Adjusted LIBOR plus 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remain unchanged and the amendment does not change the capacity of our Revolving Credit Facility. No unamortized debt issuance costs associated with the Revolving Credit Facility were written off and direct fees and costs incurred in connection with the amendment were immaterial.</w:t>
      </w:r>
    </w:p>
    <w:p>
      <w:pPr>
        <w:spacing w:after="0" w:line="16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of June 30, 2022 and December 31, 2021, capitalized debt issuance costs totaled $2.4 million and $2.7 million, respectively, and debt discounts totaled $15.6 million and $17.3 million, respectively, related to the Senior Secured Credit Facilities. Such costs are recorded as a reduction of debt on our Consolidated Balance Sheets and amortized as a component of interest expense over the term of the debt agreement.</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The Senior Secured Credit Facilities also contain certain customary affirmative covenants and events of default, including upon a change of control. As of June 30, 2022, we were in compliance with all the Senior Secured Credit Facilities covenants.</w:t>
      </w:r>
    </w:p>
    <w:p>
      <w:pPr>
        <w:spacing w:after="0" w:line="18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June 30, 2022, the Company had $70.1 million of letters of credit issued against the Revolving Credit Facility, resulting in total availability under the Revolving Credit Facility of $277.4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Interest Rate Risk Management</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The Company utilizes interest rate derivatives to reduce the variability of cash flows in the interest payments associated with the Term Loan due to changes in LIBOR (or its successor). For additional information on the derivative instruments described above, refer to Note 17, “Financial Instruments and Financial Risk”, </w:t>
      </w:r>
      <w:r>
        <w:rPr>
          <w:rFonts w:ascii="Arial" w:cs="Arial" w:eastAsia="Arial" w:hAnsi="Arial"/>
          <w:sz w:val="18"/>
          <w:szCs w:val="18"/>
          <w:i w:val="1"/>
          <w:iCs w:val="1"/>
          <w:color w:val="auto"/>
        </w:rPr>
        <w:t>“Derivatives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Notes</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which were scheduled to mature on December 13, 2026. On August 27, 2021 SHH redeemed in full the $100.0 million aggregate principal amount of the First Lien Notes. In connection with this redemption, the Company paid a $3.0 million early redemption premium, in accordance with the terms of the First Lien Notes Indenture, and wrote off $3.4 million of debt issuance and discount costs. The Company recognized these expenses within “Loss on extinguishment of debt” in our Consolidated Statements of Operations and Comprehensive Income (Loss) for the year ended December 31, 2021.</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Prior to the redemption, the First Lien Notes bore interest at a rate equal to LIBOR subject to a 1.00% floor plus 6.00% per annum. Interest was payable on a quarterly basis with no principal due until maturity. The weighted average interest rate on the First Lien Notes during 2021 up to the August 27, 2021 redemption date was 7.00%.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Company’s long-term debt, excluding debt discounts, as of June 30, 2022,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1,763,100</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effective tax rates were 36.8 % and 34.6% for the three and six months ended June 30, 2022, respectively, compared to 31.0% and 29.3% for the three and six months ended June 30, 2021, respectively.</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Income tax expense for the three months ended June 30, 2022 differed from the statutory rate primarily due to a net increase in the valuation allowance, the impact of the foreign rate differential, and global intangible low-tax income (“GILTI”). The increase in the valuation allowance was attributable to the limitation on the deductibility of interest expense and the impairment of the investment in Auralux. Provision for income tax expense for the three months ended June 30, 2021 was offset by a discrete item, which reversed the valuation allowance on deferred tax assets related to certain asset retirement obligations.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Income tax expense for the six months ended June 30, 2022 differed from the statutory rate primarily due to a net increase in the valuation allowance, the impact of the foreign rate differential, and GILTI. Provision for income tax expense for the six months ended June 30, 2021 was offset by an additional discrete item in the first quarter of 2021, which reversed the valuation allowance on deferred tax assets related to certain asset retirement obligations.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w:t>
      </w:r>
    </w:p>
    <w:p>
      <w:pPr>
        <w:spacing w:after="0" w:line="12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interest cost, expected return on plan assets and amortization of net actuarial loss are recorded in “Other expense (income), net” and the service cost component is included in the same financial statement line item as the applicable employee’s wages in the Consolidated Statements of Operations and Comprehensive Income (Loss). The components of net periodic pension cost for the defined benefit plan for the three and six months ended June 30, 2022 and 2021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3"/>
                <w:szCs w:val="13"/>
                <w:color w:val="auto"/>
              </w:rPr>
            </w:pPr>
          </w:p>
        </w:tc>
        <w:tc>
          <w:tcPr>
            <w:tcW w:w="1080" w:type="dxa"/>
            <w:vAlign w:val="bottom"/>
          </w:tcPr>
          <w:p>
            <w:pPr>
              <w:jc w:val="right"/>
              <w:ind w:right="475"/>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5"/>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3"/>
              <w:spacing w:after="0" w:line="155" w:lineRule="exact"/>
              <w:rPr>
                <w:sz w:val="20"/>
                <w:szCs w:val="20"/>
                <w:color w:val="auto"/>
              </w:rPr>
            </w:pPr>
            <w:r>
              <w:rPr>
                <w:rFonts w:ascii="Arial" w:cs="Arial" w:eastAsia="Arial" w:hAnsi="Arial"/>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3,275</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periodic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 plans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benefit plans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 The components of net periodic pension cost for the other benefit plans for the three and six months ended June 30, 2022 and 2021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56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1040" w:type="dxa"/>
            <w:vAlign w:val="bottom"/>
          </w:tcPr>
          <w:p>
            <w:pPr>
              <w:jc w:val="right"/>
              <w:ind w:right="99"/>
              <w:spacing w:after="0" w:line="155" w:lineRule="exact"/>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76"/>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3"/>
                <w:szCs w:val="1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(gain) loss</w:t>
            </w:r>
          </w:p>
        </w:tc>
        <w:tc>
          <w:tcPr>
            <w:tcW w:w="10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3"/>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 cost</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expect funding requirements of approximately $3.1 million in each of the next five years to fund the regulatory solvency deficit, as defined by Canadian federal regulation, which require solvency testing on defined benefit pension plans.</w:t>
      </w:r>
    </w:p>
    <w:p>
      <w:pPr>
        <w:spacing w:after="0" w:line="1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Company may obtain a qualifying letter of credit for solvency payments, up to 15% of the market value of solvency liabilities as determined on the valuation date, instead of paying cash into the pension fund. As of June 30, 2022, and December 31, 2021, we had letters of credit outstanding relating to the defined benefit plans totaling $46.9 million and $46.2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do business with a number of companies affiliated with Warburg Pincus and GTCR, which we refer to collectively as the “Sponsors”. All transactions with these companies have been conducted in the ordinary course of our business and are not material to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Comprehensive Income (Loss)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Amounts in accumulated other comprehensive income (loss) are presented net of the related tax. Foreign currency translation is not adjusted for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accumulated other comprehensive income (loss) balances, net of applicable tax,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b w:val="1"/>
                <w:bCs w:val="1"/>
                <w:color w:val="auto"/>
                <w:w w:val="91"/>
              </w:rPr>
              <w:t>Defined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Interest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b w:val="1"/>
                <w:bCs w:val="1"/>
                <w:color w:val="auto"/>
                <w:w w:val="92"/>
              </w:rPr>
              <w:t>Benefit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Rate</w:t>
            </w:r>
          </w:p>
        </w:tc>
        <w:tc>
          <w:tcPr>
            <w:tcW w:w="30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5"/>
                <w:szCs w:val="15"/>
                <w:color w:val="auto"/>
              </w:rPr>
            </w:pPr>
          </w:p>
        </w:tc>
        <w:tc>
          <w:tcPr>
            <w:tcW w:w="1060" w:type="dxa"/>
            <w:vAlign w:val="bottom"/>
          </w:tcPr>
          <w:p>
            <w:pPr>
              <w:jc w:val="center"/>
              <w:ind w:right="152"/>
              <w:spacing w:after="0" w:line="176" w:lineRule="exact"/>
              <w:rPr>
                <w:sz w:val="20"/>
                <w:szCs w:val="20"/>
                <w:color w:val="auto"/>
              </w:rPr>
            </w:pPr>
            <w:r>
              <w:rPr>
                <w:rFonts w:ascii="Arial" w:cs="Arial" w:eastAsia="Arial" w:hAnsi="Arial"/>
                <w:sz w:val="16"/>
                <w:szCs w:val="16"/>
                <w:b w:val="1"/>
                <w:bCs w:val="1"/>
                <w:color w:val="auto"/>
                <w:w w:val="88"/>
              </w:rPr>
              <w:t>Plans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3"/>
              </w:rPr>
              <w:t>Derivatives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April 1, 2022</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(17,855)</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534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(46,038)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vMerge w:val="continue"/>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2"/>
                <w:szCs w:val="12"/>
                <w:color w:val="auto"/>
                <w:w w:val="95"/>
              </w:rPr>
              <w:t>(a)</w:t>
            </w:r>
          </w:p>
        </w:tc>
        <w:tc>
          <w:tcPr>
            <w:tcW w:w="124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vMerge w:val="continue"/>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rPr>
              <w:t>532</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(46,038)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(42,328)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June 30,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9,761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(105,014)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86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2022</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(17,581)</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262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(31,063)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(21,444)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vMerge w:val="continue"/>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2"/>
                <w:szCs w:val="12"/>
                <w:color w:val="auto"/>
                <w:w w:val="95"/>
              </w:rPr>
              <w:t>(a)</w:t>
            </w:r>
          </w:p>
        </w:tc>
        <w:tc>
          <w:tcPr>
            <w:tcW w:w="124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vMerge w:val="continue"/>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rPr>
              <w:t>258</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(31,063)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(21,448)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June 30,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9,761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(105,014)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b w:val="1"/>
                <w:bCs w:val="1"/>
                <w:color w:val="auto"/>
                <w:w w:val="91"/>
              </w:rPr>
              <w:t>Defined</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Interest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b w:val="1"/>
                <w:bCs w:val="1"/>
                <w:color w:val="auto"/>
                <w:w w:val="92"/>
              </w:rPr>
              <w:t>Benefit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Rate</w:t>
            </w:r>
          </w:p>
        </w:tc>
        <w:tc>
          <w:tcPr>
            <w:tcW w:w="30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5"/>
                <w:szCs w:val="15"/>
                <w:color w:val="auto"/>
              </w:rPr>
            </w:pPr>
          </w:p>
        </w:tc>
        <w:tc>
          <w:tcPr>
            <w:tcW w:w="1060" w:type="dxa"/>
            <w:vAlign w:val="bottom"/>
          </w:tcPr>
          <w:p>
            <w:pPr>
              <w:jc w:val="center"/>
              <w:ind w:right="152"/>
              <w:spacing w:after="0" w:line="176" w:lineRule="exact"/>
              <w:rPr>
                <w:sz w:val="20"/>
                <w:szCs w:val="20"/>
                <w:color w:val="auto"/>
              </w:rPr>
            </w:pPr>
            <w:r>
              <w:rPr>
                <w:rFonts w:ascii="Arial" w:cs="Arial" w:eastAsia="Arial" w:hAnsi="Arial"/>
                <w:sz w:val="16"/>
                <w:szCs w:val="16"/>
                <w:b w:val="1"/>
                <w:bCs w:val="1"/>
                <w:color w:val="auto"/>
                <w:w w:val="88"/>
              </w:rPr>
              <w:t>Plans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5"/>
                <w:szCs w:val="15"/>
                <w:color w:val="auto"/>
              </w:rPr>
            </w:pPr>
          </w:p>
        </w:tc>
        <w:tc>
          <w:tcPr>
            <w:tcW w:w="124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3"/>
              </w:rPr>
              <w:t>Derivatives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April 1, 2021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(44,392)</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 xml:space="preserve">284 </w:t>
            </w:r>
            <w:r>
              <w:rPr>
                <w:rFonts w:ascii="Arial" w:cs="Arial" w:eastAsia="Arial" w:hAnsi="Arial"/>
                <w:sz w:val="11"/>
                <w:szCs w:val="11"/>
                <w:color w:val="auto"/>
              </w:rPr>
              <w:t>(a)</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19,694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June 30,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(44,813)</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860" w:type="dxa"/>
            <w:vAlign w:val="bottom"/>
            <w:tcBorders>
              <w:bottom w:val="single" w:sz="8" w:color="CCEEFF"/>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1060" w:type="dxa"/>
            <w:vAlign w:val="bottom"/>
            <w:tcBorders>
              <w:top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114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114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1020" w:type="dxa"/>
            <w:vAlign w:val="bottom"/>
            <w:tcBorders>
              <w:top w:val="single" w:sz="8" w:color="auto"/>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(44,143)</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 xml:space="preserve">559 </w:t>
            </w:r>
            <w:r>
              <w:rPr>
                <w:rFonts w:ascii="Arial" w:cs="Arial" w:eastAsia="Arial" w:hAnsi="Arial"/>
                <w:sz w:val="11"/>
                <w:szCs w:val="11"/>
                <w:color w:val="auto"/>
              </w:rPr>
              <w:t>(a)</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June 30,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00" w:right="580" w:hanging="492"/>
        <w:spacing w:after="0" w:line="277" w:lineRule="auto"/>
        <w:tabs>
          <w:tab w:leader="none" w:pos="4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defined benefit pension plans, amounts reclassified from accumulated other comprehensive income (loss) are recorded to “Other expense (income), net” within the Consolidated Statements of Operations and Comprehensive Income (Loss).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Pre-IPO Awards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become vested as of the date of consummation of such change in control, subject to the grantee’s continued services through the consummation of the change in control.</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Sotera Health Topco Parent, L.P. (of which the Company was a direct wholly owned subsidiary prior to the IPO) and (ii) the Sponsors’ internal rate of return exceeds twenty percent, subject to such grantee’s continued services through such date. 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 Stock based compensation expense attributed to the pre-IPO Class B-2 awards was recorded in the fourth quarter of 2020 as the related performance conditions were considered probable of achievement and the implied service conditions were met. As of June 30, 2022, these awards remain unvested.</w:t>
      </w:r>
    </w:p>
    <w:p>
      <w:pPr>
        <w:spacing w:after="0" w:line="1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recognized $0.5 million and $0.7 million of share-based compensation expense related to the pre-IPO Class B-1 awards for the three months ended June 30, 2022 and 2021, respectively, and $1.1 million and $1.3 million for the six months ended June 30, 2022 and 2021, respectively.</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summary of the activity for the six months ended June 30, 2022 related to the restricted stock awards distributed to the Company service providers in respect of the pre-IPO awards (Class B-1 and B-2 Units)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Restricted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r>
      <w:tr>
        <w:trPr>
          <w:trHeight w:val="162"/>
        </w:trPr>
        <w:tc>
          <w:tcPr>
            <w:tcW w:w="82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Stock - Pre-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Stock - Pre-</w:t>
            </w:r>
          </w:p>
        </w:tc>
      </w:tr>
      <w:tr>
        <w:trPr>
          <w:trHeight w:val="186"/>
        </w:trPr>
        <w:tc>
          <w:tcPr>
            <w:tcW w:w="82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IPO B-1</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IPO B-2</w:t>
            </w:r>
          </w:p>
        </w:tc>
      </w:tr>
      <w:tr>
        <w:trPr>
          <w:trHeight w:val="25"/>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1,206,089</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2,023,959</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(32,614)</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(136,252)</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(251,639)</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Unvested at June 30, 2022</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921,836</w:t>
            </w:r>
          </w:p>
        </w:tc>
        <w:tc>
          <w:tcPr>
            <w:tcW w:w="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1,887,707</w:t>
            </w: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recognized $5.3 million ($2.2 million for stock options and $3.1 million for RSUs) and $2.8 million ($1.3 million for stock options and $1.5 million for RSUs) of share-based compensation expense for these awards for the three months ended June 30, 2022 and 2021, respectively. We recognized $9.2 million ($3.7 million for stock options and $5.5 million for RSUs) and $5.6 million ($2.5 million for stock options and $3.1 million for RSUs) for the six months ended June 30, 2022 and 2021, respectively, in our Consolidated Statements of Operations and Comprehensive Income (Loss), in “Selling, general and administrative expenses.”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Stock options generally vest ratably over a period of three or four years. They have an exercise price equal to the fair market value of a share of common stock on the date of grant, and a contractual term of 10 years. The following table summarizes our stock option activity for the six months ended June 30,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146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Weighted-average</w:t>
            </w:r>
          </w:p>
        </w:tc>
      </w:tr>
      <w:tr>
        <w:trPr>
          <w:trHeight w:val="186"/>
        </w:trPr>
        <w:tc>
          <w:tcPr>
            <w:tcW w:w="786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460" w:type="dxa"/>
            <w:vAlign w:val="bottom"/>
          </w:tcPr>
          <w:p>
            <w:pPr>
              <w:jc w:val="right"/>
              <w:ind w:right="295"/>
              <w:spacing w:after="0"/>
              <w:rPr>
                <w:sz w:val="20"/>
                <w:szCs w:val="20"/>
                <w:color w:val="auto"/>
              </w:rPr>
            </w:pPr>
            <w:r>
              <w:rPr>
                <w:rFonts w:ascii="Arial" w:cs="Arial" w:eastAsia="Arial" w:hAnsi="Arial"/>
                <w:sz w:val="14"/>
                <w:szCs w:val="14"/>
                <w:b w:val="1"/>
                <w:bCs w:val="1"/>
                <w:color w:val="auto"/>
              </w:rPr>
              <w:t>Exercise Price</w:t>
            </w:r>
          </w:p>
        </w:tc>
      </w:tr>
      <w:tr>
        <w:trPr>
          <w:trHeight w:val="26"/>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r>
      <w:tr>
        <w:trPr>
          <w:trHeight w:val="243"/>
        </w:trPr>
        <w:tc>
          <w:tcPr>
            <w:tcW w:w="78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1,416,967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7"/>
        </w:trPr>
        <w:tc>
          <w:tcPr>
            <w:tcW w:w="7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r>
      <w:tr>
        <w:trPr>
          <w:trHeight w:val="243"/>
        </w:trPr>
        <w:tc>
          <w:tcPr>
            <w:tcW w:w="786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At June 30,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3,778,830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there were 0.6 million stock options vested.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RSUs generally vest ratably over a period of one to four years and are valued based on our market price on the date of grant. The following table summarizes our unvested RSUs activity for the six months ended June 30,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2040" w:type="dxa"/>
            <w:vAlign w:val="bottom"/>
          </w:tcPr>
          <w:p>
            <w:pPr>
              <w:jc w:val="right"/>
              <w:ind w:right="295"/>
              <w:spacing w:after="0"/>
              <w:rPr>
                <w:sz w:val="20"/>
                <w:szCs w:val="20"/>
                <w:color w:val="auto"/>
              </w:rPr>
            </w:pPr>
            <w:r>
              <w:rPr>
                <w:rFonts w:ascii="Arial" w:cs="Arial" w:eastAsia="Arial" w:hAnsi="Arial"/>
                <w:sz w:val="14"/>
                <w:szCs w:val="14"/>
                <w:b w:val="1"/>
                <w:bCs w:val="1"/>
                <w:color w:val="auto"/>
              </w:rPr>
              <w:t>Weighted-average Grant</w:t>
            </w:r>
          </w:p>
        </w:tc>
      </w:tr>
      <w:tr>
        <w:trPr>
          <w:trHeight w:val="186"/>
        </w:trPr>
        <w:tc>
          <w:tcPr>
            <w:tcW w:w="744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6"/>
                <w:szCs w:val="16"/>
                <w:color w:val="auto"/>
              </w:rPr>
            </w:pPr>
          </w:p>
        </w:tc>
        <w:tc>
          <w:tcPr>
            <w:tcW w:w="2040" w:type="dxa"/>
            <w:vAlign w:val="bottom"/>
          </w:tcPr>
          <w:p>
            <w:pPr>
              <w:jc w:val="right"/>
              <w:ind w:right="575"/>
              <w:spacing w:after="0"/>
              <w:rPr>
                <w:sz w:val="20"/>
                <w:szCs w:val="20"/>
                <w:color w:val="auto"/>
              </w:rPr>
            </w:pPr>
            <w:r>
              <w:rPr>
                <w:rFonts w:ascii="Arial" w:cs="Arial" w:eastAsia="Arial" w:hAnsi="Arial"/>
                <w:sz w:val="14"/>
                <w:szCs w:val="14"/>
                <w:b w:val="1"/>
                <w:bCs w:val="1"/>
                <w:color w:val="auto"/>
              </w:rPr>
              <w:t>Date Fair Value</w:t>
            </w:r>
          </w:p>
        </w:tc>
      </w:tr>
      <w:tr>
        <w:trPr>
          <w:trHeight w:val="25"/>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r>
      <w:tr>
        <w:trPr>
          <w:trHeight w:val="243"/>
        </w:trPr>
        <w:tc>
          <w:tcPr>
            <w:tcW w:w="74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923,137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20.70</w:t>
            </w:r>
          </w:p>
        </w:tc>
      </w:tr>
      <w:tr>
        <w:trPr>
          <w:trHeight w:val="27"/>
        </w:trPr>
        <w:tc>
          <w:tcPr>
            <w:tcW w:w="7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r>
      <w:tr>
        <w:trPr>
          <w:trHeight w:val="243"/>
        </w:trPr>
        <w:tc>
          <w:tcPr>
            <w:tcW w:w="7440" w:type="dxa"/>
            <w:vAlign w:val="bottom"/>
          </w:tcPr>
          <w:p>
            <w:pPr>
              <w:ind w:left="240"/>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spacing w:after="0"/>
              <w:rPr>
                <w:sz w:val="20"/>
                <w:szCs w:val="20"/>
                <w:color w:val="auto"/>
              </w:rPr>
            </w:pPr>
            <w:r>
              <w:rPr>
                <w:rFonts w:ascii="Arial" w:cs="Arial" w:eastAsia="Arial" w:hAnsi="Arial"/>
                <w:sz w:val="18"/>
                <w:szCs w:val="18"/>
                <w:color w:val="auto"/>
              </w:rPr>
              <w:t>(88,459)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24.13</w:t>
            </w:r>
          </w:p>
        </w:tc>
      </w:tr>
      <w:tr>
        <w:trPr>
          <w:trHeight w:val="27"/>
        </w:trPr>
        <w:tc>
          <w:tcPr>
            <w:tcW w:w="7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8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June 30, 2022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1,437,301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Diluted earnings per share is computed using the more dilutive of</w:t>
      </w:r>
    </w:p>
    <w:p>
      <w:pPr>
        <w:spacing w:after="0" w:line="1" w:lineRule="exact"/>
        <w:rPr>
          <w:sz w:val="20"/>
          <w:szCs w:val="20"/>
          <w:color w:val="auto"/>
        </w:rPr>
      </w:pPr>
    </w:p>
    <w:p>
      <w:pPr>
        <w:ind w:left="5540" w:right="3480" w:hanging="5532"/>
        <w:spacing w:after="0" w:line="918"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two-class method, or (b) treasury stock method, as applicable, to the potentially dilutive instruments.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Our basic and diluted earnings per common share are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1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900" w:type="dxa"/>
            <w:vAlign w:val="bottom"/>
          </w:tcPr>
          <w:p>
            <w:pPr>
              <w:jc w:val="right"/>
              <w:ind w:right="21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4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 of U.S. dollars and share amounts (except per share amounts)</w:t>
            </w:r>
          </w:p>
        </w:tc>
        <w:tc>
          <w:tcPr>
            <w:tcW w:w="200" w:type="dxa"/>
            <w:vAlign w:val="bottom"/>
          </w:tcPr>
          <w:p>
            <w:pPr>
              <w:spacing w:after="0"/>
              <w:rPr>
                <w:sz w:val="13"/>
                <w:szCs w:val="13"/>
                <w:color w:val="auto"/>
              </w:rPr>
            </w:pPr>
          </w:p>
        </w:tc>
        <w:tc>
          <w:tcPr>
            <w:tcW w:w="900" w:type="dxa"/>
            <w:vAlign w:val="bottom"/>
          </w:tcPr>
          <w:p>
            <w:pPr>
              <w:jc w:val="right"/>
              <w:ind w:right="315"/>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340" w:type="dxa"/>
            <w:vAlign w:val="bottom"/>
            <w:tcBorders>
              <w:top w:val="single" w:sz="8" w:color="auto"/>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30,418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42,615</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61,059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53,680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Less: Allocation to participating securities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Sotera Health Company common shareholders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42,025</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60,414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Weighted Average Common Shares: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Borders>
              <w:bottom w:val="single" w:sz="8" w:color="CCEEFF"/>
            </w:tcBorders>
            <w:shd w:val="clear" w:color="auto" w:fill="CCEEFF"/>
          </w:tcPr>
          <w:p>
            <w:pPr>
              <w:spacing w:after="0"/>
              <w:rPr>
                <w:sz w:val="24"/>
                <w:szCs w:val="24"/>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 - basic</w:t>
            </w: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279,990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279,078</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279,910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278,953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Dilutive effect of potential common shares</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CCEEFF"/>
            </w:tcBorders>
            <w:shd w:val="clear" w:color="auto" w:fill="CCEEFF"/>
          </w:tcPr>
          <w:p>
            <w:pPr>
              <w:spacing w:after="0"/>
              <w:rPr>
                <w:sz w:val="24"/>
                <w:szCs w:val="24"/>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 - diluted</w:t>
            </w: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280,171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279,214</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280,038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Net income per common share attributable to Sotera Health Company common</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shareholders - basic</w:t>
            </w: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w w:val="99"/>
              </w:rPr>
              <w:t>Net income per common share attributable to Sotera Health Company common</w:t>
            </w: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gridSpan w:val="2"/>
          </w:tcPr>
          <w:p>
            <w:pPr>
              <w:ind w:left="500"/>
              <w:spacing w:after="0"/>
              <w:rPr>
                <w:sz w:val="20"/>
                <w:szCs w:val="20"/>
                <w:color w:val="auto"/>
              </w:rPr>
            </w:pPr>
            <w:r>
              <w:rPr>
                <w:rFonts w:ascii="Arial" w:cs="Arial" w:eastAsia="Arial" w:hAnsi="Arial"/>
                <w:sz w:val="18"/>
                <w:szCs w:val="18"/>
                <w:color w:val="auto"/>
              </w:rPr>
              <w:t>shareholders - diluted</w:t>
            </w: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does not consider the following potential common shares as the effect would be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800" w:type="dxa"/>
            <w:vAlign w:val="bottom"/>
            <w:gridSpan w:val="4"/>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2560" w:type="dxa"/>
            <w:vAlign w:val="bottom"/>
            <w:gridSpan w:val="3"/>
          </w:tcPr>
          <w:p>
            <w:pPr>
              <w:jc w:val="right"/>
              <w:ind w:right="637"/>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40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w:t>
            </w: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w:t>
            </w:r>
          </w:p>
        </w:tc>
        <w:tc>
          <w:tcPr>
            <w:tcW w:w="1220" w:type="dxa"/>
            <w:vAlign w:val="bottom"/>
          </w:tcPr>
          <w:p>
            <w:pPr>
              <w:jc w:val="right"/>
              <w:ind w:right="277"/>
              <w:spacing w:after="0"/>
              <w:rPr>
                <w:sz w:val="20"/>
                <w:szCs w:val="20"/>
                <w:color w:val="auto"/>
              </w:rPr>
            </w:pPr>
            <w:r>
              <w:rPr>
                <w:rFonts w:ascii="Arial" w:cs="Arial" w:eastAsia="Arial" w:hAnsi="Arial"/>
                <w:sz w:val="14"/>
                <w:szCs w:val="14"/>
                <w:b w:val="1"/>
                <w:bCs w:val="1"/>
                <w:color w:val="auto"/>
              </w:rPr>
              <w:t>June 30,</w:t>
            </w:r>
          </w:p>
        </w:tc>
      </w:tr>
      <w:tr>
        <w:trPr>
          <w:trHeight w:val="158"/>
        </w:trPr>
        <w:tc>
          <w:tcPr>
            <w:tcW w:w="20" w:type="dxa"/>
            <w:vAlign w:val="bottom"/>
          </w:tcPr>
          <w:p>
            <w:pPr>
              <w:spacing w:after="0"/>
              <w:rPr>
                <w:sz w:val="13"/>
                <w:szCs w:val="13"/>
                <w:color w:val="auto"/>
              </w:rPr>
            </w:pPr>
          </w:p>
        </w:tc>
        <w:tc>
          <w:tcPr>
            <w:tcW w:w="586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 of share amounts</w:t>
            </w:r>
          </w:p>
        </w:tc>
        <w:tc>
          <w:tcPr>
            <w:tcW w:w="1300" w:type="dxa"/>
            <w:vAlign w:val="bottom"/>
          </w:tcPr>
          <w:p>
            <w:pPr>
              <w:jc w:val="right"/>
              <w:ind w:right="419"/>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300" w:type="dxa"/>
            <w:vAlign w:val="bottom"/>
          </w:tcPr>
          <w:p>
            <w:pPr>
              <w:jc w:val="right"/>
              <w:ind w:right="437"/>
              <w:spacing w:after="0" w:line="158"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240" w:type="dxa"/>
            <w:vAlign w:val="bottom"/>
          </w:tcPr>
          <w:p>
            <w:pPr>
              <w:jc w:val="right"/>
              <w:ind w:right="399"/>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220" w:type="dxa"/>
            <w:vAlign w:val="bottom"/>
          </w:tcPr>
          <w:p>
            <w:pPr>
              <w:jc w:val="right"/>
              <w:ind w:right="397"/>
              <w:spacing w:after="0" w:line="158" w:lineRule="exact"/>
              <w:rPr>
                <w:sz w:val="20"/>
                <w:szCs w:val="20"/>
                <w:color w:val="auto"/>
              </w:rPr>
            </w:pPr>
            <w:r>
              <w:rPr>
                <w:rFonts w:ascii="Arial" w:cs="Arial" w:eastAsia="Arial" w:hAnsi="Arial"/>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1760" w:type="dxa"/>
            <w:vAlign w:val="bottom"/>
            <w:tcBorders>
              <w:top w:val="single" w:sz="8" w:color="auto"/>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r>
      <w:tr>
        <w:trPr>
          <w:trHeight w:val="243"/>
        </w:trPr>
        <w:tc>
          <w:tcPr>
            <w:tcW w:w="20" w:type="dxa"/>
            <w:vAlign w:val="bottom"/>
          </w:tcPr>
          <w:p>
            <w:pPr>
              <w:spacing w:after="0"/>
              <w:rPr>
                <w:sz w:val="21"/>
                <w:szCs w:val="21"/>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RSUs</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anti-dilutive securities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establish reserves for specific liabilities in connection with regulatory and legal actions that we determine to be both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adverse effects on our business,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Ethylene Oxide Tort Litigation</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Sterigenics and other medical supply sterilization companies have been subjected to personal injury and related tort lawsuits alleging various injuries caused by low-level environmental exposure to EO emissions from sterilization facilities. Those lawsuits, as detailed further below, are individual claims, as opposed to class actions.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Approximately 780 plaintiffs have filed lawsuits against subsidiaries of the Company and other parties, alleging personal injuries including cancer and other diseases, or wrongful death, resulting from purported emissions and releases of EO from Sterigenics U.S., LLC’s former Willowbrook facility. Additional derivative claims are alleged on behalf of other individuals related to some of these personal injury plaintiffs. Each plaintiff seeks damages in an amount to be determined by the trier of fact. The lawsuits were consolidated for pre-trial purposes by the Cook County Circuit Court, Illinois (the “Consolidated Case”). Plaintiffs have not yet made any specific damages claims.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Fact discovery in the Consolidated Case concluded on February 1, 2022. On June 28, 2022 the Court granted summary judgment, dismissing plaintiffs’ ultrahazardous activity / strict liability claims and denying the remainder of the motions. Three of the individual cases included in the Consolidated Case have been scheduled for trials in 2022. Plaintiffs in those three cases have been granted permission to seek punitive damage awards against subsidiaries of the Company and another party. The first trial is now expected to begin on August 12, 2022. The next two individual trials are scheduled to begin in the third and fourth quarters of 2022, followed by five individual trials scheduled to occur consecutively, beginning in the first quarter of 2023. Additional trial dates are expected to be announced on September 7,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Georgia</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Since August 17, 2020, approximately 300 plaintiffs have filed lawsuits against subsidiaries of the Company and other parties in the State Court of Cobb County, Georgia and the State Court of Gwinnett County, Georgia alleging that they suffered personal injuries resulting from emissions and releases of EO from Sterigenics’ Atlanta facility. Additional derivative claims are alleged on behalf of other individuals related to some of these personal injury plaintiffs. Our subsidiaries are also defendants in two lawsuits alleging that the Atlanta facility has devalued and harmed plaintiffs’ use of real properties they own in Smyrna, Georgia and caused other damages. These personal injury and property devaluation plaintiffs seek various forms of relief including damages. All but two of the personal injury lawsuits pending in Cobb County have been consolidated for pretrial purposes. The Court has entered a phased case management schedule for a “pool” of ten of the consolidated cases by which threshold general causation issues will be decided in Phase 1, followed by specific causation issues in Phase 2 as to any of the pooled cases that survive Phase 1. The Court has stayed the remainder of the consolidated personal injury cases pending in Cobb County and an immediate appeal of a discrete procedural issue is being pursued by the defendants. One personal injury case is pending in Gwinnett County and is scheduled for trial in June 2023. The remaining two personal injury cases and two property devaluation cases are in various stages of pleadings and motions practice and fact discovery.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Georgia Facility Operations Litigation</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October 2019, while Sterigenics had voluntarily suspended the facility’s operations to install emissions reduction enhancements at its Atlanta facility, Cobb County, Georgia officials asserted that the facility had an incorrect “certificate of occupancy” and could not resume operations without obtaining a new certificate of occupancy after a third-party code compliance review. On March 30, 2020 Sterigenics filed suit against Cobb County, Georgia and certain of its officials for wrongfully interfering with operations of the facility. On April 1, 2020 Sterigenics won a Temporary Restraining Order prohibiting Cobb County officials from interfering with the facility’s normal operations, which relief has been extended until entry of a final judgment in the case. The parties are conducting expert discovery, which is scheduled to end in September 2022. A Modified Scheduling Order was entered on July 14, 2022, including that trial will take place no later than March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Mexico Attorney General Litigation</w:t>
      </w:r>
    </w:p>
    <w:p>
      <w:pPr>
        <w:spacing w:after="0" w:line="225"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On December 22, 2020, the New Mexico Attorney General filed a lawsuit in the Third Judicial District Court, Doña Ana County, New Mexico against the Company and certain subsidiaries alleging that emissions of EO from Sterigenics’ sterilization facility in Santa Teresa, New Mexico have deteriorated the air quality in Santa Teresa and surrounding communities and materially contributed to increased health risks suffered by residents of those communities.</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Complaint asserts claims for public nuisance, negligence, strict liability, violations of New Mexico’s Public Nuisance Statute and Unfair Practices Act and seeks various forms of relief including a temporary restraining order and preliminary injunctive relief and damages. On June 29, 2021, the Court entered an Order Granting Preliminary Injunction (the “Order”). The Order does not require closure of the facility, but prohibits Sterigenics from allowing any uncontrolled emission or release of EO from the facility. On December 20,</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2021 the Court entered an order identifying a protocol to monitor Sterigenics’ compliance with the Order. A motion challenging the Court’s jurisdiction over the Company and certain other defendants has been held in abeyance until the completion of jurisdictional discovery, and all other motions to dismiss have been denied. The parties are conducting fact discovery.</w:t>
      </w:r>
    </w:p>
    <w:p>
      <w:pPr>
        <w:spacing w:after="0" w:line="89" w:lineRule="exact"/>
        <w:rPr>
          <w:sz w:val="20"/>
          <w:szCs w:val="20"/>
          <w:color w:val="auto"/>
        </w:rPr>
      </w:pPr>
    </w:p>
    <w:p>
      <w:pPr>
        <w:jc w:val="center"/>
        <w:ind w:right="-59"/>
        <w:spacing w:after="0"/>
        <w:tabs>
          <w:tab w:leader="none" w:pos="180" w:val="left"/>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insurance for litigation related to alleged environmental liabilities, like the litigation pending in Illinois, Georgia and New Mexico described above has limits of $10.0 million per occurrence and $20.0 million in the aggregate. The per occurrence limit related to the Willowbrook, Illinois litigation was fully utilized by June 30, 2020. The remaining $10.0 million limit is currently being utilized for occurrences related to the EO litigation in Georgia and New Mexico described above. As of June 30, 2022, we have utilized approximately $6.0 million of the remaining $10.0 million limit. Our insurance for future alleged environmental liabilities excludes coverage for EO claims.</w:t>
      </w:r>
    </w:p>
    <w:p>
      <w:pPr>
        <w:spacing w:after="0" w:line="19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we are pursuing other insurance coverage for EO tort litigation. In 2021, Sterigenics U.S., LLC filed an insurance coverage lawsuit in the U.S. District Court for the Northern District of Illinois relating to two commercial general liability policies issued in the 1980s. On August 3, 2022, the Court issued a Memorandum Opinion and Order concluding that the insurer owes Sterigenics U.S., LLC and another insured party a duty to defend the Willowbrook, Illinois litigation, which may allow us to recover defense costs related to that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Financial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in Hedge Relationships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spacing w:after="0" w:line="1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May 2022, we entered into two interest rate cap agreements with a combined notional amount of $1,000.0 million for a total option premium of $4.1 million. The interest rate caps have a forward start date of July 31, 2023 and expire on July 31, 2024. We have designated these interest rate caps as cash flow hedges designed to hedge the variability of cash flows attributable to changes in the benchmark interest rate of our Term Loan. Under the current terms of the loan agreement, the benchmark interest rate index is expected to transition from LIBOR to the term Secured Overnight Financing Rate (“SOFR”) at the earlier of June 30, 2023 or the Company’s election to “early opt-in” to SOFR. Accordingly, the interest rate cap agreements hedge the variability of cash flows attributable to changes in SOFR by limiting our cash flow exposure related to the term SOFR under a portion of our variable rate borrowings to 3.5%.</w:t>
      </w:r>
    </w:p>
    <w:p>
      <w:pPr>
        <w:spacing w:after="0" w:line="19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October 2021, we entered into two interest rate cap agreements with a combined notional amount of $1,000.0 million for a total option premium of $1.8 million. Both interest rate caps have a forward start date of December 31, 2022 and expire on July 31, 2023. These interest rate caps are designated as cash flow hedges and are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in Hedge Relationships</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Additionally, from time to time, the Company enters into interest rate derivatives to manage economic risks associated with our variable rate borrowings that are not designated in hedge relationships. These instruments are recorded at fair value on the Consolidated Balance Sheets, with any changes in the value recorded in “Interest expense, net” in the Consolidated Statements of Operations and Comprehensive Income (Loss).</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June 2020, SHH entered into two interest rate cap agreements with notional amounts of $1,000.0 million and $500.0 million, respectively, for a total option premium of $0.3 million. These instruments were initially scheduled to terminate on August 31, 2021 and February 28, 2022, respectively. The interest rate caps limit our cash flow exposure related to the LIBOR base rate under a portion of our variable rate borrowings to 1%. In February 2021, we amended the two interest rate cap agreements referenced above to reduce the strike rate from 1% to 0.5%. Premiums paid to amend the interest rate caps were immaterial.</w:t>
      </w:r>
    </w:p>
    <w:p>
      <w:pPr>
        <w:spacing w:after="0" w:line="188"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We also entered into two additional interest rate cap agreements in February 2021 with a combined notional amount of $1,000.0 million, for a total option premium of $0.4 million. These instruments were effective September 30, 2021, and will terminate on December 31, 2022. The amended and new interest rate caps limit our cash flow exposure related to LIBOR under a portion of our variable rate borrowings to 0.5%.</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also entered into foreign currency forward contracts to manage foreign currency exchange rate risk of our intercompany loans in certain of our international subsidiaries. The foreign currency forward contracts expire on a monthly basis. The fair value of the outstanding foreign currency forward contracts was zero as of June 30, 2022 and December 31,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expense (income), net” in the Consolidated Statements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notional and fair values of our derivative instruments: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6"/>
                <w:szCs w:val="16"/>
                <w:b w:val="1"/>
                <w:bCs w:val="1"/>
                <w:color w:val="auto"/>
                <w:w w:val="99"/>
              </w:rPr>
              <w:t>June 30, 2022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(in U.S. Dollars; notional in millions, fair value in thousands)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ind w:left="66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tcPr>
          <w:p>
            <w:pPr>
              <w:ind w:left="640"/>
              <w:spacing w:after="0"/>
              <w:rPr>
                <w:sz w:val="20"/>
                <w:szCs w:val="20"/>
                <w:color w:val="auto"/>
              </w:rPr>
            </w:pPr>
            <w:r>
              <w:rPr>
                <w:rFonts w:ascii="Arial" w:cs="Arial" w:eastAsia="Arial" w:hAnsi="Arial"/>
                <w:sz w:val="16"/>
                <w:szCs w:val="16"/>
                <w:b w:val="1"/>
                <w:bCs w:val="1"/>
                <w:color w:val="auto"/>
              </w:rPr>
              <w:t>Fair Value</w:t>
            </w:r>
          </w:p>
        </w:tc>
      </w:tr>
      <w:tr>
        <w:trPr>
          <w:trHeight w:val="34"/>
        </w:trPr>
        <w:tc>
          <w:tcPr>
            <w:tcW w:w="20" w:type="dxa"/>
            <w:vAlign w:val="bottom"/>
          </w:tcPr>
          <w:p>
            <w:pPr>
              <w:spacing w:after="0"/>
              <w:rPr>
                <w:sz w:val="2"/>
                <w:szCs w:val="2"/>
                <w:color w:val="auto"/>
              </w:rPr>
            </w:pPr>
          </w:p>
        </w:tc>
        <w:tc>
          <w:tcPr>
            <w:tcW w:w="35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93"/>
              <w:spacing w:after="0"/>
              <w:rPr>
                <w:sz w:val="20"/>
                <w:szCs w:val="20"/>
                <w:color w:val="auto"/>
              </w:rPr>
            </w:pPr>
            <w:r>
              <w:rPr>
                <w:rFonts w:ascii="Arial" w:cs="Arial" w:eastAsia="Arial" w:hAnsi="Arial"/>
                <w:sz w:val="16"/>
                <w:szCs w:val="16"/>
                <w:b w:val="1"/>
                <w:bCs w:val="1"/>
                <w:color w:val="auto"/>
                <w:w w:val="96"/>
              </w:rPr>
              <w:t>Notional</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34"/>
              <w:spacing w:after="0"/>
              <w:rPr>
                <w:sz w:val="20"/>
                <w:szCs w:val="20"/>
                <w:color w:val="auto"/>
              </w:rPr>
            </w:pPr>
            <w:r>
              <w:rPr>
                <w:rFonts w:ascii="Arial" w:cs="Arial" w:eastAsia="Arial" w:hAnsi="Arial"/>
                <w:sz w:val="16"/>
                <w:szCs w:val="16"/>
                <w:b w:val="1"/>
                <w:bCs w:val="1"/>
                <w:color w:val="auto"/>
                <w:w w:val="96"/>
              </w:rPr>
              <w:t>Derivative</w:t>
            </w:r>
          </w:p>
        </w:tc>
        <w:tc>
          <w:tcPr>
            <w:tcW w:w="26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w:t>
            </w:r>
          </w:p>
        </w:tc>
        <w:tc>
          <w:tcPr>
            <w:tcW w:w="18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w w:val="99"/>
              </w:rPr>
              <w:t>Notional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174"/>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Arial" w:cs="Arial" w:eastAsia="Arial" w:hAnsi="Arial"/>
                <w:sz w:val="16"/>
                <w:szCs w:val="16"/>
                <w:b w:val="1"/>
                <w:bCs w:val="1"/>
                <w:color w:val="auto"/>
              </w:rPr>
              <w:t>Derivative</w:t>
            </w: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13"/>
              <w:spacing w:after="0"/>
              <w:rPr>
                <w:sz w:val="20"/>
                <w:szCs w:val="20"/>
                <w:color w:val="auto"/>
              </w:rPr>
            </w:pPr>
            <w:r>
              <w:rPr>
                <w:rFonts w:ascii="Arial" w:cs="Arial" w:eastAsia="Arial" w:hAnsi="Arial"/>
                <w:sz w:val="16"/>
                <w:szCs w:val="16"/>
                <w:b w:val="1"/>
                <w:bCs w:val="1"/>
                <w:color w:val="auto"/>
                <w:w w:val="99"/>
              </w:rPr>
              <w:t>Amount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294"/>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174"/>
              <w:spacing w:after="0"/>
              <w:rPr>
                <w:sz w:val="20"/>
                <w:szCs w:val="20"/>
                <w:color w:val="auto"/>
              </w:rPr>
            </w:pPr>
            <w:r>
              <w:rPr>
                <w:rFonts w:ascii="Arial" w:cs="Arial" w:eastAsia="Arial" w:hAnsi="Arial"/>
                <w:sz w:val="16"/>
                <w:szCs w:val="16"/>
                <w:b w:val="1"/>
                <w:bCs w:val="1"/>
                <w:color w:val="auto"/>
                <w:w w:val="83"/>
              </w:rPr>
              <w:t>Assets</w:t>
            </w:r>
          </w:p>
        </w:tc>
        <w:tc>
          <w:tcPr>
            <w:tcW w:w="140" w:type="dxa"/>
            <w:vAlign w:val="bottom"/>
          </w:tcPr>
          <w:p>
            <w:pPr>
              <w:spacing w:after="0"/>
              <w:rPr>
                <w:sz w:val="19"/>
                <w:szCs w:val="19"/>
                <w:color w:val="auto"/>
              </w:rPr>
            </w:pPr>
          </w:p>
        </w:tc>
        <w:tc>
          <w:tcPr>
            <w:tcW w:w="960" w:type="dxa"/>
            <w:vAlign w:val="bottom"/>
          </w:tcPr>
          <w:p>
            <w:pPr>
              <w:ind w:left="60"/>
              <w:spacing w:after="0"/>
              <w:rPr>
                <w:sz w:val="20"/>
                <w:szCs w:val="20"/>
                <w:color w:val="auto"/>
              </w:rPr>
            </w:pPr>
            <w:r>
              <w:rPr>
                <w:rFonts w:ascii="Arial" w:cs="Arial" w:eastAsia="Arial" w:hAnsi="Arial"/>
                <w:sz w:val="16"/>
                <w:szCs w:val="16"/>
                <w:b w:val="1"/>
                <w:bCs w:val="1"/>
                <w:color w:val="auto"/>
              </w:rPr>
              <w:t>Liabilities</w:t>
            </w: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300" w:type="dxa"/>
            <w:vAlign w:val="bottom"/>
          </w:tcPr>
          <w:p>
            <w:pPr>
              <w:ind w:left="60"/>
              <w:spacing w:after="0"/>
              <w:rPr>
                <w:sz w:val="20"/>
                <w:szCs w:val="20"/>
                <w:color w:val="auto"/>
              </w:rPr>
            </w:pPr>
            <w:r>
              <w:rPr>
                <w:rFonts w:ascii="Arial" w:cs="Arial" w:eastAsia="Arial" w:hAnsi="Arial"/>
                <w:sz w:val="12"/>
                <w:szCs w:val="12"/>
                <w:color w:val="auto"/>
              </w:rPr>
              <w:t>(a)</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19,144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2,322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Derivatives not designated as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30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11,100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1,654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Embedded derivatives</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190.7</w:t>
            </w:r>
          </w:p>
        </w:tc>
        <w:tc>
          <w:tcPr>
            <w:tcW w:w="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(b)</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1,389</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496</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3,190.7</w:t>
            </w:r>
          </w:p>
        </w:tc>
        <w:tc>
          <w:tcPr>
            <w:tcW w:w="3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31,633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2,644.4</w:t>
            </w:r>
          </w:p>
        </w:tc>
        <w:tc>
          <w:tcPr>
            <w:tcW w:w="2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4,472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right="240" w:hanging="332"/>
        <w:spacing w:after="0" w:line="258" w:lineRule="auto"/>
        <w:tabs>
          <w:tab w:leader="none" w:pos="331" w:val="left"/>
        </w:tabs>
        <w:numPr>
          <w:ilvl w:val="0"/>
          <w:numId w:val="13"/>
        </w:numPr>
        <w:rPr>
          <w:rFonts w:ascii="Arial" w:cs="Arial" w:eastAsia="Arial" w:hAnsi="Arial"/>
          <w:sz w:val="16"/>
          <w:szCs w:val="16"/>
          <w:color w:val="auto"/>
        </w:rPr>
      </w:pPr>
      <w:r>
        <w:rPr>
          <w:rFonts w:ascii="Arial" w:cs="Arial" w:eastAsia="Arial" w:hAnsi="Arial"/>
          <w:sz w:val="18"/>
          <w:szCs w:val="18"/>
          <w:color w:val="auto"/>
        </w:rPr>
        <w:t>$1,000.0 million and $1,000.0 million notional amount of interest rate caps designated as hedging instruments have forward start dates beginning on December 31, 2022 and July 31, 2023, respectively.</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total notional amounts for certain of the Company’s supply and sales contracts accounted for as embedded derivatives.</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Embedded derivative assets and interest rate caps are included in “Prepaid expenses and other current assets” and “Other assets,” respectively, on the Consolidated Balance Sheets depending upon their respective maturity dates. Embedded derivative liabilities are included in “Accrued liabilities” on the Consolidated Balance Sheets.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activities of our derivative instruments for the periods presented, and the line item they are recorded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22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200" w:type="dxa"/>
            <w:vAlign w:val="bottom"/>
            <w:gridSpan w:val="6"/>
          </w:tcPr>
          <w:p>
            <w:pPr>
              <w:jc w:val="right"/>
              <w:ind w:right="29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Unrealized (gain) loss on interest rate caps recorded in interest expense,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center"/>
              <w:ind w:left="196"/>
              <w:spacing w:after="0"/>
              <w:rPr>
                <w:sz w:val="20"/>
                <w:szCs w:val="20"/>
                <w:color w:val="auto"/>
              </w:rPr>
            </w:pPr>
            <w:r>
              <w:rPr>
                <w:rFonts w:ascii="Arial" w:cs="Arial" w:eastAsia="Arial" w:hAnsi="Arial"/>
                <w:sz w:val="18"/>
                <w:szCs w:val="18"/>
                <w:b w:val="1"/>
                <w:bCs w:val="1"/>
                <w:color w:val="auto"/>
                <w:w w:val="91"/>
              </w:rPr>
              <w:t>(3,100)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(9,446)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Realized gain on interest rate caps recorded in interest expense, net</w:t>
            </w:r>
          </w:p>
        </w:tc>
        <w:tc>
          <w:tcPr>
            <w:tcW w:w="300" w:type="dxa"/>
            <w:vAlign w:val="bottom"/>
          </w:tcPr>
          <w:p>
            <w:pPr>
              <w:spacing w:after="0"/>
              <w:rPr>
                <w:sz w:val="21"/>
                <w:szCs w:val="21"/>
                <w:color w:val="auto"/>
              </w:rPr>
            </w:pPr>
          </w:p>
        </w:tc>
        <w:tc>
          <w:tcPr>
            <w:tcW w:w="880" w:type="dxa"/>
            <w:vAlign w:val="bottom"/>
          </w:tcPr>
          <w:p>
            <w:pPr>
              <w:jc w:val="center"/>
              <w:ind w:left="196"/>
              <w:spacing w:after="0"/>
              <w:rPr>
                <w:sz w:val="20"/>
                <w:szCs w:val="20"/>
                <w:color w:val="auto"/>
              </w:rPr>
            </w:pPr>
            <w:r>
              <w:rPr>
                <w:rFonts w:ascii="Arial" w:cs="Arial" w:eastAsia="Arial" w:hAnsi="Arial"/>
                <w:sz w:val="18"/>
                <w:szCs w:val="18"/>
                <w:b w:val="1"/>
                <w:bCs w:val="1"/>
                <w:color w:val="auto"/>
                <w:w w:val="91"/>
              </w:rPr>
              <w:t>(1,279)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Unrealized loss (gain) on embedded derivatives recorded in other expense (income),</w:t>
            </w:r>
          </w:p>
        </w:tc>
        <w:tc>
          <w:tcPr>
            <w:tcW w:w="3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center"/>
              <w:ind w:left="236"/>
              <w:spacing w:after="0"/>
              <w:rPr>
                <w:sz w:val="20"/>
                <w:szCs w:val="20"/>
                <w:color w:val="auto"/>
              </w:rPr>
            </w:pPr>
            <w:r>
              <w:rPr>
                <w:rFonts w:ascii="Arial" w:cs="Arial" w:eastAsia="Arial" w:hAnsi="Arial"/>
                <w:sz w:val="18"/>
                <w:szCs w:val="18"/>
                <w:b w:val="1"/>
                <w:bCs w:val="1"/>
                <w:color w:val="auto"/>
                <w:w w:val="88"/>
              </w:rPr>
              <w:t>2,435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1,417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Realized loss (gain) on foreign currency forward contracts recorded in foreign</w:t>
            </w:r>
          </w:p>
        </w:tc>
        <w:tc>
          <w:tcPr>
            <w:tcW w:w="300" w:type="dxa"/>
            <w:vAlign w:val="bottom"/>
          </w:tcPr>
          <w:p>
            <w:pPr>
              <w:spacing w:after="0"/>
              <w:rPr>
                <w:sz w:val="19"/>
                <w:szCs w:val="19"/>
                <w:color w:val="auto"/>
              </w:rPr>
            </w:pPr>
          </w:p>
        </w:tc>
        <w:tc>
          <w:tcPr>
            <w:tcW w:w="880" w:type="dxa"/>
            <w:vAlign w:val="bottom"/>
            <w:vMerge w:val="restart"/>
          </w:tcPr>
          <w:p>
            <w:pPr>
              <w:jc w:val="center"/>
              <w:ind w:left="236"/>
              <w:spacing w:after="0"/>
              <w:rPr>
                <w:sz w:val="20"/>
                <w:szCs w:val="20"/>
                <w:color w:val="auto"/>
              </w:rPr>
            </w:pPr>
            <w:r>
              <w:rPr>
                <w:rFonts w:ascii="Arial" w:cs="Arial" w:eastAsia="Arial" w:hAnsi="Arial"/>
                <w:sz w:val="18"/>
                <w:szCs w:val="18"/>
                <w:b w:val="1"/>
                <w:bCs w:val="1"/>
                <w:color w:val="auto"/>
                <w:w w:val="88"/>
              </w:rPr>
              <w:t>1,035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(495)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gridSpan w:val="2"/>
          </w:tcPr>
          <w:p>
            <w:pPr>
              <w:ind w:left="240"/>
              <w:spacing w:after="0"/>
              <w:rPr>
                <w:sz w:val="20"/>
                <w:szCs w:val="20"/>
                <w:color w:val="auto"/>
              </w:rPr>
            </w:pPr>
            <w:r>
              <w:rPr>
                <w:rFonts w:ascii="Arial" w:cs="Arial" w:eastAsia="Arial" w:hAnsi="Arial"/>
                <w:sz w:val="18"/>
                <w:szCs w:val="18"/>
                <w:color w:val="auto"/>
              </w:rPr>
              <w:t>exchange (gain) loss</w:t>
            </w: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gains on our cash flow hedges recognized in “Other comprehensive income (loss)” during the period: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00" w:type="dxa"/>
            <w:vAlign w:val="bottom"/>
          </w:tcPr>
          <w:p>
            <w:pPr>
              <w:spacing w:after="0"/>
              <w:rPr>
                <w:sz w:val="14"/>
                <w:szCs w:val="14"/>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Three Months Ended 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Unrealized gain on interest rate derivatives recorded in other comprehensive income</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3,178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9,357</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(loss), net of tax</w:t>
            </w:r>
          </w:p>
        </w:tc>
        <w:tc>
          <w:tcPr>
            <w:tcW w:w="20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gridSpan w:val="3"/>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expect to reclassify approximately $12.5 million of after-tax net gains on derivative instruments from accumulated other comprehensive income (loss) to income during the next 12 months associated with our cash flow hedges.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June 30, 2022 and December 31, 2021, accounts receivable was net of an allowance for uncollectible accounts of $1.8 million and $1.3 million, respectively.</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markets that are not active, or other inputs that are observable; Level 3—fair values determined by unobservable inputs reflecting our own assumptions, consistent with reasonably available assumptions made by other market participants.</w:t>
      </w:r>
    </w:p>
    <w:p>
      <w:pPr>
        <w:sectPr>
          <w:pgSz w:w="11900" w:h="16838" w:orient="portrait"/>
          <w:cols w:equalWidth="0" w:num="1">
            <w:col w:w="11240"/>
          </w:cols>
          <w:pgMar w:left="320" w:top="134"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the fair value of our financial assets and liabilities: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As of June 30, 2022</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2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174"/>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220" w:type="dxa"/>
            <w:vAlign w:val="bottom"/>
            <w:gridSpan w:val="3"/>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3"/>
                <w:szCs w:val="13"/>
                <w:color w:val="auto"/>
              </w:rPr>
            </w:pPr>
          </w:p>
        </w:tc>
        <w:tc>
          <w:tcPr>
            <w:tcW w:w="1160" w:type="dxa"/>
            <w:vAlign w:val="bottom"/>
          </w:tcPr>
          <w:p>
            <w:pPr>
              <w:jc w:val="center"/>
              <w:ind w:right="174"/>
              <w:spacing w:after="0" w:line="158"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Borders>
              <w:right w:val="single" w:sz="8" w:color="auto"/>
            </w:tcBorders>
            <w:gridSpan w:val="2"/>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220" w:type="dxa"/>
            <w:vAlign w:val="bottom"/>
            <w:gridSpan w:val="3"/>
          </w:tcPr>
          <w:p>
            <w:pPr>
              <w:spacing w:after="0"/>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Derivative assets - interest rate caps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19,144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87"/>
        </w:trPr>
        <w:tc>
          <w:tcPr>
            <w:tcW w:w="5220" w:type="dxa"/>
            <w:vAlign w:val="bottom"/>
            <w:gridSpan w:val="3"/>
          </w:tcPr>
          <w:p>
            <w:pPr>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(b)</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Derivative assets - interest rate caps</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11,100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Embedded derivative assets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1,389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Embedded derivative liabilities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2,322</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7"/>
        </w:trPr>
        <w:tc>
          <w:tcPr>
            <w:tcW w:w="5220" w:type="dxa"/>
            <w:vAlign w:val="bottom"/>
            <w:gridSpan w:val="3"/>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Term loan, due 2026</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1,745,102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Other long-term debt</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5220" w:type="dxa"/>
            <w:vAlign w:val="bottom"/>
            <w:gridSpan w:val="3"/>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(d)</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58,755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2021</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174"/>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220" w:type="dxa"/>
            <w:vAlign w:val="bottom"/>
            <w:gridSpan w:val="3"/>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3"/>
                <w:szCs w:val="13"/>
                <w:color w:val="auto"/>
              </w:rPr>
            </w:pPr>
          </w:p>
        </w:tc>
        <w:tc>
          <w:tcPr>
            <w:tcW w:w="1160" w:type="dxa"/>
            <w:vAlign w:val="bottom"/>
          </w:tcPr>
          <w:p>
            <w:pPr>
              <w:jc w:val="center"/>
              <w:ind w:right="174"/>
              <w:spacing w:after="0" w:line="158"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5220" w:type="dxa"/>
            <w:vAlign w:val="bottom"/>
            <w:gridSpan w:val="3"/>
            <w:vMerge w:val="restart"/>
          </w:tcPr>
          <w:p>
            <w:pPr>
              <w:spacing w:after="0"/>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52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Derivative assets - interest rate caps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5220" w:type="dxa"/>
            <w:vAlign w:val="bottom"/>
            <w:gridSpan w:val="3"/>
          </w:tcPr>
          <w:p>
            <w:pPr>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(b)</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Derivative assets - interest rate caps</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Embedded derivative liabilities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1"/>
        </w:trPr>
        <w:tc>
          <w:tcPr>
            <w:tcW w:w="5220" w:type="dxa"/>
            <w:vAlign w:val="bottom"/>
            <w:gridSpan w:val="3"/>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Term loan, due 2026</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1,743,090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20" w:type="dxa"/>
            <w:vAlign w:val="bottom"/>
            <w:gridSpan w:val="3"/>
          </w:tcPr>
          <w:p>
            <w:pPr>
              <w:ind w:left="220"/>
              <w:spacing w:after="0"/>
              <w:rPr>
                <w:sz w:val="20"/>
                <w:szCs w:val="20"/>
                <w:color w:val="auto"/>
              </w:rPr>
            </w:pPr>
            <w:r>
              <w:rPr>
                <w:rFonts w:ascii="Arial" w:cs="Arial" w:eastAsia="Arial" w:hAnsi="Arial"/>
                <w:sz w:val="18"/>
                <w:szCs w:val="18"/>
                <w:color w:val="auto"/>
              </w:rPr>
              <w:t>Other long-term debt</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5220" w:type="dxa"/>
            <w:vAlign w:val="bottom"/>
            <w:gridSpan w:val="3"/>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(d)</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42,037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-4269105</wp:posOffset>
            </wp:positionV>
            <wp:extent cx="713232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-3874770</wp:posOffset>
            </wp:positionV>
            <wp:extent cx="713232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-3480435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-3137535</wp:posOffset>
            </wp:positionV>
            <wp:extent cx="7132320"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-1363345</wp:posOffset>
            </wp:positionV>
            <wp:extent cx="713232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-969010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-1757680</wp:posOffset>
            </wp:positionV>
            <wp:extent cx="7132320"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32385</wp:posOffset>
            </wp:positionV>
            <wp:extent cx="28460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57" w:lineRule="exact"/>
        <w:rPr>
          <w:sz w:val="20"/>
          <w:szCs w:val="20"/>
          <w:color w:val="auto"/>
        </w:rPr>
      </w:pPr>
    </w:p>
    <w:p>
      <w:pPr>
        <w:spacing w:after="0"/>
        <w:tabs>
          <w:tab w:leader="none" w:pos="1500" w:val="left"/>
          <w:tab w:leader="none" w:pos="302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19,144</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621"/>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11,100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1,389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2,322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621"/>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1,679,353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351"/>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58,755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555"/>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02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66"/>
        </w:trPr>
        <w:tc>
          <w:tcPr>
            <w:tcW w:w="10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574"/>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2,322</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621"/>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621"/>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1,754,285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351"/>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42,037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-1971040</wp:posOffset>
            </wp:positionV>
            <wp:extent cx="2846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6860" w:space="400"/>
            <w:col w:w="3980"/>
          </w:cols>
          <w:pgMar w:left="320" w:top="134" w:right="339" w:bottom="1440" w:gutter="0" w:footer="0" w:header="0"/>
          <w:type w:val="continuous"/>
        </w:sectPr>
      </w:pPr>
    </w:p>
    <w:p>
      <w:pPr>
        <w:ind w:left="500" w:right="40" w:hanging="492"/>
        <w:spacing w:after="0" w:line="255" w:lineRule="auto"/>
        <w:tabs>
          <w:tab w:leader="none" w:pos="4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Derivatives designated as hedging instruments are measured at fair value with changes in fair value recorded as a component of accumulated other comprehensive income (loss). Interest rate caps are valued using pricing models that incorporate observable market inputs including interest rate and yield curves.</w:t>
      </w:r>
    </w:p>
    <w:p>
      <w:pPr>
        <w:spacing w:after="0" w:line="2" w:lineRule="exact"/>
        <w:rPr>
          <w:rFonts w:ascii="Arial" w:cs="Arial" w:eastAsia="Arial" w:hAnsi="Arial"/>
          <w:sz w:val="18"/>
          <w:szCs w:val="18"/>
          <w:color w:val="auto"/>
        </w:rPr>
      </w:pPr>
    </w:p>
    <w:p>
      <w:pPr>
        <w:ind w:left="500" w:right="240" w:hanging="492"/>
        <w:spacing w:after="0" w:line="250" w:lineRule="auto"/>
        <w:tabs>
          <w:tab w:leader="none" w:pos="4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Derivatives that are not designated as hedging instruments are measured at fair value with gains or losses recognized immediately in the Consolidated Statements of Operations and Comprehensive Income (Loss). Interest rate caps are valued using pricing models that incorporate observable market inputs including interest rate and yield curves. Embedded derivatives are valued using internally developed models that rely on observable market inputs including foreign currency forward curves.</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4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Carrying amounts of long-term debt instruments are reported net of discounts and debt issuance costs. The estimated fair value of these instruments is based upon quoted prices for the Term Loan due 2026 in inactive markets as provided by an independent fixed income security pricing service. Fair value approximates carrying value for “Other long-term debt.”</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value approximates carrying value.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w:t>
      </w:r>
    </w:p>
    <w:p>
      <w:pPr>
        <w:sectPr>
          <w:pgSz w:w="11900" w:h="16838" w:orient="portrait"/>
          <w:cols w:equalWidth="0" w:num="1">
            <w:col w:w="11240"/>
          </w:cols>
          <w:pgMar w:left="320" w:top="134"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net revenues and segment income after the elimination of intercompany activities. The accounting policies of our reportable segments are the same as those described in Note 1, “Significant Accounting Policies” of our 2021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Sterigenics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Nordion</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Nelson Labs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pharmaceutical industries.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three months ended June 30, 2022, four customers reported within the Nordion segment individually represented 10% or more of the segment’s total net revenues. These customers represented 21.7%, 15.4%, 13.2%, and 15.9% of the total segment’s external net revenues for the three months ended June 30, 2022. For the three months ended June 30, 2021, two customers reported within the Nordion segment individually represented 10% or more of the segment’s total net revenues. These customers represented 17.9% and 16.1% of the total segment’s external net revenues for the three months ended June 30, 2021.</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six months ended June 30, 2022, four customers reported within the Nordion segment individually represented 10% or more of the segment’s total net revenues. These customers represented 18.8%, 15.5%, 12.8%, and 10.6% of the total segment’s external net revenues for the six months ended June 30, 2022. For the six months ended June 30, 2021, four customers reported within the Nordion segment individually represented 10% or more of the segment’s total net revenues. These customers represented 14.8%, 13.1%, 12.6%, and 10.5% of the total segment's external net revenues for the six months ended June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each of our segments is presented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288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b w:val="1"/>
                <w:bCs w:val="1"/>
                <w:color w:val="auto"/>
              </w:rPr>
              <w:t>Segment revenues</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Sterigenics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157,792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145,182</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307,254</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276,333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Nordion</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84,480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Nelson Labs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58,369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57,610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111,659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112,689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266,639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251,917</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503,393</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40" w:type="dxa"/>
            <w:vAlign w:val="bottom"/>
            <w:tcBorders>
              <w:top w:val="single" w:sz="8" w:color="CCEEFF"/>
              <w:bottom w:val="single" w:sz="8" w:color="CCEEFF"/>
            </w:tcBorders>
            <w:gridSpan w:val="2"/>
            <w:vMerge w:val="restart"/>
          </w:tcPr>
          <w:p>
            <w:pPr>
              <w:spacing w:after="0" w:line="257" w:lineRule="exact"/>
              <w:rPr>
                <w:sz w:val="20"/>
                <w:szCs w:val="20"/>
                <w:color w:val="auto"/>
              </w:rPr>
            </w:pPr>
            <w:r>
              <w:rPr>
                <w:rFonts w:ascii="Arial" w:cs="Arial" w:eastAsia="Arial" w:hAnsi="Arial"/>
                <w:sz w:val="18"/>
                <w:szCs w:val="18"/>
                <w:b w:val="1"/>
                <w:bCs w:val="1"/>
                <w:color w:val="auto"/>
              </w:rPr>
              <w:t>Segment income</w:t>
            </w:r>
            <w:r>
              <w:rPr>
                <w:rFonts w:ascii="Arial" w:cs="Arial" w:eastAsia="Arial" w:hAnsi="Arial"/>
                <w:sz w:val="23"/>
                <w:szCs w:val="23"/>
                <w:color w:val="auto"/>
                <w:vertAlign w:val="superscript"/>
              </w:rPr>
              <w:t>(b)</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4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Sterigenics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164,501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Nordion</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29,982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31,168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48,885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Nelson Labs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23,826</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38,098</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46,896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segment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136,135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134,563</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251,484</w:t>
            </w: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440" w:hanging="492"/>
        <w:spacing w:after="0" w:line="259" w:lineRule="auto"/>
        <w:tabs>
          <w:tab w:leader="none" w:pos="4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Revenues are reported net of intersegment sales. Our Nordion segment recognized $15.8 million and $7.0 million in revenues from sales to our Sterigenics segment for the three months ended June 30, 2022 and 2021, and $31.3 million and $17.5 million in revenues from sales to our Sterigenics segment for the six months ended June 30, 2022 and 2021, respectively, that is not reflected in net revenues in the table above. Intersegment sales for Sterigenics and Nelson Labs are immaterial for these periods.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Segment income is only provided on a net basis to the chief operating decision maker and is reported net of intersegment profits.</w:t>
      </w:r>
    </w:p>
    <w:p>
      <w:pPr>
        <w:spacing w:after="0" w:line="2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Corporate operating expenses for executive management, accounting, information technology, legal, human resources, treasury, corporate development, tax, purchasing, and marketing not directly incurred by a segment are allocated to the segments based on total net revenue. Corporate operating expenses that are directly incurred by a segment are reflected in each segment’s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by segment for the six months ended June 30, 2022 and 2021 were as follows:</w:t>
      </w:r>
    </w:p>
    <w:p>
      <w:pPr>
        <w:spacing w:after="0" w:line="280"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29210</wp:posOffset>
            </wp:positionV>
            <wp:extent cx="2451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Arial" w:cs="Arial" w:eastAsia="Arial" w:hAnsi="Arial"/>
                <w:sz w:val="14"/>
                <w:szCs w:val="14"/>
                <w:b w:val="1"/>
                <w:bCs w:val="1"/>
                <w:color w:val="auto"/>
              </w:rPr>
              <w:t>2021</w:t>
            </w:r>
          </w:p>
        </w:tc>
      </w:tr>
      <w:tr>
        <w:trPr>
          <w:trHeight w:val="26"/>
        </w:trPr>
        <w:tc>
          <w:tcPr>
            <w:tcW w:w="73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Sterigenics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55,065</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35,851</w:t>
            </w:r>
          </w:p>
        </w:tc>
      </w:tr>
      <w:tr>
        <w:trPr>
          <w:trHeight w:val="243"/>
        </w:trPr>
        <w:tc>
          <w:tcPr>
            <w:tcW w:w="7380" w:type="dxa"/>
            <w:vAlign w:val="bottom"/>
          </w:tcPr>
          <w:p>
            <w:pPr>
              <w:ind w:left="140"/>
              <w:spacing w:after="0"/>
              <w:rPr>
                <w:sz w:val="20"/>
                <w:szCs w:val="20"/>
                <w:color w:val="auto"/>
              </w:rPr>
            </w:pPr>
            <w:r>
              <w:rPr>
                <w:rFonts w:ascii="Arial" w:cs="Arial" w:eastAsia="Arial" w:hAnsi="Arial"/>
                <w:sz w:val="18"/>
                <w:szCs w:val="18"/>
                <w:color w:val="auto"/>
              </w:rPr>
              <w:t>Nordion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10,741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6,376</w:t>
            </w:r>
          </w:p>
        </w:tc>
      </w:tr>
      <w:tr>
        <w:trPr>
          <w:trHeight w:val="27"/>
        </w:trPr>
        <w:tc>
          <w:tcPr>
            <w:tcW w:w="7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Nelson Labs</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5,836</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r>
      <w:tr>
        <w:trPr>
          <w:trHeight w:val="26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Total capital expenditures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71,642</w:t>
            </w:r>
          </w:p>
        </w:tc>
        <w:tc>
          <w:tcPr>
            <w:tcW w:w="1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44,789</w:t>
            </w:r>
          </w:p>
        </w:tc>
      </w:tr>
      <w:tr>
        <w:trPr>
          <w:trHeight w:val="21"/>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to consolidated income before taxes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220" w:type="dxa"/>
            <w:vAlign w:val="bottom"/>
          </w:tcPr>
          <w:p>
            <w:pPr>
              <w:spacing w:after="0"/>
              <w:rPr>
                <w:sz w:val="18"/>
                <w:szCs w:val="18"/>
                <w:color w:val="auto"/>
              </w:rPr>
            </w:pPr>
          </w:p>
        </w:tc>
        <w:tc>
          <w:tcPr>
            <w:tcW w:w="26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48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5"/>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136,135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134,563</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251,484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239,880</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Less adjustments: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17,144</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19,163</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40,445</w:t>
            </w:r>
          </w:p>
        </w:tc>
      </w:tr>
      <w:tr>
        <w:trPr>
          <w:trHeight w:val="378"/>
        </w:trPr>
        <w:tc>
          <w:tcPr>
            <w:tcW w:w="5620" w:type="dxa"/>
            <w:vAlign w:val="bottom"/>
          </w:tcPr>
          <w:p>
            <w:pPr>
              <w:ind w:left="2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(b)</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36,939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37,461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72,988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75,122</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(c)</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5,801</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r>
      <w:tr>
        <w:trPr>
          <w:trHeight w:val="269"/>
        </w:trPr>
        <w:tc>
          <w:tcPr>
            <w:tcW w:w="5620" w:type="dxa"/>
            <w:vAlign w:val="bottom"/>
          </w:tcPr>
          <w:p>
            <w:pPr>
              <w:ind w:left="180"/>
              <w:spacing w:after="0"/>
              <w:rPr>
                <w:sz w:val="20"/>
                <w:szCs w:val="20"/>
                <w:color w:val="auto"/>
              </w:rPr>
            </w:pPr>
            <w:r>
              <w:rPr>
                <w:rFonts w:ascii="Arial" w:cs="Arial" w:eastAsia="Arial" w:hAnsi="Arial"/>
                <w:sz w:val="18"/>
                <w:szCs w:val="18"/>
                <w:color w:val="auto"/>
              </w:rPr>
              <w:t>Gain on foreign currency and derivatives not designated as hedging</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98"/>
        </w:trPr>
        <w:tc>
          <w:tcPr>
            <w:tcW w:w="5620" w:type="dxa"/>
            <w:vAlign w:val="bottom"/>
          </w:tcPr>
          <w:p>
            <w:pPr>
              <w:ind w:left="180"/>
              <w:spacing w:after="0"/>
              <w:rPr>
                <w:sz w:val="20"/>
                <w:szCs w:val="20"/>
                <w:color w:val="auto"/>
              </w:rPr>
            </w:pPr>
            <w:r>
              <w:rPr>
                <w:rFonts w:ascii="Arial" w:cs="Arial" w:eastAsia="Arial" w:hAnsi="Arial"/>
                <w:sz w:val="18"/>
                <w:szCs w:val="18"/>
                <w:color w:val="auto"/>
              </w:rPr>
              <w:t>instruments, net</w:t>
            </w:r>
            <w:r>
              <w:rPr>
                <w:rFonts w:ascii="Arial" w:cs="Arial" w:eastAsia="Arial" w:hAnsi="Arial"/>
                <w:sz w:val="23"/>
                <w:szCs w:val="23"/>
                <w:color w:val="auto"/>
                <w:vertAlign w:val="superscript"/>
              </w:rPr>
              <w:t>(d)</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(7,982)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23"/>
                <w:szCs w:val="23"/>
                <w:color w:val="auto"/>
                <w:vertAlign w:val="superscript"/>
              </w:rPr>
              <w:t>(e)</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378"/>
        </w:trPr>
        <w:tc>
          <w:tcPr>
            <w:tcW w:w="5620" w:type="dxa"/>
            <w:vAlign w:val="bottom"/>
          </w:tcPr>
          <w:p>
            <w:pPr>
              <w:ind w:left="22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23"/>
                <w:szCs w:val="23"/>
                <w:color w:val="auto"/>
                <w:vertAlign w:val="superscript"/>
              </w:rPr>
              <w:t>(f)</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574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23"/>
                <w:szCs w:val="23"/>
                <w:color w:val="auto"/>
                <w:vertAlign w:val="superscript"/>
              </w:rPr>
              <w:t>(g)</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97"/>
        </w:trPr>
        <w:tc>
          <w:tcPr>
            <w:tcW w:w="5620" w:type="dxa"/>
            <w:vAlign w:val="bottom"/>
          </w:tcPr>
          <w:p>
            <w:pPr>
              <w:ind w:left="220"/>
              <w:spacing w:after="0"/>
              <w:rPr>
                <w:sz w:val="20"/>
                <w:szCs w:val="20"/>
                <w:color w:val="auto"/>
              </w:rPr>
            </w:pPr>
            <w:r>
              <w:rPr>
                <w:rFonts w:ascii="Arial" w:cs="Arial" w:eastAsia="Arial" w:hAnsi="Arial"/>
                <w:sz w:val="18"/>
                <w:szCs w:val="18"/>
                <w:color w:val="auto"/>
              </w:rPr>
              <w:t>Impairment of investment in unconsolidated affiliate</w:t>
            </w:r>
            <w:r>
              <w:rPr>
                <w:rFonts w:ascii="Arial" w:cs="Arial" w:eastAsia="Arial" w:hAnsi="Arial"/>
                <w:sz w:val="23"/>
                <w:szCs w:val="23"/>
                <w:color w:val="auto"/>
                <w:vertAlign w:val="superscript"/>
              </w:rPr>
              <w:t>(h)</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9,613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9,613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(i)</w:t>
            </w: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w:t>
            </w:r>
          </w:p>
        </w:tc>
      </w:tr>
      <w:tr>
        <w:trPr>
          <w:trHeight w:val="378"/>
        </w:trPr>
        <w:tc>
          <w:tcPr>
            <w:tcW w:w="5620" w:type="dxa"/>
            <w:vAlign w:val="bottom"/>
          </w:tcPr>
          <w:p>
            <w:pPr>
              <w:ind w:left="220"/>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23"/>
                <w:szCs w:val="23"/>
                <w:color w:val="auto"/>
                <w:vertAlign w:val="superscript"/>
              </w:rPr>
              <w:t>(j)</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17,678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10,644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35,737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24,043</w:t>
            </w:r>
          </w:p>
        </w:tc>
      </w:tr>
      <w:tr>
        <w:trPr>
          <w:trHeight w:val="378"/>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23"/>
                <w:szCs w:val="23"/>
                <w:color w:val="auto"/>
                <w:vertAlign w:val="superscript"/>
              </w:rPr>
              <w:t>(k)</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378"/>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(l)</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48,108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61,797</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93,375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right="220" w:hanging="492"/>
        <w:spacing w:after="0" w:line="258" w:lineRule="auto"/>
        <w:tabs>
          <w:tab w:leader="none" w:pos="4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three and six months ended June 30, 2022 excludes $3.1 million and $9.4 million, respectively, of unrealized gains on interest rate derivatives not designated as hedging instruments.</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w:t>
      </w:r>
    </w:p>
    <w:p>
      <w:pPr>
        <w:spacing w:after="0" w:line="9" w:lineRule="exact"/>
        <w:rPr>
          <w:rFonts w:ascii="Arial" w:cs="Arial" w:eastAsia="Arial" w:hAnsi="Arial"/>
          <w:sz w:val="18"/>
          <w:szCs w:val="18"/>
          <w:color w:val="auto"/>
        </w:rPr>
      </w:pPr>
    </w:p>
    <w:p>
      <w:pPr>
        <w:ind w:left="500" w:right="380" w:hanging="492"/>
        <w:spacing w:after="0" w:line="281" w:lineRule="auto"/>
        <w:tabs>
          <w:tab w:leader="none" w:pos="494"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spacing w:after="0" w:line="1" w:lineRule="exact"/>
        <w:rPr>
          <w:rFonts w:ascii="Arial" w:cs="Arial" w:eastAsia="Arial" w:hAnsi="Arial"/>
          <w:sz w:val="16"/>
          <w:szCs w:val="16"/>
          <w:color w:val="auto"/>
        </w:rPr>
      </w:pPr>
    </w:p>
    <w:p>
      <w:pPr>
        <w:ind w:left="500" w:right="60" w:hanging="492"/>
        <w:spacing w:after="0" w:line="253" w:lineRule="auto"/>
        <w:tabs>
          <w:tab w:leader="none" w:pos="4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acquisitions of RCA, the noncontrolling interests in our China subsidiaries, BioScience Labs in 2021, the first quarter 2021 gain on the mandatorily redeemable noncontrolling interest in Nelson Labs Fairfield (as described in Note 4, “Acquisitions”), and certain related integration efforts as a result of those acquisitions, (ii) the earnings impact of fair value adjustments (excluding those recognized within</w:t>
      </w:r>
    </w:p>
    <w:p>
      <w:pPr>
        <w:sectPr>
          <w:pgSz w:w="11900" w:h="16838" w:orient="portrait"/>
          <w:cols w:equalWidth="0" w:num="1">
            <w:col w:w="11240"/>
          </w:cols>
          <w:pgMar w:left="320" w:top="134" w:right="339" w:bottom="709"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709"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0" w:right="240"/>
        <w:spacing w:after="0" w:line="258" w:lineRule="auto"/>
        <w:rPr>
          <w:sz w:val="20"/>
          <w:szCs w:val="20"/>
          <w:color w:val="auto"/>
        </w:rPr>
      </w:pPr>
      <w:r>
        <w:rPr>
          <w:rFonts w:ascii="Arial" w:cs="Arial" w:eastAsia="Arial" w:hAnsi="Arial"/>
          <w:sz w:val="18"/>
          <w:szCs w:val="18"/>
          <w:color w:val="auto"/>
        </w:rPr>
        <w:t>amortization expense) resulting from the businesses acquired, and (iii) transition services income and non-cash deferred lease income associated with the terms of the divestiture of the Medical Isotopes business in 2018.</w:t>
      </w:r>
    </w:p>
    <w:p>
      <w:pPr>
        <w:spacing w:after="0" w:line="1" w:lineRule="exact"/>
        <w:rPr>
          <w:sz w:val="20"/>
          <w:szCs w:val="20"/>
          <w:color w:val="auto"/>
        </w:rPr>
      </w:pPr>
    </w:p>
    <w:p>
      <w:pPr>
        <w:ind w:left="500" w:right="260" w:hanging="492"/>
        <w:spacing w:after="0" w:line="250" w:lineRule="auto"/>
        <w:tabs>
          <w:tab w:leader="none" w:pos="4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spacing w:after="0" w:line="1" w:lineRule="exact"/>
        <w:rPr>
          <w:rFonts w:ascii="Arial" w:cs="Arial" w:eastAsia="Arial" w:hAnsi="Arial"/>
          <w:sz w:val="18"/>
          <w:szCs w:val="18"/>
          <w:color w:val="auto"/>
        </w:rPr>
      </w:pPr>
    </w:p>
    <w:p>
      <w:pPr>
        <w:ind w:left="500" w:right="280" w:hanging="492"/>
        <w:spacing w:after="0" w:line="250"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w:t>
      </w: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an impairment charge on our equity method investment in Auralux. Refer to Note 1, “Basis of Presentation”.</w:t>
      </w:r>
    </w:p>
    <w:p>
      <w:pPr>
        <w:spacing w:after="0" w:line="9" w:lineRule="exact"/>
        <w:rPr>
          <w:rFonts w:ascii="Arial" w:cs="Arial" w:eastAsia="Arial" w:hAnsi="Arial"/>
          <w:sz w:val="18"/>
          <w:szCs w:val="18"/>
          <w:color w:val="auto"/>
        </w:rPr>
      </w:pPr>
    </w:p>
    <w:p>
      <w:pPr>
        <w:ind w:left="500" w:right="120" w:hanging="492"/>
        <w:spacing w:after="0" w:line="250"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expenses incurred in connection with the repricing of our Term Loan in January 2021, including accelerated amortization of prior debt issuance and discount costs.</w:t>
      </w:r>
    </w:p>
    <w:p>
      <w:pPr>
        <w:ind w:left="480" w:hanging="472"/>
        <w:spacing w:after="0"/>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litigation and other professional fees associated with our EO sterilization facilities. See Note 16, “Commitments and Contingencies”.</w:t>
      </w:r>
    </w:p>
    <w:p>
      <w:pPr>
        <w:spacing w:after="0" w:line="32" w:lineRule="exact"/>
        <w:rPr>
          <w:rFonts w:ascii="Arial" w:cs="Arial" w:eastAsia="Arial" w:hAnsi="Arial"/>
          <w:sz w:val="16"/>
          <w:szCs w:val="16"/>
          <w:color w:val="auto"/>
        </w:rPr>
      </w:pPr>
    </w:p>
    <w:p>
      <w:pPr>
        <w:ind w:left="500" w:hanging="492"/>
        <w:spacing w:after="0" w:line="250"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8"/>
          <w:szCs w:val="18"/>
          <w:color w:val="auto"/>
        </w:rPr>
      </w:pPr>
    </w:p>
    <w:p>
      <w:pPr>
        <w:ind w:left="500" w:right="260" w:hanging="492"/>
        <w:spacing w:after="0" w:line="260"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incremental costs to implement workplace health and safety measures.</w:t>
      </w: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4"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2021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2021 Form 10-K.</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a leading global provider of mission-critical end-to-end sterilization solutions, lab testing and advisory services for the healthcare industry. We are driven by our mission: Safeguarding Global Health</w:t>
      </w:r>
      <w:r>
        <w:rPr>
          <w:rFonts w:ascii="Arial" w:cs="Arial" w:eastAsia="Arial" w:hAnsi="Arial"/>
          <w:sz w:val="8"/>
          <w:szCs w:val="8"/>
          <w:color w:val="auto"/>
        </w:rPr>
        <w:t>®</w:t>
      </w:r>
      <w:r>
        <w:rPr>
          <w:rFonts w:ascii="Arial" w:cs="Arial" w:eastAsia="Arial" w:hAnsi="Arial"/>
          <w:sz w:val="16"/>
          <w:szCs w:val="16"/>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16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consists of two reportable segments, Sterigenics and Nordion, and our lab services business consists of one reportable segment, Nelson Labs.</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three and six months ended June 30, 2022, respectively, we recorded net revenues of $266.6 million and $503.4 million, net income of $30.4 million and $61.1 million, Adjusted Net Income of $75.8 million and $136.1 million, and Adjusted EBITDA of $136.1 million and $251.5 million. For the definition of Adjusted Net Income and Adjusted EBITDA and the reconciliation of these non-GAAP measures from net income, please see “Non-GAAP Financial Measures.”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DEVELOPMENTS AND KEY FACTORS AFFECTING OUR RESULTS OF OPERATIONS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summarizes strategic developments and key factors that impacted our operating results for the three and six months ended June 30, 2022 and may continue to affect our performance and financial condition in future periods.</w:t>
      </w:r>
    </w:p>
    <w:p>
      <w:pPr>
        <w:spacing w:after="0" w:line="58" w:lineRule="exact"/>
        <w:rPr>
          <w:sz w:val="20"/>
          <w:szCs w:val="20"/>
          <w:color w:val="auto"/>
        </w:rPr>
      </w:pPr>
    </w:p>
    <w:p>
      <w:pPr>
        <w:ind w:left="660" w:right="2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Business and market conditions</w:t>
      </w:r>
      <w:r>
        <w:rPr>
          <w:rFonts w:ascii="Arial" w:cs="Arial" w:eastAsia="Arial" w:hAnsi="Arial"/>
          <w:sz w:val="18"/>
          <w:szCs w:val="18"/>
          <w:color w:val="auto"/>
        </w:rPr>
        <w:t>. During the three and six months ended June 30, 2022, Sterigenics and Nordion continued to benefit from a</w:t>
      </w:r>
      <w:r>
        <w:rPr>
          <w:rFonts w:ascii="Arial" w:cs="Arial" w:eastAsia="Arial" w:hAnsi="Arial"/>
          <w:sz w:val="18"/>
          <w:szCs w:val="18"/>
          <w:b w:val="1"/>
          <w:bCs w:val="1"/>
          <w:color w:val="auto"/>
        </w:rPr>
        <w:t xml:space="preserve"> </w:t>
      </w:r>
      <w:r>
        <w:rPr>
          <w:rFonts w:ascii="Arial" w:cs="Arial" w:eastAsia="Arial" w:hAnsi="Arial"/>
          <w:sz w:val="18"/>
          <w:szCs w:val="18"/>
          <w:color w:val="auto"/>
        </w:rPr>
        <w:t>sustained demand for sterilization services. Although the decline in pandemic-related testing stabilized in the second quarter, the competitive labor market, broad inflationary impacts, supply chain constraints and regulatory update delays remained an ongoing challenge for Nelson Labs. As discussed in more detail in our most recent Form 10-K, a portion of our supply of Co-60 is generated by Russian nuclear reactors. We continue to monitor the potential for disruption in the supply of Co-60 from Russian nuclear reactors; to date there has been no material impact on our supply or revenue.</w:t>
      </w:r>
    </w:p>
    <w:p>
      <w:pPr>
        <w:spacing w:after="0" w:line="79" w:lineRule="exact"/>
        <w:rPr>
          <w:rFonts w:ascii="Arial" w:cs="Arial" w:eastAsia="Arial" w:hAnsi="Arial"/>
          <w:sz w:val="18"/>
          <w:szCs w:val="18"/>
          <w:color w:val="auto"/>
        </w:rPr>
      </w:pPr>
    </w:p>
    <w:p>
      <w:pPr>
        <w:ind w:left="660" w:right="180" w:hanging="328"/>
        <w:spacing w:after="0" w:line="26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Investment initiatives. </w:t>
      </w:r>
      <w:r>
        <w:rPr>
          <w:rFonts w:ascii="Arial" w:cs="Arial" w:eastAsia="Arial" w:hAnsi="Arial"/>
          <w:sz w:val="18"/>
          <w:szCs w:val="18"/>
          <w:color w:val="auto"/>
        </w:rPr>
        <w:t>We remain focused on our investments in capacity expansions and facility improvements as well as our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strengthen our Co-60 supply chain. For the six months ended June 30, 2022, we increased capital expenditures by $26.9 million compared to the six months ended June 30, 2021.</w:t>
      </w:r>
    </w:p>
    <w:p>
      <w:pPr>
        <w:spacing w:after="0" w:line="67" w:lineRule="exact"/>
        <w:rPr>
          <w:rFonts w:ascii="Arial" w:cs="Arial" w:eastAsia="Arial" w:hAnsi="Arial"/>
          <w:sz w:val="18"/>
          <w:szCs w:val="18"/>
          <w:color w:val="auto"/>
        </w:rPr>
      </w:pPr>
    </w:p>
    <w:p>
      <w:pPr>
        <w:ind w:left="660" w:right="120" w:hanging="328"/>
        <w:spacing w:after="0" w:line="274"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Disciplined and strategic M&amp;A activity</w:t>
      </w:r>
      <w:r>
        <w:rPr>
          <w:rFonts w:ascii="Arial" w:cs="Arial" w:eastAsia="Arial" w:hAnsi="Arial"/>
          <w:sz w:val="17"/>
          <w:szCs w:val="17"/>
          <w:color w:val="auto"/>
        </w:rPr>
        <w:t>. We remain committed to our highly disciplined acquisition strategy and continue to seek suitable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targets in 2022. On November 4, 2021, we acquired Regulatory Compliance Associates Inc. (“RCA”) headquartered in Pleasant Prairie, Wisconsin. RCA is an industry leader in providing life sciences consulting focused on quality, regulatory, and technical consulting for the pharmaceutical, medical device and combination device industries. RCA expands and strengthens the technical consulting and expert advisory capabilities of Nelson Labs. On March 8, 2021, we acquired BioScience Laboratories, LLC (“BioScience Labs”) based in Bozeman, Montana, bringing expertise in antimicrobial and virology testing to our Nelson Labs segment.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ind w:left="660" w:right="20" w:hanging="328"/>
        <w:spacing w:after="0" w:line="271"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Litigation costs</w:t>
      </w:r>
      <w:r>
        <w:rPr>
          <w:rFonts w:ascii="Arial" w:cs="Arial" w:eastAsia="Arial" w:hAnsi="Arial"/>
          <w:sz w:val="17"/>
          <w:szCs w:val="17"/>
          <w:color w:val="auto"/>
        </w:rPr>
        <w:t>. In connection with the ongoing litigation related to our Willowbrook, Illinois, Atlanta, Georgia and Santa Teresa, New Mexico</w:t>
      </w:r>
      <w:r>
        <w:rPr>
          <w:rFonts w:ascii="Arial" w:cs="Arial" w:eastAsia="Arial" w:hAnsi="Arial"/>
          <w:sz w:val="17"/>
          <w:szCs w:val="17"/>
          <w:b w:val="1"/>
          <w:bCs w:val="1"/>
          <w:color w:val="auto"/>
        </w:rPr>
        <w:t xml:space="preserve"> </w:t>
      </w:r>
      <w:r>
        <w:rPr>
          <w:rFonts w:ascii="Arial" w:cs="Arial" w:eastAsia="Arial" w:hAnsi="Arial"/>
          <w:sz w:val="17"/>
          <w:szCs w:val="17"/>
          <w:color w:val="auto"/>
        </w:rPr>
        <w:t>facilities, as described in Note 16, “Commitments and Contingencies”, we recorded costs of $17.7 million and $35.7 million for the three and six months ended June 30, 2022, respectively. Insurance coverage has been available for some of our costs in this ethylene oxide (“EO”) tort litigation in the past and as of June 30, 2022 we have approximately $4.0 million of such coverage remaining. Our insurance for future alleged environmental liabilities excludes coverage for EO claims. See Note 16, “Commitments and Contingencies”. In addition, we are pursuing other insurance coverage for EO tort litigation. In 2021, Sterigenics U.S., LLC filed an insurance coverage lawsuit in the U.S. District Court for the Northern District of Illinois relating to two commercial general liability policies issued in the 1980s. On August 3, 2022, the Court issued a Memorandum Opinion and Order concluding that the insurance company owes Sterigenics U.S., LLC and another party a duty to defend the Willowbrook, Illinois litigation, which may allow us to recover defense costs related to that litigation.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 as compared to Three Months Ended June 30,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three months ended June 30, 2022 and 2021.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60" w:type="dxa"/>
            <w:vAlign w:val="bottom"/>
          </w:tcPr>
          <w:p>
            <w:pPr>
              <w:jc w:val="right"/>
              <w:ind w:right="392"/>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266,639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116,243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8,087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78,901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71,495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78,272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75,825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71,672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9"/>
                <w:szCs w:val="9"/>
                <w:b w:val="1"/>
                <w:bCs w:val="1"/>
                <w:color w:val="auto"/>
              </w:rPr>
              <w:t>(a)</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136,135</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ind w:left="500" w:right="200" w:hanging="492"/>
        <w:spacing w:after="0" w:line="238" w:lineRule="auto"/>
        <w:tabs>
          <w:tab w:leader="none" w:pos="495"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our revenues by type for the three months ended June 30, 2022 to the three months ended June 30, 2021.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revenues for the three months ended June 30,</w:t>
            </w:r>
          </w:p>
        </w:tc>
        <w:tc>
          <w:tcPr>
            <w:tcW w:w="340" w:type="dxa"/>
            <w:vAlign w:val="bottom"/>
          </w:tcPr>
          <w:p>
            <w:pPr>
              <w:spacing w:after="0"/>
              <w:rPr>
                <w:sz w:val="24"/>
                <w:szCs w:val="2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2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40" w:type="dxa"/>
            <w:vAlign w:val="bottom"/>
            <w:tcBorders>
              <w:top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221,529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45,110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266,639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251,917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Net revenues were $266.6 million in the three months ended June 30, 2022, an increase of $14.7 million, or 5.8%, as compared with the three months ended June 30, 2021. Excluding the impact of foreign currency exchange rates, net revenues in the three months ended June 30, 2022 increased approximately 8.5% compared with the three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Service revenues increased $12.8 million, or 6.1%, to $221.5 million in the three months ended June 30, 2022 as compared to $208.7 million in the three months ended June 30, 2021. The increase in net service revenue was driven by favorable pricing of $8.9 million and $3.1 million in the Sterigenics and Nelson Labs segments, respectively, and sales volume growth of $7.3 million in the Sterigenics segment. The RCA acquisition also contributed $3.3 million to service revenue growth. Partially offsetting these factors was an overall decline of $2.9 million in pandemic-related testing revenue in the Nelson Labs segment.</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color w:val="auto"/>
        </w:rPr>
        <w:t>Service revenue growth was also offset by a $5.3 million unfavorable impact from changes in foreign currency exchange rates across all segments.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Product revenues increased $1.9 million, or 4.4%, to $45.1 million in the three months ended June 30, 2022 as compared to $43.2 million in the three months ended June 30, 2021. The increase in product revenues was attributable to favorable pricing of $3.0 million partially offset by a $1.3 million unfavorable impact from changes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our cost of revenues by type for the three months ended June 30, 2022 to the three months ended June 30, 2021.</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Cost of revenues for the three months ended June 30,</w:t>
            </w: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26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91,391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17,836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16,765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7"/>
        </w:trPr>
        <w:tc>
          <w:tcPr>
            <w:tcW w:w="2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116,243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108,156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8,087</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cost of revenues accounted for approximately 43.6% and 42.9% of our consolidated net revenues for the three months ended June 30, 2022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Cost of service revenues increased $7.0 million, or 7.7%, for the three months ended June 30, 2022 as compared to the three months ended June 30, 2021. The increase was attributable to $6.5 million of increased costs arising from inflationary pressures, mainly on labor and the cost of energy. Cost of sales was also impacted by an incremental contribution of $2.3 million from the RCA acquisition in the Nelson Labs segment. Partially offsetting the total increase was a $2.7 million impact from changes in foreign currency exchange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 revenues increased $1.1 million, or 6.4%, for the three months ended June 30, 2022 as compared to the three months ended June 30,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reflects incremental costs due to product mix offset by changes in foreign currency exchange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our operating expenses for the three months ended June 30, 2022 to the three months ended June 30, 2021: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expenses for the three months ended June 30,</w:t>
            </w:r>
          </w:p>
        </w:tc>
        <w:tc>
          <w:tcPr>
            <w:tcW w:w="340" w:type="dxa"/>
            <w:vAlign w:val="bottom"/>
          </w:tcPr>
          <w:p>
            <w:pPr>
              <w:spacing w:after="0"/>
              <w:rPr>
                <w:sz w:val="24"/>
                <w:szCs w:val="24"/>
                <w:color w:val="auto"/>
              </w:rPr>
            </w:pPr>
          </w:p>
        </w:tc>
        <w:tc>
          <w:tcPr>
            <w:tcW w:w="10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4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60" w:type="dxa"/>
            <w:vAlign w:val="bottom"/>
            <w:tcBorders>
              <w:top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15,769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65,489</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13,412</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expenses accounted for approximately 29.6% and 26.0% of our consolidated net revenues for the three months ended June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SG&amp;A increased $13.3 million, or 26.7%, for the three months ended June 30, 2022 as compared to the three months ended June 30, 2021. The increase was driven primarily by the following factors:</w:t>
      </w:r>
    </w:p>
    <w:p>
      <w:pPr>
        <w:spacing w:after="0" w:line="6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$7.0 million increase in litigation and other professional services expense associated with EO sterilization facilities;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3" w:name="page34"/>
    <w:bookmarkEnd w:id="33"/>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$2.3 million increase in share-based compensation expense related to our 2020 Omnibus Incentive Plan;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$2.6 million increase in selling and administrative personnel and post-COVID-19 travel costs in support of our general business growth.</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Amortization of intangible assets was $15.8 million for the three months ended June 30, 2022, or 0.7% above the three months ended June 30, 2021. The increase was due mainly to changes in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Interest expense, net decreased $5.1 million, or 26.7%, for the three months ended June 30, 2022 as compared to the three months ended June 30, 2021. The decrease was primarily driven by a $4.4 million reduction to interest expense attributable to the favorable change in fair value and quarterly settlement of interest rate derivatives not designated as hedging instruments. The decrease was also driven by a decline in interest expense on outstanding borrowings of $0.9 million, due largely to a lower average outstanding debt balance for the three months ended June 30, 2022 compared to the three months ended June 30, 2021. The weighted average interest rate on our outstanding debt was 3.81% and 3.45% at June 30, 2022 and 2021,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Investment in Unconsolidated Affiliate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months ended June 30, 2022, we recorded an impairment charge of $9.6 million related to a joint venture investment in Auralux Enterprises Ltd. (“Auralux”) which was acquired as part of the 2020 Iotron acquisition. Due to a shift in business strategy, the joint venture will not proceed, and our joint venture partner will continue to rely on our other existing operating facilities. Based on these facts and circumstances, we concluded that the investment was impaired as of June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 (Gain)</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Foreign exchange gain was $0.8 million for the three months ended June 30, 2022 as compared to a loss of $0.1 million in the three months ended June 30, 2021. The change in foreign exchange loss (gain) in our Consolidated Statements of Operations and Comprehensive Income (Loss) mainly relates to short-term losses (offset by short-term gains) on sales denominated in currencies other than the functional currency of our operating entities. As described in Note 17, “Financial Instruments and Financial Risk” we enter into monthly U.S. dollar-denominated foreign currency forward contracts to manage foreign currency exchange rate risk of our intercompany loans in certain of our international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Other expense (income), net was $0.5 million for the three months ended June 30, 2022 compared to $(2.8) million for the three months ended June 30, 2021. The fluctuation was mainly driven by unfavorable changes in the fair value of Nordion’s embedded derivatives in the three months ended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Provision for income tax decreased $1.5 million to a net provision of $17.7 million for the three months ended June 30, 2022 as compared to $19.2 million in the three months ended June 30, 2021. The change was primarily attributable to lower pre-tax income for the three months ended June 30, 2022 compared to the three months ended June 30, 2021.</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Provision for income taxes for the three months ended June 30, 2022 and the three months ended June 30, 2022 differed from the statutory rate primarily due to an increase in the valuation allowance, the impact of the foreign rate differential, and tax on Global Intangible Low Taxed Income (“GILTI”). The increase in the valuation allowance was attributable to the limitation on the deductibility of interest expense and the impairment of the investment in Auralux. Provision for income taxes for the three months ended June 30, 2021 was partially offset by a discrete item, which reversed the valuation allowance on deferred tax assets related to certain asset retirement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Adjusted Net Income and Adjusted EBITDA</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Net income for the three months ended June 30, 2022 was $30.4 million, as compared to net income of $42.6 million for the three months ended June 30, 2021. Adjusted Net Income was $75.8 million for the three months ended June 30, 2022, as compared to $71.7 million for the three months ended June 30, 2021, due to the factors described above. Adjusted EBITDA was $136.1 million for the three months ended June 30, 2022, as compared to $134.6 million for the three months ended June 30, 2021, due to the factors described above. Please see “Non-GAAP Financial Measures” below for a reconciliation of</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5" w:right="39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Adjusted Net Income and Adjusted EBITDA to their most directly comparable financial measure calculated and presented in accordance with GAAP.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2022 as compared to Six Months Ended June 30,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six months ended June 30, 2022 and 2021.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60" w:type="dxa"/>
            <w:vAlign w:val="bottom"/>
          </w:tcPr>
          <w:p>
            <w:pPr>
              <w:jc w:val="right"/>
              <w:ind w:right="392"/>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503,393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224,122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204,932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19,190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154,284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124,987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61,059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136,079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123,178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12,901</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9"/>
                <w:szCs w:val="9"/>
                <w:b w:val="1"/>
                <w:bCs w:val="1"/>
                <w:color w:val="auto"/>
              </w:rPr>
              <w:t>(a)</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251,484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11,604</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ind w:left="500" w:right="200" w:hanging="492"/>
        <w:spacing w:after="0" w:line="238" w:lineRule="auto"/>
        <w:tabs>
          <w:tab w:leader="none" w:pos="495"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our revenues by type for the six months ended June 30, 2022 to the six months ended June 30, 2021.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revenues for the six months ended June 30,</w:t>
            </w:r>
          </w:p>
        </w:tc>
        <w:tc>
          <w:tcPr>
            <w:tcW w:w="340" w:type="dxa"/>
            <w:vAlign w:val="bottom"/>
          </w:tcPr>
          <w:p>
            <w:pPr>
              <w:spacing w:after="0"/>
              <w:rPr>
                <w:sz w:val="24"/>
                <w:szCs w:val="2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2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900" w:type="dxa"/>
            <w:vAlign w:val="bottom"/>
            <w:tcBorders>
              <w:top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427,747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397,408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75,646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503,393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464,065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39,328</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Net revenues were $503.4 million in the six months ended June 30, 2022, an increase of $39.3 million, or 8.5%, as compared with the six months ended June 30, 2021. Excluding the impact of foreign currency exchange rates, net revenues in the six months ended June 30, 2022 increased approximately 10.4% compared with the six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Service revenues increased $30.3 million, or 7.6%, to $427.7 million in the six months ended June 30, 2022 as compared to $397.4 million in the six months ended June 30, 2021. The increase in net service revenue was driven by sales volume growth of $20.2 million in the Sterigenics segment and $15.9 million and $5.4 million from favorable pricing in the Sterigenics and Nelson Labs segments, respectively. The BioScience Labs and RCA acquisitions also contributed $8.0 million to service revenue growth. Partially offsetting these factors was an overall decline of $8.8 million in pandemic-related testing revenue as well as a decrease in volumes in other testing categories in the Nelson Labs segment. Service revenue growth was offset by a $7.7 million unfavorable impact from changes in foreign currency exchange rates across all segments.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Product revenues increased $9.0 million, or 13.5%, to $75.6 million in the six months ended June 30, 2022 as compared to $66.7 million in the six months ended June 30, 2021. The expansion in product revenues was attributable to $5.6 million of growth in sales volume coupled with $4.8 million from favorable pricing in our Nordion segment. Partially offsetting this increase was a $1.3 million unfavorable impact from changes in foreign currency exchange rates.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our cost of revenues by type for the six months ended June 30, 2022 to the six months ended June 30, 2021.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Cost of revenues for the six months ended June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120" w:type="dxa"/>
            <w:vAlign w:val="bottom"/>
            <w:tcBorders>
              <w:top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192,983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31,139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7"/>
        </w:trPr>
        <w:tc>
          <w:tcPr>
            <w:tcW w:w="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224,122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204,932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19,190</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cost of revenues accounted for approximately 44.5% and 44.2% of our consolidated net revenues for the six months ended June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Cost of service revenues increased $16.6 million, or 9.4%, for the six months ended June 30, 2022 as compared to the six months ended June 30, 2021. The increase was attributable to approximately $14.0 million of increased costs arising from inflationary pressures, mainly on labor and the cost of energy. Cost of sales was also impacted by an incremental contribution of $5.9 million from the RCA and BioScience Labs acquisitions in the Nelson Labs segment. Partially offsetting this increase was a $3.9 million impact from changes in foreign currency exchange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Cost of product revenues increased $2.6 million, or 9.2%, for the six months ended June 30, 2022 as compared to the six months ended June 30, 2021. The increase reflects incremental costs due to product mix, offset by impacts from changes in foreign currency exchanges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our operating expenses for the six months ended June 30, 2022 to the six months ended June 30, 2021: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expenses for the six months ended June 30,</w:t>
            </w:r>
          </w:p>
        </w:tc>
        <w:tc>
          <w:tcPr>
            <w:tcW w:w="320" w:type="dxa"/>
            <w:vAlign w:val="bottom"/>
          </w:tcPr>
          <w:p>
            <w:pPr>
              <w:spacing w:after="0"/>
              <w:rPr>
                <w:sz w:val="24"/>
                <w:szCs w:val="2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300" w:type="dxa"/>
            <w:vAlign w:val="bottom"/>
            <w:tcBorders>
              <w:top w:val="single" w:sz="8" w:color="auto"/>
            </w:tcBorders>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122,674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31,610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154,284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134,497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19,787</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Operating expenses accounted for approximately 30.6% and 29.0% of our consolidated net revenues for the six months ended June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SG&amp;A increased $20.4 million, or 19.9%, for the six months ended June 30, 2022 as compared to the six months ended June 30, 2021. The increase was driven primarily by the following factors:</w:t>
      </w:r>
    </w:p>
    <w:p>
      <w:pPr>
        <w:spacing w:after="0" w:line="6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$11.7 million increase in litigation and other professional services expense associated with EO sterilization facilities;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$5.2 million increase in selling and administrative personnel and post-COVID-19 travel costs in support of our general business growth;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$3.4 million increase in share-based compensation expense related to our 2020 Omnibus Incentive Plan.</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Amortization of intangible assets was $31.6 million for the six months ended June 30, 2022, or 1.8% below the six months ended June 30, 2021. The change was due mainly to a reduction in amortization expense related to certain intangible assets that were fully amortized by December 31, 2021, offset by changes in foreign currency exchange rates.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Interest expense, net decreased $16.0 million, or 39.6%, for the six months ended June 30, 2022 as compared to the six months ended June 30, 2021. The decrease was driven by a $10.7 million reduction to interest expense attributable to the favorable change in fair value and quarterly settlement of interest rate caps not designated as hedging instruments. The decrease was also driven by a decline in interest expense on outstanding borrowings of $5.3 million, due largely to a lower average outstanding debt balance for the six months ended June 30, 2022 compared to the six months ended June 30, 2021 and a lower interest rate on our Term Loan following the January 20, 2021 repricing amendment. The weighted average interest rate on our outstanding debt was 3.81% and 3.45% at June 30, 2022 and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Investment in Unconsolidated Affiliate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six months ended June 30, 2022, we recorded an impairment charge of $9.6 million related to a joint venture investment in Auralux, which was acquired as part of the 2020 Iotron acquisition. Due to a shift in business strategy, the joint venture will not proceed, and our joint venture partner will continue to rely on our other existing operating facilities. Based on these facts and circumstances, we concluded that the investment was impaired as of June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 (Gain)</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Foreign exchange loss was $0.03 million for the six months ended June 30, 2022 as compared to a loss of $0.7 million in the six months ended June 30, 2021. The change in foreign exchange loss in our Consolidated Statements of Operations and Comprehensive Income (Loss) mainly relates to short-term losses (offset by short-term gains) on sales denominated in currencies other than the functional currency of our operating entities. As described in Note 17, “Financial Instruments and Financial Risk” we enter into monthly U.S. dollar-denominated foreign currency forward contracts to manage foreign currency exchange rate risk of our intercompany loans in certain of our international subsidiaries.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expense (income), net was $(2.5) million for the six months ended June 30, 2022 compared to $(6.7) million for the six months ended June 30, 2021. The fluctuation was mainly driven by changes in the fair value of the embedded derivatives in Nordion’s sales and purchase contracts. In addition, for the six months ended June 30, 2021, we recorded $1.2 million of other income related to the gain on our purchase of the 15% mandatorily redeemable noncontrolling interest of Nelson Labs Fairfield as compared to the amount previously accrued.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Provision for income tax increased $10.1 million to a net provision of $32.3 million for the six months ended June 30, 2022 as compared to a $22.2 million in the six months ended June 30, 2021. The change was principally attributable to pre-tax income of $93.4 million in the six months ended June 30, 2022 compared to pretax income of $75.9 million for the six months ended June 30, 2021. In addition, income tax expense for the six months ended June 30, 2021 was lower due to a discrete item that reversed the valuation allowance on deferred tax assets related to certain asset retirement obligations.</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Provision for income taxes for the six months ended June 30, 2022 and for the six months ended June 30, 2021 differed from the statutory rate primarily due to an increase in the valuation allowance, the impact of the foreign rate differential, and tax on GILTI. The increase in the valuation allowance was attributable to the limitation on the deductibility of interest expense and the impairment of the investment in Auralux. Provision for income taxes for the six months ended June 30, 2021 was partially offset by a discrete item, which reversed the valuation allowance on deferred tax assets related to certain asset retirement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Adjusted Net Income and Adjusted EBITDA</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Net income for the six months ended June 30, 2022 was $61.1 million, as compared to net income of $53.7 million for the six months ended June 30, 2021. Adjusted Net Income was $136.1 million for the six months ended June 30, 2022, as compared to $123.2 million for the six months ended June 30, 2021, due to the factors described above. Adjusted EBITDA was $251.5 million for the six months ended June 30, 2022, as compared to $239.9 million for the six months ended June 30, 2021,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231F20"/>
        </w:rPr>
        <w:t>To supplement our consolidated financial statements presented in accordance with U.S. Generally Accepted Accounting Principles (“GAAP”), we consider Adjusted Net Income and Adjusted EBITDA, financial measures that are not based on any standardized methodology prescribed by GAAP.</w:t>
      </w:r>
    </w:p>
    <w:p>
      <w:pPr>
        <w:spacing w:after="0" w:line="14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231F20"/>
        </w:rPr>
        <w:t>We define Adjusted Net Income as net income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exclude:</w:t>
      </w:r>
    </w:p>
    <w:p>
      <w:pPr>
        <w:spacing w:after="0" w:line="76" w:lineRule="exact"/>
        <w:rPr>
          <w:sz w:val="20"/>
          <w:szCs w:val="20"/>
          <w:color w:val="auto"/>
        </w:rPr>
      </w:pPr>
    </w:p>
    <w:p>
      <w:pPr>
        <w:ind w:left="660" w:right="40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certain recurring non-cash charges such as depreciation of fixed assets, although these assets may have to be replaced in the future, as well as amortization of acquired intangible assets and asset retirement obligations;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costs of acquiring and integrating businesses, which will continue to be a part of our growth strategy;</w:t>
      </w:r>
    </w:p>
    <w:p>
      <w:pPr>
        <w:spacing w:after="0" w:line="117" w:lineRule="exact"/>
        <w:rPr>
          <w:rFonts w:ascii="Arial" w:cs="Arial" w:eastAsia="Arial" w:hAnsi="Arial"/>
          <w:sz w:val="18"/>
          <w:szCs w:val="18"/>
          <w:color w:val="231F20"/>
        </w:rPr>
      </w:pPr>
    </w:p>
    <w:p>
      <w:pPr>
        <w:ind w:left="660" w:right="140" w:hanging="328"/>
        <w:spacing w:after="0" w:line="308" w:lineRule="auto"/>
        <w:tabs>
          <w:tab w:leader="none" w:pos="655" w:val="left"/>
        </w:tabs>
        <w:numPr>
          <w:ilvl w:val="0"/>
          <w:numId w:val="26"/>
        </w:numPr>
        <w:rPr>
          <w:rFonts w:ascii="Arial" w:cs="Arial" w:eastAsia="Arial" w:hAnsi="Arial"/>
          <w:sz w:val="17"/>
          <w:szCs w:val="17"/>
          <w:color w:val="231F20"/>
        </w:rPr>
      </w:pPr>
      <w:r>
        <w:rPr>
          <w:rFonts w:ascii="Arial" w:cs="Arial" w:eastAsia="Arial" w:hAnsi="Arial"/>
          <w:sz w:val="17"/>
          <w:szCs w:val="17"/>
          <w:color w:val="231F20"/>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38" w:lineRule="exact"/>
        <w:rPr>
          <w:rFonts w:ascii="Arial" w:cs="Arial" w:eastAsia="Arial" w:hAnsi="Arial"/>
          <w:sz w:val="17"/>
          <w:szCs w:val="17"/>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impairment charges on long-lived assets, intangible assets and investments accounted for under the equity method;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on extinguishment of debt incurred in connection with refinancing or early extinguishment of long-term debt;</w:t>
      </w:r>
    </w:p>
    <w:p>
      <w:pPr>
        <w:spacing w:after="0" w:line="117" w:lineRule="exact"/>
        <w:rPr>
          <w:rFonts w:ascii="Arial" w:cs="Arial" w:eastAsia="Arial" w:hAnsi="Arial"/>
          <w:sz w:val="18"/>
          <w:szCs w:val="18"/>
          <w:color w:val="auto"/>
        </w:rPr>
      </w:pPr>
    </w:p>
    <w:p>
      <w:pPr>
        <w:ind w:left="660" w:right="740" w:hanging="328"/>
        <w:spacing w:after="0" w:line="308" w:lineRule="auto"/>
        <w:tabs>
          <w:tab w:leader="none" w:pos="655" w:val="left"/>
        </w:tabs>
        <w:numPr>
          <w:ilvl w:val="0"/>
          <w:numId w:val="26"/>
        </w:numPr>
        <w:rPr>
          <w:rFonts w:ascii="Arial" w:cs="Arial" w:eastAsia="Arial" w:hAnsi="Arial"/>
          <w:sz w:val="17"/>
          <w:szCs w:val="17"/>
          <w:color w:val="231F20"/>
        </w:rPr>
      </w:pPr>
      <w:r>
        <w:rPr>
          <w:rFonts w:ascii="Arial" w:cs="Arial" w:eastAsia="Arial" w:hAnsi="Arial"/>
          <w:sz w:val="17"/>
          <w:szCs w:val="17"/>
          <w:color w:val="231F20"/>
        </w:rPr>
        <w:t>expenses and charges related to the litigation and other activities associated with our EO sterilization facilities, including those related to Willowbrook, Illinois, Atlanta, Georgia and Santa Teresa, New Mexico, even though that litigation remains ongoing;</w:t>
      </w:r>
    </w:p>
    <w:p>
      <w:pPr>
        <w:spacing w:after="0" w:line="38" w:lineRule="exact"/>
        <w:rPr>
          <w:rFonts w:ascii="Arial" w:cs="Arial" w:eastAsia="Arial" w:hAnsi="Arial"/>
          <w:sz w:val="17"/>
          <w:szCs w:val="17"/>
          <w:color w:val="231F20"/>
        </w:rPr>
      </w:pPr>
    </w:p>
    <w:p>
      <w:pPr>
        <w:ind w:left="660" w:right="98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in the case of Adjusted EBITDA, interest expense or the cash requirements necessary to service interest or principal payments on our indebtedness; and</w:t>
      </w:r>
    </w:p>
    <w:p>
      <w:pPr>
        <w:spacing w:after="0" w:line="62" w:lineRule="exact"/>
        <w:rPr>
          <w:rFonts w:ascii="Arial" w:cs="Arial" w:eastAsia="Arial" w:hAnsi="Arial"/>
          <w:sz w:val="18"/>
          <w:szCs w:val="18"/>
          <w:color w:val="231F20"/>
        </w:rPr>
      </w:pPr>
    </w:p>
    <w:p>
      <w:pPr>
        <w:ind w:left="660" w:right="44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share-based compensation expense, which has been, and will continue to be for the foreseeable future, a significant recurring expense and an important part of our compensation strategy.</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231F20"/>
        </w:rPr>
        <w:t>In evaluating Adjusted Net Income and Adjusted EBITDA, you should be aware that in the future, we will incur expenses similar to the adjustments in the table below.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231F20"/>
        </w:rPr>
        <w:t>The following table presents a reconciliation of net income, the most directly comparable financial measure calculated and presented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GAAP to Adjusted Net Income and Adjusted EBITDA, for each of the periods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4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6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2021</w:t>
            </w: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53,680</w:t>
            </w:r>
          </w:p>
        </w:tc>
      </w:tr>
      <w:tr>
        <w:trPr>
          <w:trHeight w:val="243"/>
        </w:trPr>
        <w:tc>
          <w:tcPr>
            <w:tcW w:w="614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41,377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44,060</w:t>
            </w:r>
          </w:p>
        </w:tc>
      </w:tr>
      <w:tr>
        <w:trPr>
          <w:trHeight w:val="27"/>
        </w:trPr>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51"/>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10,339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r>
      <w:tr>
        <w:trPr>
          <w:trHeight w:val="277"/>
        </w:trPr>
        <w:tc>
          <w:tcPr>
            <w:tcW w:w="6140" w:type="dxa"/>
            <w:vAlign w:val="bottom"/>
          </w:tcPr>
          <w:p>
            <w:pPr>
              <w:ind w:left="360"/>
              <w:spacing w:after="0"/>
              <w:rPr>
                <w:sz w:val="20"/>
                <w:szCs w:val="20"/>
                <w:color w:val="auto"/>
              </w:rPr>
            </w:pPr>
            <w:r>
              <w:rPr>
                <w:rFonts w:ascii="Arial" w:cs="Arial" w:eastAsia="Arial" w:hAnsi="Arial"/>
                <w:sz w:val="18"/>
                <w:szCs w:val="18"/>
                <w:color w:val="auto"/>
              </w:rPr>
              <w:t>Gain on foreign currency and derivatives not designated as hedging</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0"/>
        </w:trPr>
        <w:tc>
          <w:tcPr>
            <w:tcW w:w="6140" w:type="dxa"/>
            <w:vAlign w:val="bottom"/>
          </w:tcPr>
          <w:p>
            <w:pPr>
              <w:ind w:left="520"/>
              <w:spacing w:after="0"/>
              <w:rPr>
                <w:sz w:val="20"/>
                <w:szCs w:val="20"/>
                <w:color w:val="auto"/>
              </w:rPr>
            </w:pPr>
            <w:r>
              <w:rPr>
                <w:rFonts w:ascii="Arial" w:cs="Arial" w:eastAsia="Arial" w:hAnsi="Arial"/>
                <w:sz w:val="18"/>
                <w:szCs w:val="18"/>
                <w:color w:val="auto"/>
              </w:rPr>
              <w:t>instruments</w:t>
            </w:r>
            <w:r>
              <w:rPr>
                <w:rFonts w:ascii="Arial" w:cs="Arial" w:eastAsia="Arial" w:hAnsi="Arial"/>
                <w:sz w:val="23"/>
                <w:szCs w:val="23"/>
                <w:color w:val="auto"/>
                <w:vertAlign w:val="superscript"/>
              </w:rPr>
              <w:t>(b)</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351"/>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23"/>
                <w:szCs w:val="23"/>
                <w:color w:val="auto"/>
                <w:vertAlign w:val="superscript"/>
              </w:rPr>
              <w:t>(c)</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351"/>
        </w:trPr>
        <w:tc>
          <w:tcPr>
            <w:tcW w:w="6140" w:type="dxa"/>
            <w:vAlign w:val="bottom"/>
          </w:tcPr>
          <w:p>
            <w:pPr>
              <w:ind w:left="36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23"/>
                <w:szCs w:val="23"/>
                <w:color w:val="auto"/>
                <w:vertAlign w:val="superscript"/>
              </w:rPr>
              <w:t>(d)</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351"/>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23"/>
                <w:szCs w:val="23"/>
                <w:color w:val="auto"/>
                <w:vertAlign w:val="superscript"/>
              </w:rPr>
              <w:t>(e)</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70"/>
        </w:trPr>
        <w:tc>
          <w:tcPr>
            <w:tcW w:w="6140" w:type="dxa"/>
            <w:vAlign w:val="bottom"/>
          </w:tcPr>
          <w:p>
            <w:pPr>
              <w:ind w:left="360"/>
              <w:spacing w:after="0"/>
              <w:rPr>
                <w:sz w:val="20"/>
                <w:szCs w:val="20"/>
                <w:color w:val="auto"/>
              </w:rPr>
            </w:pPr>
            <w:r>
              <w:rPr>
                <w:rFonts w:ascii="Arial" w:cs="Arial" w:eastAsia="Arial" w:hAnsi="Arial"/>
                <w:sz w:val="18"/>
                <w:szCs w:val="18"/>
                <w:color w:val="auto"/>
              </w:rPr>
              <w:t>Impairment of investment in unconsolidated affiliate</w:t>
            </w:r>
            <w:r>
              <w:rPr>
                <w:rFonts w:ascii="Arial" w:cs="Arial" w:eastAsia="Arial" w:hAnsi="Arial"/>
                <w:sz w:val="23"/>
                <w:szCs w:val="23"/>
                <w:color w:val="auto"/>
                <w:vertAlign w:val="superscript"/>
              </w:rPr>
              <w:t>(f)</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9,613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1"/>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(g)</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w:t>
            </w:r>
          </w:p>
        </w:tc>
      </w:tr>
      <w:tr>
        <w:trPr>
          <w:trHeight w:val="351"/>
        </w:trPr>
        <w:tc>
          <w:tcPr>
            <w:tcW w:w="6140" w:type="dxa"/>
            <w:vAlign w:val="bottom"/>
          </w:tcPr>
          <w:p>
            <w:pPr>
              <w:ind w:left="360"/>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23"/>
                <w:szCs w:val="23"/>
                <w:color w:val="auto"/>
                <w:vertAlign w:val="superscript"/>
              </w:rPr>
              <w:t>(h)</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17,678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35,737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24,043</w:t>
            </w:r>
          </w:p>
        </w:tc>
      </w:tr>
      <w:tr>
        <w:trPr>
          <w:trHeight w:val="351"/>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of asset retirement obligations</w:t>
            </w:r>
            <w:r>
              <w:rPr>
                <w:rFonts w:ascii="Arial" w:cs="Arial" w:eastAsia="Arial" w:hAnsi="Arial"/>
                <w:sz w:val="23"/>
                <w:szCs w:val="23"/>
                <w:color w:val="auto"/>
                <w:vertAlign w:val="superscript"/>
              </w:rPr>
              <w:t>(i)</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351"/>
        </w:trPr>
        <w:tc>
          <w:tcPr>
            <w:tcW w:w="6140" w:type="dxa"/>
            <w:vAlign w:val="bottom"/>
          </w:tcPr>
          <w:p>
            <w:pPr>
              <w:ind w:left="36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(j)</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351"/>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 associated with pre-tax adjustments</w:t>
            </w:r>
            <w:r>
              <w:rPr>
                <w:rFonts w:ascii="Arial" w:cs="Arial" w:eastAsia="Arial" w:hAnsi="Arial"/>
                <w:sz w:val="23"/>
                <w:szCs w:val="23"/>
                <w:color w:val="auto"/>
                <w:vertAlign w:val="superscript"/>
              </w:rPr>
              <w:t>(k)</w:t>
            </w: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(17,584)</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(22,996)</w:t>
            </w: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75,825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71,672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136,079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123,178</w:t>
            </w:r>
          </w:p>
        </w:tc>
      </w:tr>
      <w:tr>
        <w:trPr>
          <w:trHeight w:val="27"/>
        </w:trPr>
        <w:tc>
          <w:tcPr>
            <w:tcW w:w="6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23"/>
                <w:szCs w:val="23"/>
                <w:color w:val="auto"/>
                <w:vertAlign w:val="superscript"/>
              </w:rPr>
              <w:t>(l)</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17,144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40,445</w:t>
            </w:r>
          </w:p>
        </w:tc>
      </w:tr>
      <w:tr>
        <w:trPr>
          <w:trHeight w:val="351"/>
        </w:trPr>
        <w:tc>
          <w:tcPr>
            <w:tcW w:w="6140" w:type="dxa"/>
            <w:vAlign w:val="bottom"/>
          </w:tcPr>
          <w:p>
            <w:pPr>
              <w:ind w:left="360"/>
              <w:spacing w:after="0"/>
              <w:rPr>
                <w:sz w:val="20"/>
                <w:szCs w:val="20"/>
                <w:color w:val="auto"/>
              </w:rPr>
            </w:pPr>
            <w:r>
              <w:rPr>
                <w:rFonts w:ascii="Arial" w:cs="Arial" w:eastAsia="Arial" w:hAnsi="Arial"/>
                <w:sz w:val="18"/>
                <w:szCs w:val="18"/>
                <w:color w:val="auto"/>
              </w:rPr>
              <w:t>Depreciation</w:t>
            </w:r>
            <w:r>
              <w:rPr>
                <w:rFonts w:ascii="Arial" w:cs="Arial" w:eastAsia="Arial" w:hAnsi="Arial"/>
                <w:sz w:val="23"/>
                <w:szCs w:val="23"/>
                <w:color w:val="auto"/>
                <w:vertAlign w:val="superscript"/>
              </w:rPr>
              <w:t>(m)</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15,744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15,683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31,611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31,062</w:t>
            </w:r>
          </w:p>
        </w:tc>
      </w:tr>
      <w:tr>
        <w:trPr>
          <w:trHeight w:val="351"/>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applicable to Adjusted Net Income</w:t>
            </w:r>
            <w:r>
              <w:rPr>
                <w:rFonts w:ascii="Arial" w:cs="Arial" w:eastAsia="Arial" w:hAnsi="Arial"/>
                <w:sz w:val="23"/>
                <w:szCs w:val="23"/>
                <w:color w:val="auto"/>
                <w:vertAlign w:val="superscript"/>
              </w:rPr>
              <w:t>(n)</w:t>
            </w: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27,422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49,900</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45,195</w:t>
            </w:r>
          </w:p>
        </w:tc>
      </w:tr>
      <w:tr>
        <w:trPr>
          <w:trHeight w:val="263"/>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(o)</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136,135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134,563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251,484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239,880</w:t>
            </w:r>
          </w:p>
        </w:tc>
      </w:tr>
      <w:tr>
        <w:trPr>
          <w:trHeight w:val="20"/>
        </w:trPr>
        <w:tc>
          <w:tcPr>
            <w:tcW w:w="6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6"/>
          <w:szCs w:val="16"/>
          <w:color w:val="auto"/>
        </w:rPr>
        <w:t>Represents non-cash share-based compensation expense.</w:t>
      </w:r>
    </w:p>
    <w:p>
      <w:pPr>
        <w:spacing w:after="0" w:line="50" w:lineRule="exact"/>
        <w:rPr>
          <w:rFonts w:ascii="Arial" w:cs="Arial" w:eastAsia="Arial" w:hAnsi="Arial"/>
          <w:sz w:val="18"/>
          <w:szCs w:val="18"/>
          <w:color w:val="auto"/>
        </w:rPr>
      </w:pPr>
    </w:p>
    <w:p>
      <w:pPr>
        <w:ind w:left="660" w:right="160" w:hanging="652"/>
        <w:spacing w:after="0" w:line="275" w:lineRule="auto"/>
        <w:tabs>
          <w:tab w:leader="none" w:pos="363"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spacing w:after="0" w:line="10" w:lineRule="exact"/>
        <w:rPr>
          <w:rFonts w:ascii="Arial" w:cs="Arial" w:eastAsia="Arial" w:hAnsi="Arial"/>
          <w:sz w:val="16"/>
          <w:szCs w:val="16"/>
          <w:color w:val="auto"/>
        </w:rPr>
      </w:pPr>
    </w:p>
    <w:p>
      <w:pPr>
        <w:ind w:left="660" w:right="140" w:hanging="652"/>
        <w:spacing w:after="0" w:line="253" w:lineRule="auto"/>
        <w:tabs>
          <w:tab w:leader="none" w:pos="354"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(i) certain direct and incremental costs related to the acquisitions of RCA, the noncontrolling interests in our China subsidiaries, BioScience Labs in 2021, the first quarter 2021 gain on the mandatorily redeemable noncontrolling interest in Nelson Labs Fairfield (as described in Note 4, “Acquisitions”),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29" w:lineRule="exact"/>
        <w:rPr>
          <w:rFonts w:ascii="Arial" w:cs="Arial" w:eastAsia="Arial" w:hAnsi="Arial"/>
          <w:sz w:val="16"/>
          <w:szCs w:val="16"/>
          <w:color w:val="auto"/>
        </w:rPr>
      </w:pPr>
    </w:p>
    <w:p>
      <w:pPr>
        <w:ind w:left="660" w:right="380" w:hanging="652"/>
        <w:spacing w:after="0" w:line="300" w:lineRule="auto"/>
        <w:tabs>
          <w:tab w:leader="none" w:pos="363"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ind w:left="660" w:right="640" w:hanging="652"/>
        <w:spacing w:after="0" w:line="275" w:lineRule="auto"/>
        <w:tabs>
          <w:tab w:leader="none" w:pos="354"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professional fees, severance and other payroll costs, and other costs including ongoing lease and utility expenses associated with the closure of the Willowbrook, Illinois facility.</w:t>
      </w:r>
    </w:p>
    <w:p>
      <w:pPr>
        <w:spacing w:after="0" w:line="10"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an impairment charge on our equity method investment in Auralux. Refer to Note 1, “Basis of Presentation”.</w:t>
      </w:r>
    </w:p>
    <w:p>
      <w:pPr>
        <w:spacing w:after="0" w:line="59" w:lineRule="exact"/>
        <w:rPr>
          <w:rFonts w:ascii="Arial" w:cs="Arial" w:eastAsia="Arial" w:hAnsi="Arial"/>
          <w:sz w:val="16"/>
          <w:szCs w:val="16"/>
          <w:color w:val="auto"/>
        </w:rPr>
      </w:pPr>
    </w:p>
    <w:p>
      <w:pPr>
        <w:ind w:left="660" w:right="560" w:hanging="652"/>
        <w:spacing w:after="0" w:line="275" w:lineRule="auto"/>
        <w:tabs>
          <w:tab w:leader="none" w:pos="363"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expenses incurred in connection with the repricing of our Term Loan in January 2021, including accelerated amortization of prior debt issuance and discount costs.</w:t>
      </w:r>
    </w:p>
    <w:p>
      <w:pPr>
        <w:spacing w:after="0" w:line="10" w:lineRule="exact"/>
        <w:rPr>
          <w:rFonts w:ascii="Arial" w:cs="Arial" w:eastAsia="Arial" w:hAnsi="Arial"/>
          <w:sz w:val="16"/>
          <w:szCs w:val="16"/>
          <w:color w:val="auto"/>
        </w:rPr>
      </w:pPr>
    </w:p>
    <w:p>
      <w:pPr>
        <w:ind w:left="360" w:hanging="352"/>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litigation and other professional fees associated with our EO sterilization facilities. See Note 16, “Commitments and Contingencies”.</w:t>
      </w:r>
    </w:p>
    <w:p>
      <w:pPr>
        <w:spacing w:after="0" w:line="59" w:lineRule="exact"/>
        <w:rPr>
          <w:rFonts w:ascii="Arial" w:cs="Arial" w:eastAsia="Arial" w:hAnsi="Arial"/>
          <w:sz w:val="16"/>
          <w:szCs w:val="16"/>
          <w:color w:val="auto"/>
        </w:rPr>
      </w:pPr>
    </w:p>
    <w:p>
      <w:pPr>
        <w:ind w:left="660" w:right="20" w:hanging="652"/>
        <w:spacing w:after="0" w:line="261" w:lineRule="auto"/>
        <w:tabs>
          <w:tab w:leader="none" w:pos="3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0" w:lineRule="exact"/>
        <w:rPr>
          <w:rFonts w:ascii="Arial" w:cs="Arial" w:eastAsia="Arial" w:hAnsi="Arial"/>
          <w:sz w:val="16"/>
          <w:szCs w:val="16"/>
          <w:color w:val="auto"/>
        </w:rPr>
      </w:pPr>
    </w:p>
    <w:p>
      <w:pPr>
        <w:ind w:left="320" w:hanging="312"/>
        <w:spacing w:after="0"/>
        <w:tabs>
          <w:tab w:leader="none" w:pos="3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Represents non-recurring costs associated with the COVID-19 pandemic, including incremental costs to implement workplace health and safety measures.</w:t>
      </w:r>
    </w:p>
    <w:p>
      <w:pPr>
        <w:spacing w:after="0" w:line="70" w:lineRule="exact"/>
        <w:rPr>
          <w:rFonts w:ascii="Arial" w:cs="Arial" w:eastAsia="Arial" w:hAnsi="Arial"/>
          <w:sz w:val="15"/>
          <w:szCs w:val="15"/>
          <w:color w:val="auto"/>
        </w:rPr>
      </w:pPr>
    </w:p>
    <w:p>
      <w:pPr>
        <w:ind w:left="660" w:right="160" w:hanging="652"/>
        <w:spacing w:after="0" w:line="275" w:lineRule="auto"/>
        <w:tabs>
          <w:tab w:leader="none" w:pos="363" w:val="left"/>
        </w:tabs>
        <w:numPr>
          <w:ilvl w:val="0"/>
          <w:numId w:val="27"/>
        </w:numPr>
        <w:rPr>
          <w:rFonts w:ascii="Arial" w:cs="Arial" w:eastAsia="Arial" w:hAnsi="Arial"/>
          <w:sz w:val="16"/>
          <w:szCs w:val="16"/>
          <w:color w:val="231F20"/>
        </w:rPr>
      </w:pPr>
      <w:r>
        <w:rPr>
          <w:rFonts w:ascii="Arial" w:cs="Arial" w:eastAsia="Arial" w:hAnsi="Arial"/>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0" w:lineRule="exact"/>
        <w:rPr>
          <w:rFonts w:ascii="Arial" w:cs="Arial" w:eastAsia="Arial" w:hAnsi="Arial"/>
          <w:sz w:val="16"/>
          <w:szCs w:val="16"/>
          <w:color w:val="231F20"/>
        </w:rPr>
      </w:pPr>
    </w:p>
    <w:p>
      <w:pPr>
        <w:ind w:left="660" w:right="280" w:hanging="652"/>
        <w:spacing w:after="0" w:line="275" w:lineRule="auto"/>
        <w:tabs>
          <w:tab w:leader="none" w:pos="327" w:val="left"/>
        </w:tabs>
        <w:numPr>
          <w:ilvl w:val="0"/>
          <w:numId w:val="27"/>
        </w:numPr>
        <w:rPr>
          <w:rFonts w:ascii="Arial" w:cs="Arial" w:eastAsia="Arial" w:hAnsi="Arial"/>
          <w:sz w:val="16"/>
          <w:szCs w:val="16"/>
          <w:color w:val="231F20"/>
        </w:rPr>
      </w:pPr>
      <w:r>
        <w:rPr>
          <w:rFonts w:ascii="Arial" w:cs="Arial" w:eastAsia="Arial" w:hAnsi="Arial"/>
          <w:sz w:val="16"/>
          <w:szCs w:val="16"/>
          <w:color w:val="auto"/>
        </w:rPr>
        <w:t>The three and six months ended June 30, 2022 excludes $3.1 million and $9.4 million, respectively, of unrealized gains on interest rate derivatives not designated as hedging instruments.</w:t>
      </w:r>
    </w:p>
    <w:p>
      <w:pPr>
        <w:spacing w:after="0" w:line="10" w:lineRule="exact"/>
        <w:rPr>
          <w:rFonts w:ascii="Arial" w:cs="Arial" w:eastAsia="Arial" w:hAnsi="Arial"/>
          <w:sz w:val="16"/>
          <w:szCs w:val="16"/>
          <w:color w:val="231F20"/>
        </w:rPr>
      </w:pPr>
    </w:p>
    <w:p>
      <w:pPr>
        <w:ind w:left="400" w:hanging="392"/>
        <w:spacing w:after="0"/>
        <w:tabs>
          <w:tab w:leader="none" w:pos="400" w:val="left"/>
        </w:tabs>
        <w:numPr>
          <w:ilvl w:val="0"/>
          <w:numId w:val="27"/>
        </w:numPr>
        <w:rPr>
          <w:rFonts w:ascii="Arial" w:cs="Arial" w:eastAsia="Arial" w:hAnsi="Arial"/>
          <w:sz w:val="16"/>
          <w:szCs w:val="16"/>
          <w:color w:val="231F20"/>
        </w:rPr>
      </w:pPr>
      <w:r>
        <w:rPr>
          <w:rFonts w:ascii="Arial" w:cs="Arial" w:eastAsia="Arial" w:hAnsi="Arial"/>
          <w:sz w:val="16"/>
          <w:szCs w:val="16"/>
          <w:color w:val="231F20"/>
        </w:rPr>
        <w:t>Includes depreciation of Co-60 held at gamma irradiation sites.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9" w:name="page40"/>
    <w:bookmarkEnd w:id="39"/>
    <w:p>
      <w:pPr>
        <w:ind w:left="660" w:right="60" w:hanging="652"/>
        <w:spacing w:after="0" w:line="272" w:lineRule="auto"/>
        <w:tabs>
          <w:tab w:leader="none" w:pos="363" w:val="left"/>
        </w:tabs>
        <w:numPr>
          <w:ilvl w:val="0"/>
          <w:numId w:val="28"/>
        </w:numPr>
        <w:rPr>
          <w:rFonts w:ascii="Arial" w:cs="Arial" w:eastAsia="Arial" w:hAnsi="Arial"/>
          <w:sz w:val="16"/>
          <w:szCs w:val="16"/>
          <w:color w:val="231F20"/>
        </w:rPr>
      </w:pPr>
      <w:r>
        <w:rPr>
          <w:rFonts w:ascii="Arial" w:cs="Arial" w:eastAsia="Arial" w:hAnsi="Arial"/>
          <w:sz w:val="16"/>
          <w:szCs w:val="16"/>
          <w:color w:val="231F20"/>
        </w:rPr>
        <w:t>Represents the difference between the income tax provision as determined under U.S. GAAP and the income tax benefit associated with pre-tax adjustments described in footnote (k).</w:t>
      </w:r>
    </w:p>
    <w:p>
      <w:pPr>
        <w:spacing w:after="0" w:line="1" w:lineRule="exact"/>
        <w:rPr>
          <w:rFonts w:ascii="Arial" w:cs="Arial" w:eastAsia="Arial" w:hAnsi="Arial"/>
          <w:sz w:val="16"/>
          <w:szCs w:val="16"/>
          <w:color w:val="231F20"/>
        </w:rPr>
      </w:pPr>
    </w:p>
    <w:p>
      <w:pPr>
        <w:ind w:left="660" w:right="180" w:hanging="652"/>
        <w:spacing w:after="0" w:line="243" w:lineRule="auto"/>
        <w:tabs>
          <w:tab w:leader="none" w:pos="363" w:val="left"/>
        </w:tabs>
        <w:numPr>
          <w:ilvl w:val="0"/>
          <w:numId w:val="28"/>
        </w:numPr>
        <w:rPr>
          <w:rFonts w:ascii="Arial" w:cs="Arial" w:eastAsia="Arial" w:hAnsi="Arial"/>
          <w:sz w:val="16"/>
          <w:szCs w:val="16"/>
          <w:color w:val="auto"/>
        </w:rPr>
      </w:pPr>
      <w:r>
        <w:rPr>
          <w:rFonts w:ascii="Arial" w:cs="Arial" w:eastAsia="Arial" w:hAnsi="Arial"/>
          <w:sz w:val="16"/>
          <w:szCs w:val="16"/>
          <w:color w:val="auto"/>
        </w:rPr>
        <w:t>$20.9 million and $21.8 million of the adjustments for the three months ended June 30, 2022 and 2021, respectively, and $40.7 million and $42.5 million of the adjustments for the six months ended June 30, 2022 and 2021, respectively, are included in cost of revenues, primarily consisting of amortization of intangibles, depreciation, and accretion of asset retirement obligations.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three reportable segments: Sterigenics, Nordion and Nelson Labs. Our chief operating decision maker evaluates performance and allocates resources within our business based on Segment Income, which excludes certain items which are included in income before tax as determined in our Consolidated Statements of Operations and Comprehensive Income (Loss). The accounting policies for our reportable segments are the same as those for the consolidated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Sterigenics</w:t>
      </w:r>
    </w:p>
    <w:p>
      <w:pPr>
        <w:spacing w:after="0" w:line="11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Nordion</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2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Results for our Nordion segment are also impacted by Co-60 supplier mix, harvest schedules and product and service mix.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Nelson Labs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pharmaceutical industries.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our reportable segments please refer to Note 18, “Segment Information”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Segment Results for the Three Months Ended June 30, 2022 and 2021</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compare segment net revenue and segment income for the three months ended June 30, 2022 to the three months ended June 30, 2021:</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78"/>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360" w:type="dxa"/>
            <w:vAlign w:val="bottom"/>
          </w:tcPr>
          <w:p>
            <w:pPr>
              <w:spacing w:after="0"/>
              <w:rPr>
                <w:sz w:val="24"/>
                <w:szCs w:val="24"/>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55"/>
              <w:spacing w:after="0"/>
              <w:rPr>
                <w:sz w:val="20"/>
                <w:szCs w:val="20"/>
                <w:color w:val="auto"/>
              </w:rPr>
            </w:pPr>
            <w:r>
              <w:rPr>
                <w:rFonts w:ascii="Arial" w:cs="Arial" w:eastAsia="Arial" w:hAnsi="Arial"/>
                <w:sz w:val="18"/>
                <w:szCs w:val="18"/>
                <w:b w:val="1"/>
                <w:bCs w:val="1"/>
                <w:color w:val="auto"/>
              </w:rPr>
              <w:t>157,792</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145,182</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12,610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50,478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49,125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6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b w:val="1"/>
                <w:bCs w:val="1"/>
                <w:color w:val="auto"/>
              </w:rPr>
              <w:t>58,369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57,610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55"/>
              <w:spacing w:after="0"/>
              <w:rPr>
                <w:sz w:val="20"/>
                <w:szCs w:val="20"/>
                <w:color w:val="auto"/>
              </w:rPr>
            </w:pPr>
            <w:r>
              <w:rPr>
                <w:rFonts w:ascii="Arial" w:cs="Arial" w:eastAsia="Arial" w:hAnsi="Arial"/>
                <w:sz w:val="18"/>
                <w:szCs w:val="18"/>
                <w:b w:val="1"/>
                <w:bCs w:val="1"/>
                <w:color w:val="auto"/>
              </w:rPr>
              <w:t>85,098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79,569</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29,982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31,168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6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b w:val="1"/>
                <w:bCs w:val="1"/>
                <w:color w:val="auto"/>
              </w:rPr>
              <w:t>21,055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23,826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 Income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53.9 %</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54.8 %</w:t>
            </w:r>
          </w:p>
        </w:tc>
        <w:tc>
          <w:tcPr>
            <w:tcW w:w="290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59.4 %</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63.4 %</w:t>
            </w:r>
          </w:p>
        </w:tc>
        <w:tc>
          <w:tcPr>
            <w:tcW w:w="29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36.1 %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41.4 %</w:t>
            </w:r>
          </w:p>
        </w:tc>
        <w:tc>
          <w:tcPr>
            <w:tcW w:w="29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Segment</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Sterigenics net revenues were $157.8 million for the three months ended June 30, 2022, an increase of $12.6 million, or 8.7%, as compared to the three months ended June 30, 2021. The increase reflects a 6.1% favorable impact from pricing, and volume growth of 5.1%, partially offset by unfavorable impacts from changes in foreign currency exchange rates of 2.5%.</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Nordion net revenues were $50.5 million for the three months ended June 30, 2022, an increase of $1.4 million, or 2.8%, as compared to the three months ended June 30, 2021. The increase was primarily attributable to favorable pricing of 6.1% partially offset by a 3.1% unfavorable impact from changes in foreign currency exchange rates.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Nelson Labs net revenues were $58.4 million for the three months ended June 30, 2022, an increase of $0.8 million, or 1.3%, as compared to the three months ended June 30, 2021. Revenue from the RCA acquisition contributed 5.7% and favorable pricing represented 5.4%. Partially offsetting these increases was a 5.0% decline in revenue from reduced demand for pandemic-related testing. In addition, revenue growth was negatively impacted by 2.6% due to changes in foreign currency exchanges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Sterigenics segment income was $85.1 million for the three months ended June 30, 2022, an increase of $5.5 million, or 6.9%, as compared to the three months ended June 30, 2021. The increase in segment income was primarily a result of favorable customer pricing and sales volume growth, as referenced above.</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Nordion segment income was $30.0 million for the three months ended June 30, 2022, a decrease of $1.2 million, or 3.8%, as compared to the three months ended June 30, 2021. The decrease in segment income and segment income margin was driven by an unfavorable product mix and changes in foreign currency exchanges rates.</w:t>
      </w:r>
    </w:p>
    <w:p>
      <w:pPr>
        <w:spacing w:after="0" w:line="18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Nelson Labs segment income was $21.1 million for the three months ended June 30, 2022, a decrease of $2.8 million, or 11.6%, as compared to the three months ended June 30, 2021, primarily attributable to the decline in higher margin pandemic-related testing. This decrease was partially offset by the incremental contribution of the RCA acquisition and favorable customer pricing. The 5.3% decrease in segment income margin was driven by recent acquisitions and an unfavorable mix associated with reduced demand for pandemic-related testing.</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Segment Results for the Six Months Ended June 30, 2022 and 2021</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compare segment net revenue and segment income for the six months ended June 30, 2022 to the six months ended June 30, 2021:</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78"/>
        </w:trPr>
        <w:tc>
          <w:tcPr>
            <w:tcW w:w="512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360" w:type="dxa"/>
            <w:vAlign w:val="bottom"/>
          </w:tcPr>
          <w:p>
            <w:pPr>
              <w:spacing w:after="0"/>
              <w:rPr>
                <w:sz w:val="24"/>
                <w:szCs w:val="24"/>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55"/>
              <w:spacing w:after="0"/>
              <w:rPr>
                <w:sz w:val="20"/>
                <w:szCs w:val="20"/>
                <w:color w:val="auto"/>
              </w:rPr>
            </w:pPr>
            <w:r>
              <w:rPr>
                <w:rFonts w:ascii="Arial" w:cs="Arial" w:eastAsia="Arial" w:hAnsi="Arial"/>
                <w:sz w:val="18"/>
                <w:szCs w:val="18"/>
                <w:b w:val="1"/>
                <w:bCs w:val="1"/>
                <w:color w:val="auto"/>
              </w:rPr>
              <w:t>307,254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276,333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30,921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84,480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75,043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6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b w:val="1"/>
                <w:bCs w:val="1"/>
                <w:color w:val="auto"/>
              </w:rPr>
              <w:t>111,659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112,689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55"/>
              <w:spacing w:after="0"/>
              <w:rPr>
                <w:sz w:val="20"/>
                <w:szCs w:val="20"/>
                <w:color w:val="auto"/>
              </w:rPr>
            </w:pPr>
            <w:r>
              <w:rPr>
                <w:rFonts w:ascii="Arial" w:cs="Arial" w:eastAsia="Arial" w:hAnsi="Arial"/>
                <w:sz w:val="18"/>
                <w:szCs w:val="18"/>
                <w:b w:val="1"/>
                <w:bCs w:val="1"/>
                <w:color w:val="auto"/>
              </w:rPr>
              <w:t>164,501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148,030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16,471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48,885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44,954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6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b w:val="1"/>
                <w:bCs w:val="1"/>
                <w:color w:val="auto"/>
              </w:rPr>
              <w:t>38,098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46,896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(8,798)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 Income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53.5 %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53.6 %</w:t>
            </w:r>
          </w:p>
        </w:tc>
        <w:tc>
          <w:tcPr>
            <w:tcW w:w="290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59.9 %</w:t>
            </w:r>
          </w:p>
        </w:tc>
        <w:tc>
          <w:tcPr>
            <w:tcW w:w="29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34.1 %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41.6 %</w:t>
            </w:r>
          </w:p>
        </w:tc>
        <w:tc>
          <w:tcPr>
            <w:tcW w:w="290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Segment</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Sterigenics net revenues were $307.3 million for the six months ended June 30, 2022, an increase of $30.9 million, or 11.2%, as compared to the six months ended June 30, 2021. The increase reflects volume growth of 7.3% and a 5.8% favorable impact from pricing, offset by unfavorable impacts from changes in foreign currency exchange rates of 1.9%.</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Nordion net revenues were $84.5 million for the six months ended June 30, 2022, an increase of $9.4 million, or 12.6%, as compared to the six months ended June 30, 2021. The increase was driven by volume growth of 8.4% and a favorable impact from pricing of 6.4%, partially offset by foreign currency impacts of 2.2%.</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Nelson Labs net revenues were $111.7 million for the six months ended June 30, 2022, a decrease of $1.0 million, or 0.9%, as compared to the six months ended June 30, 2021. The decrease was mainly attributable to a 7.8% decline in revenue from reduced demand for pandemic-related testing coupled with a decrease in volumes across other testing categories. In addition, revenue was unfavorably impacted by 2.0% due to changes in foreign currency exchanges rates. Partially offsetting this decline was revenue growth from the 2021 acquisitions of RCA and BioScience Labs of 7.0% and a favorable impact from pricing of 4.8%.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Sterigenics segment income was $164.5 million for the six months ended June 30, 2022, an increase of $16.5 million, or 11.1%, as compared to the six months ended June 30, 2021. The increase in segment income was primarily a result of sales volume growth and favorable customer pricing, as referenced above.</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Nordion segment income was $48.9 million for the six months ended June 30, 2022, an increase of $3.9 million, or 8.7%, as compared to the six months ended June 30, 2021. The increase in segment income was due to the favorable impacts of volume growth and customer pricing, as referenced above. The decrease in segment income margin was due to an unfavorable product mix.</w:t>
      </w:r>
    </w:p>
    <w:p>
      <w:pPr>
        <w:spacing w:after="0" w:line="1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Nelson Labs segment income was $38.1 million for the six months ended June 30, 2022, a decrease of $8.8 million, or 18.8%, as compared to the six months ended June 30, 2021, primarily attributable to the decline in pandemic-related testing. This decrease was partially offset by the incremental contribution of the BioScience Labs and RCA acquisitions and favorable customer pricing. The 7.5% decrease in segment income margin was driven by unfavorable mix associated with reduced demand for pandemic-related testing, supply chain pressures, labor market constraints, which were compounded by the surge of the Omicron variant in the first quarter of 2022, and dilution resulting from the 2021 Nelson Labs acquisitions.</w:t>
      </w:r>
    </w:p>
    <w:p>
      <w:pPr>
        <w:sectPr>
          <w:pgSz w:w="11900" w:h="16838" w:orient="portrait"/>
          <w:cols w:equalWidth="0" w:num="1">
            <w:col w:w="11220"/>
          </w:cols>
          <w:pgMar w:left="320" w:top="1147" w:right="35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primary sources of liquidity for our business are cash flows from operations and borrowings under our credit facilities. We expect that our primary liquidity requirements will be to make capital expenditures, including investments in fixed assets to build and/or expand existing facilities, to fund suitable business acquisitions, service our debt, and make expenditures for other general corporate purposes.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June 30, 2022, we had $140.6 million of cash and cash equivalents. This is an increase of $33.7 million from the balance at December 31, 2021. Our foreign subsidiaries held cash of approximately $114.7 million at June 30, 2022 and $87.9 million at December 31, 2021. No material restrictions exist to accessing cash held by our foreign subsidiaries notwithstanding any potential tax consequences.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Co-60 development projects and information technology enhancements. During the six months ended June 30, 2022, our capital expenditures amounted to $71.6 million, compared to $44.8 million for the six months ended June 30, 2021.</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expect that cash on hand, operating cash flows and amounts available under our credit facilities will provide sufficient working capital to operate our business, meet foreseeable liquidity requirements, including debt service on our long-term debt, make expected capital expenditures including investments in fixed assets to build and/or expand existing facilities, and meet litigation costs for at least the next twelve months. Our primary long-term liquidity requirements beyond the next twelve months will be to service our debt, make capital expenditures, and fund suitable business acquisitions. As of June 30, 2022,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June 30, 2022, our interest rate caps limit our cash flow exposure related to LIBOR for the majority of the principal amount outstanding on our variable rate borrowings under the Term Loan. Refer to Note 17, “Financial Instruments and Financial Risk” under the heading “Derivative Instruments” for additional information regarding the interest rate caps used to manage economic risks associated with our variable rate borrowings.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4"/>
                <w:szCs w:val="14"/>
                <w:color w:val="auto"/>
              </w:rPr>
            </w:pPr>
          </w:p>
        </w:tc>
        <w:tc>
          <w:tcPr>
            <w:tcW w:w="224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Six Months Ended June 30,</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5"/>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108,256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134,256</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(70,974)</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(12,090)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r>
      <w:tr>
        <w:trPr>
          <w:trHeight w:val="264"/>
        </w:trPr>
        <w:tc>
          <w:tcPr>
            <w:tcW w:w="2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 including restricted cash, during the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33,694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53,770</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flows provided by operating activities decreased $26.0 million to net cash provided of $108.3 million in the six months ended June 30, 2022 compared to $134.3 million for the six months ended June 30, 2021. The decrease in cash flows from operating activities in the six months ended June 30, 2022 compared to the six months ended June 30, 2021 was driven primarily by an increase in cash paid for taxes of $14.6 million and a $5.4 million increase in cash paid for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used by investing activities increased $0.2 million to net cash used of $71.2 million in the six months ended June 30, 2022 compared to $71.0 million for the six months ended June 30, 2022. Capital expenditures increased $26.9 million in the six months ended June 30, 2022 compared to the six months ended June 30, 2021. 2021 included cash paid for acquisitions of $26.2 million which did not recur in 2022. In 2021, we acquired BioScience Labs for a net purchase price of approximately $13.8 million and we completed the acquisition of the remaining 15% ownership of Nelson Labs Fairfield for $12.4 million.</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used for financing activities decreased $11.0 million to net cash used of $1.1 million for the six months ended June 30, 2022 compared to $12.1 million for the six months ended June 30, 2021. The difference was attributable to the payment of $3.7 million of debt issuance costs in the six months ended June 30, 2021 in connection with our January 2021 refinancing of the Senior Secured Credit Facilities (as described in “Debt Facilities” below) and a $7.7 million payment for the acquisition of our Chinese subsidiaries noncontrolling interests.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Term Loan mature on June 13, 2026 and December 13, 2026, respectively. The total borrowing capacity under the Revolving Credit Facility is $347.5 million. The Senior Secured Credit Facilities also provide SHH the right at any time and under certain conditions to request incremental term loans or incremental revolving credit commitments based on a formula defined in the Senior Secured Credit Facilities. As of June 30, 2022 and December 31, 2021, total borrowings under the Term Loan were $1,763.1 million, respectively, and there were no borrowings outstanding on the Revolving Credit Facility. The weighted average interest rate on borrowings under the Term Loan for the three months ended June 30, 2022 and June 30, 2021 was 3.53% and 3.25%, respectively, and 3.39% and 3.64% for the six months ended June 30, 2022 and June 30, 2021, respectively.</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resulted in an effective reduction in current interest rates of 225 basis points.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w:t>
      </w:r>
    </w:p>
    <w:p>
      <w:pPr>
        <w:spacing w:after="0" w:line="192"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On March 26, 2021, we amended the Revolving Credit Facility, to (i) decrease the Applicable Rate (as defined in the Credit Agreement) related to any Revolving Loans (as defined in the Credit Agreement) from a rate per annum that ranged from an alternative base rate (“ABR”) plus 2.50% to ABR plus 3.00% depending on SHH’s Senior Secured First Lien Net Leverage Ratio to ABR plus 1.75%; and in the case of Eurodollar Loans (as defined in the Credit Agreement) from a rate per annum which ranged from the Adjusted LIBOR plus 3.50% to the Adjusted LIBOR plus 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remain unchanged and the amendment does not change the capacity of our Revolving Credit Facility. No unamortized debt issuance costs associated with the Revolving Credit Facility were written off and direct fees and costs incurred in connection with the amendment were immaterial.</w:t>
      </w:r>
    </w:p>
    <w:p>
      <w:pPr>
        <w:spacing w:after="0" w:line="19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of June 30, 2022 and December 31, 2021, capitalized debt issuance costs totaled $2.4 million and $2.7 million, respectively, and debt discounts totaled $15.6 million and $17.3 million, respectively, related to the Senior Secured Credit Facilities. Such costs are recorded as a reduction of debt on our Consolidated Balance Sheets and amortized as a component of interest expense over the term of the debt agreement.</w:t>
      </w:r>
    </w:p>
    <w:p>
      <w:pPr>
        <w:spacing w:after="0" w:line="1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The Senior Secured Credit Facilities also contain certain customary affirmative covenants and events of default, including upon a change of control. As of June 30, 2022, we were in compliance with all the Senior Secured Credit Facilities covenants.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4" w:name="page45"/>
    <w:bookmarkEnd w:id="44"/>
    <w:p>
      <w:pPr>
        <w:ind w:right="18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16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June 30, 2022, the Company had $70.1 million of letters of credit issued against the Revolving Credit Facility, resulting in total availability under the Revolving Credit Facility of $277.4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Interest Rate Risk Management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Company utilizes interest rate derivatives to reduce the variability of cash flows in the interest payments associated with the Term Loan due to changes in LIBOR (or its successor). For additional information on the derivative instruments described above, refer to Note 17, “Financial Instruments and Financial Risk”, </w:t>
      </w:r>
      <w:r>
        <w:rPr>
          <w:rFonts w:ascii="Arial" w:cs="Arial" w:eastAsia="Arial" w:hAnsi="Arial"/>
          <w:sz w:val="18"/>
          <w:szCs w:val="18"/>
          <w:i w:val="1"/>
          <w:iCs w:val="1"/>
          <w:color w:val="auto"/>
        </w:rPr>
        <w:t>“Derivatives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Notes</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which were scheduled to mature on December 13, 2026. On August 27, 2021 SHH redeemed in full the $100.0 million aggregate principal amount of the First Lien Notes. In connection with this redemption, the Company paid a $3.0 million early redemption premium, in accordance with the terms of the First Lien Notes Indenture, and wrote off $3.4 million of debt issuance and discount costs. The Company recognized these expenses within “Loss on extinguishment of debt” in our Consolidated Statements of Operations and Comprehensive Income (Loss) for the year ended December 31, 2021.</w:t>
      </w:r>
    </w:p>
    <w:p>
      <w:pPr>
        <w:spacing w:after="0" w:line="16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Prior to the redemption, the First Lien Notes bore interest at a rate equal to LIBOR subject to a 1.00% floor plus 6.00% per annum. Interest was payable on a quarterly basis with no principal due until maturity. The weighted average interest rate on the First Lien Notes during 2021 up to the August 27, 2021 redemption date was 7.00%.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61"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A comprehensive discussion of the Company’s critical accounting policies and management estimates made in connection with the preparation of the financial statements is included in Item 7 of our Annual Report on Form 10-K for the year ended December 31, 2021. There have been no significant changes in critical accounting policies, management estimates or accounting policies since the year ended December 31,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recent accounting pronouncements applicable to our business, see Note 2, “Recent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Market risks are described within “Quantitative and Qualitative Disclosures About Market Risk” in Part II, Item 7A of our Annual Report on Form 10-K for the year ended December 31, 2021. These market risks have not materially changed for the three and six months ended June 30, 2022.</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the Company’s “disclosure controls and procedures,” (as defined in Rules 13a-15(e) and 15d-15(e) under the Securities Exchange Act of 1934, as amended (“Exchange Act”)). Based upon their evaluation, the Chief Executive Officer and Chief Financial Officer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and six months ended June 30, 2022,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5" w:right="4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Described in Note 16 “Commitments and Contingencies” of Our Consolidated Financial Statements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Note 16, “Commitments and Contingencies” to our consolidated financial statements for the three and six months ended June 30, 2022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16 “Commitments and Contingencies” for information regarding the following legal proceedings, which information is incorporated into this item by reference:</w:t>
      </w:r>
    </w:p>
    <w:p>
      <w:pPr>
        <w:spacing w:after="0" w:line="15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Ethylene Oxide Tort Litigation – Illinois and Georgia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Georgia Facility Operations Litigation;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Mexico Attorney General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That Are Not Described in Note 16 “Commitments and Contingencies” to Our Consolidated Financial Statements</w:t>
      </w:r>
    </w:p>
    <w:p>
      <w:pPr>
        <w:spacing w:after="0" w:line="1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addition to the matters that are identified in Note 16 to our consolidated financial statements for the three and six months ended June 30, 2022 contained in this Quarterly Report on Form 10-Q, and incorporated into this item by reference, the following matter also constitutes a material pending legal proceeding, other than ordinary course litigation incidental to our business, to which we are or any of our subsidiaries is a 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Zoetermeer, Holland Criminal Proceedings and Criminal Financial Investigation</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2010, the Dutch Public Prosecution Service started criminal proceedings against DEROSS Holding B.V. (“DEROSS”), in relation to alleged environmental permit violations for EO emissions in the period from 2004 to 2009 at its Zoetermeer processing facility. On the basis of the final indictment issued in April 2017, assuming a rarely applied increasing mechanism is not applied in this case, fines in the amount of €0.8 million (US$0.8 million) may be imposed. We have also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(US$0.2 million).</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November 2010, the Public Prosecution Service also started a criminal financial investigation against DEROSS to determine whether it obtained illegal advantages by committing the alleged criminal offenses noted above. Any illegally obtained advantage could then be recovered from DEROSS in subsequent confiscation proceedings. The Public Prosecution Service estimates the illegally obtained advantage by DEROSS to be €0.6 million (US$0.6 million).</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February 2018, DEROSS and the two individuals received favorable judgments from the trial court, which did not hold any of them responsible for the alleged criminal offenses. In March 2018, the Public Prosecutor filed an appeal against the favorable judgments. The appeal procedure is still pending.</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An escrow account was established in 2011 to satisfy indemnity claims for losses related to this matter. The balance of the special escrow at June 30, 2022, was approximately US$1.8 million and the cash collateral held by ABN Amro to provide security for the claims against us was approximately €2.4 million (US$2.5 million) as of June 30, 2022. These amounts are available to satisfy claims relating to the ongoing matter through its anticipated resolution. At this time, we expect that the appeal of this matter will likely take several years to resolve; however, we believe the indemnification receivable continues to be recoverable and plan to ensure escrow funds remain in place to cover outcomes of an appeal.</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or us. We have not provided for a contingency reserve in connection with any civil claims as we are unable to determine the likelihood of an unfavorable outcome and no reasonable estimate of a loss or range of losses, if any, can be made.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2021 Form 10-K. Refer to Part I, Item 1A of our 2021 Form 10-K for a detailed discussion of risk factors affecting us.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1"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exhibits listed in the following Exhibit Index are filed, furnished, or incorporated by reference as part of this Quarterly Report on Form 10-Q.</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Incorporated by Reference</w:t>
            </w:r>
          </w:p>
        </w:tc>
        <w:tc>
          <w:tcPr>
            <w:tcW w:w="1640" w:type="dxa"/>
            <w:vAlign w:val="bottom"/>
          </w:tcPr>
          <w:p>
            <w:pPr>
              <w:spacing w:after="0"/>
              <w:rPr>
                <w:sz w:val="20"/>
                <w:szCs w:val="20"/>
                <w:color w:val="auto"/>
              </w:rPr>
            </w:pP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Furnished/Filed</w:t>
            </w:r>
          </w:p>
        </w:tc>
      </w:tr>
      <w:tr>
        <w:trPr>
          <w:trHeight w:val="234"/>
        </w:trPr>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4480" w:type="dxa"/>
            <w:vAlign w:val="bottom"/>
            <w:gridSpan w:val="5"/>
          </w:tcPr>
          <w:p>
            <w:pPr>
              <w:spacing w:after="0"/>
              <w:rPr>
                <w:sz w:val="20"/>
                <w:szCs w:val="20"/>
                <w:color w:val="auto"/>
              </w:rPr>
            </w:pPr>
            <w:r>
              <w:rPr>
                <w:rFonts w:ascii="Arial" w:cs="Arial" w:eastAsia="Arial" w:hAnsi="Arial"/>
                <w:sz w:val="18"/>
                <w:szCs w:val="18"/>
                <w:b w:val="1"/>
                <w:bCs w:val="1"/>
                <w:color w:val="auto"/>
              </w:rPr>
              <w:t>Description of Exhibits</w:t>
            </w:r>
          </w:p>
        </w:tc>
        <w:tc>
          <w:tcPr>
            <w:tcW w:w="700" w:type="dxa"/>
            <w:vAlign w:val="bottom"/>
          </w:tcPr>
          <w:p>
            <w:pPr>
              <w:ind w:left="140"/>
              <w:spacing w:after="0"/>
              <w:rPr>
                <w:sz w:val="20"/>
                <w:szCs w:val="20"/>
                <w:color w:val="auto"/>
              </w:rPr>
            </w:pPr>
            <w:r>
              <w:rPr>
                <w:rFonts w:ascii="Arial" w:cs="Arial" w:eastAsia="Arial" w:hAnsi="Arial"/>
                <w:sz w:val="18"/>
                <w:szCs w:val="18"/>
                <w:b w:val="1"/>
                <w:bCs w:val="1"/>
                <w:color w:val="auto"/>
              </w:rPr>
              <w:t>Form</w:t>
            </w:r>
          </w:p>
        </w:tc>
        <w:tc>
          <w:tcPr>
            <w:tcW w:w="1120" w:type="dxa"/>
            <w:vAlign w:val="bottom"/>
          </w:tcPr>
          <w:p>
            <w:pPr>
              <w:ind w:left="300"/>
              <w:spacing w:after="0"/>
              <w:rPr>
                <w:sz w:val="20"/>
                <w:szCs w:val="20"/>
                <w:color w:val="auto"/>
              </w:rPr>
            </w:pPr>
            <w:r>
              <w:rPr>
                <w:rFonts w:ascii="Arial" w:cs="Arial" w:eastAsia="Arial" w:hAnsi="Arial"/>
                <w:sz w:val="18"/>
                <w:szCs w:val="18"/>
                <w:b w:val="1"/>
                <w:bCs w:val="1"/>
                <w:color w:val="auto"/>
              </w:rPr>
              <w:t>File No.</w:t>
            </w: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Filing Date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6"/>
        </w:trPr>
        <w:tc>
          <w:tcPr>
            <w:tcW w:w="1200" w:type="dxa"/>
            <w:vAlign w:val="bottom"/>
          </w:tcPr>
          <w:p>
            <w:pPr>
              <w:jc w:val="right"/>
              <w:ind w:right="770"/>
              <w:spacing w:after="0" w:line="196" w:lineRule="exact"/>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17"/>
                <w:szCs w:val="17"/>
                <w:color w:val="auto"/>
              </w:rPr>
            </w:pPr>
          </w:p>
        </w:tc>
        <w:tc>
          <w:tcPr>
            <w:tcW w:w="4480" w:type="dxa"/>
            <w:vAlign w:val="bottom"/>
            <w:gridSpan w:val="5"/>
          </w:tcPr>
          <w:p>
            <w:pPr>
              <w:spacing w:after="0" w:line="196" w:lineRule="exact"/>
              <w:rPr>
                <w:rFonts w:ascii="Arial" w:cs="Arial" w:eastAsia="Arial" w:hAnsi="Arial"/>
                <w:sz w:val="18"/>
                <w:szCs w:val="18"/>
                <w:color w:val="0000FF"/>
              </w:rPr>
            </w:pPr>
            <w:hyperlink w:anchor="page51">
              <w:r>
                <w:rPr>
                  <w:rFonts w:ascii="Arial" w:cs="Arial" w:eastAsia="Arial" w:hAnsi="Arial"/>
                  <w:sz w:val="18"/>
                  <w:szCs w:val="18"/>
                  <w:color w:val="0000FF"/>
                </w:rPr>
                <w:t>Certification of Principal Executive Officer pursuant to</w:t>
              </w:r>
            </w:hyperlink>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Exchange Act Rules 13a-14(a) and 15d-14(a), as adopted</w:t>
              </w:r>
            </w:hyperlink>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pursuant to Section 302 of the Sarbanes-Oxley Act of 2002</w:t>
              </w:r>
            </w:hyperlink>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50"/>
        </w:trPr>
        <w:tc>
          <w:tcPr>
            <w:tcW w:w="1200" w:type="dxa"/>
            <w:vAlign w:val="bottom"/>
          </w:tcPr>
          <w:p>
            <w:pPr>
              <w:jc w:val="right"/>
              <w:ind w:right="770"/>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1"/>
                <w:szCs w:val="21"/>
                <w:color w:val="auto"/>
              </w:rPr>
            </w:pPr>
          </w:p>
        </w:tc>
        <w:tc>
          <w:tcPr>
            <w:tcW w:w="3980" w:type="dxa"/>
            <w:vAlign w:val="bottom"/>
            <w:tcBorders>
              <w:bottom w:val="single" w:sz="8" w:color="0000FF"/>
            </w:tcBorders>
          </w:tcPr>
          <w:p>
            <w:pPr>
              <w:spacing w:after="0"/>
              <w:rPr>
                <w:rFonts w:ascii="Arial" w:cs="Arial" w:eastAsia="Arial" w:hAnsi="Arial"/>
                <w:sz w:val="18"/>
                <w:szCs w:val="18"/>
                <w:color w:val="0000FF"/>
                <w:w w:val="93"/>
              </w:rPr>
            </w:pPr>
            <w:hyperlink w:anchor="page52">
              <w:r>
                <w:rPr>
                  <w:rFonts w:ascii="Arial" w:cs="Arial" w:eastAsia="Arial" w:hAnsi="Arial"/>
                  <w:sz w:val="18"/>
                  <w:szCs w:val="18"/>
                  <w:color w:val="0000FF"/>
                  <w:w w:val="93"/>
                </w:rPr>
                <w:t>Certification of Principal Financial Officer pursuant to</w:t>
              </w:r>
            </w:hyperlink>
          </w:p>
        </w:tc>
        <w:tc>
          <w:tcPr>
            <w:tcW w:w="500" w:type="dxa"/>
            <w:vAlign w:val="bottom"/>
            <w:gridSpan w:val="4"/>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Exchange Act Rules 13a-14(a) and 15d-14(a), as adopted</w:t>
              </w:r>
            </w:hyperlink>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pursuant to Section 302 of the Sarbanes-Oxley Act of 2002</w:t>
              </w:r>
            </w:hyperlink>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50" w:lineRule="exact"/>
        <w:rPr>
          <w:sz w:val="20"/>
          <w:szCs w:val="20"/>
          <w:color w:val="auto"/>
        </w:rPr>
      </w:pPr>
    </w:p>
    <w:p>
      <w:pPr>
        <w:sectPr>
          <w:pgSz w:w="11900" w:h="16838" w:orient="portrait"/>
          <w:cols w:equalWidth="0" w:num="1">
            <w:col w:w="11240"/>
          </w:cols>
          <w:pgMar w:left="320" w:top="1255"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4280" w:type="dxa"/>
            <w:vAlign w:val="bottom"/>
            <w:gridSpan w:val="4"/>
          </w:tcPr>
          <w:p>
            <w:pPr>
              <w:spacing w:after="0"/>
              <w:rPr>
                <w:rFonts w:ascii="Arial" w:cs="Arial" w:eastAsia="Arial" w:hAnsi="Arial"/>
                <w:sz w:val="18"/>
                <w:szCs w:val="18"/>
                <w:color w:val="0000FF"/>
                <w:w w:val="95"/>
              </w:rPr>
            </w:pPr>
            <w:hyperlink w:anchor="page53">
              <w:r>
                <w:rPr>
                  <w:rFonts w:ascii="Arial" w:cs="Arial" w:eastAsia="Arial" w:hAnsi="Arial"/>
                  <w:sz w:val="18"/>
                  <w:szCs w:val="18"/>
                  <w:color w:val="0000FF"/>
                  <w:w w:val="95"/>
                </w:rPr>
                <w:t>Certifications of Principal Executive Officer and Principal</w:t>
              </w:r>
            </w:hyperlink>
          </w:p>
        </w:tc>
      </w:tr>
      <w:tr>
        <w:trPr>
          <w:trHeight w:val="196"/>
        </w:trPr>
        <w:tc>
          <w:tcPr>
            <w:tcW w:w="1280" w:type="dxa"/>
            <w:vAlign w:val="bottom"/>
          </w:tcPr>
          <w:p>
            <w:pPr>
              <w:spacing w:after="0"/>
              <w:rPr>
                <w:sz w:val="17"/>
                <w:szCs w:val="17"/>
                <w:color w:val="auto"/>
              </w:rPr>
            </w:pPr>
          </w:p>
        </w:tc>
        <w:tc>
          <w:tcPr>
            <w:tcW w:w="40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53">
              <w:r>
                <w:rPr>
                  <w:rFonts w:ascii="Arial" w:cs="Arial" w:eastAsia="Arial" w:hAnsi="Arial"/>
                  <w:sz w:val="18"/>
                  <w:szCs w:val="18"/>
                  <w:color w:val="0000FF"/>
                  <w:w w:val="90"/>
                </w:rPr>
                <w:t>Financial Officer pursuant to 18 U.S.C. Section 1350, as</w:t>
              </w:r>
            </w:hyperlink>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28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adopted pursuant to Section 906 of the Sarbanes-Oxley Act</w:t>
              </w:r>
            </w:hyperlink>
          </w:p>
        </w:tc>
      </w:tr>
      <w:tr>
        <w:trPr>
          <w:trHeight w:val="196"/>
        </w:trPr>
        <w:tc>
          <w:tcPr>
            <w:tcW w:w="1280" w:type="dxa"/>
            <w:vAlign w:val="bottom"/>
          </w:tcPr>
          <w:p>
            <w:pPr>
              <w:spacing w:after="0"/>
              <w:rPr>
                <w:sz w:val="17"/>
                <w:szCs w:val="17"/>
                <w:color w:val="auto"/>
              </w:rPr>
            </w:pPr>
          </w:p>
        </w:tc>
        <w:tc>
          <w:tcPr>
            <w:tcW w:w="4280" w:type="dxa"/>
            <w:vAlign w:val="bottom"/>
            <w:gridSpan w:val="4"/>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of 2002</w:t>
              </w:r>
            </w:hyperlink>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r>
      <w:tr>
        <w:trPr>
          <w:trHeight w:val="276"/>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4280" w:type="dxa"/>
            <w:vAlign w:val="bottom"/>
            <w:gridSpan w:val="4"/>
          </w:tcPr>
          <w:p>
            <w:pPr>
              <w:spacing w:after="0"/>
              <w:rPr>
                <w:sz w:val="20"/>
                <w:szCs w:val="20"/>
                <w:color w:val="auto"/>
              </w:rPr>
            </w:pPr>
            <w:r>
              <w:rPr>
                <w:rFonts w:ascii="Arial" w:cs="Arial" w:eastAsia="Arial" w:hAnsi="Arial"/>
                <w:sz w:val="18"/>
                <w:szCs w:val="18"/>
                <w:color w:val="auto"/>
                <w:w w:val="99"/>
              </w:rPr>
              <w:t>Inline XBRL Instance Document - The XBRL Instance</w:t>
            </w:r>
          </w:p>
        </w:tc>
      </w:tr>
      <w:tr>
        <w:trPr>
          <w:trHeight w:val="216"/>
        </w:trPr>
        <w:tc>
          <w:tcPr>
            <w:tcW w:w="128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w w:val="98"/>
              </w:rPr>
              <w:t>Document does not appear in the Interactive Data File</w:t>
            </w:r>
          </w:p>
        </w:tc>
      </w:tr>
      <w:tr>
        <w:trPr>
          <w:trHeight w:val="216"/>
        </w:trPr>
        <w:tc>
          <w:tcPr>
            <w:tcW w:w="128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w w:val="98"/>
              </w:rPr>
              <w:t>because its XBRL tags are embedded within the Inline</w:t>
            </w:r>
          </w:p>
        </w:tc>
      </w:tr>
      <w:tr>
        <w:trPr>
          <w:trHeight w:val="230"/>
        </w:trPr>
        <w:tc>
          <w:tcPr>
            <w:tcW w:w="1280" w:type="dxa"/>
            <w:vAlign w:val="bottom"/>
          </w:tcPr>
          <w:p>
            <w:pPr>
              <w:spacing w:after="0"/>
              <w:rPr>
                <w:sz w:val="20"/>
                <w:szCs w:val="20"/>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XBRL document</w:t>
            </w:r>
          </w:p>
        </w:tc>
      </w:tr>
    </w:tbl>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ectPr>
          <w:pgSz w:w="11900" w:h="16838" w:orient="portrait"/>
          <w:cols w:equalWidth="0" w:num="2">
            <w:col w:w="9600" w:space="720"/>
            <w:col w:w="920"/>
          </w:cols>
          <w:pgMar w:left="320" w:top="1255" w:right="3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460" w:type="dxa"/>
            <w:vAlign w:val="bottom"/>
          </w:tcPr>
          <w:p>
            <w:pPr>
              <w:ind w:left="300"/>
              <w:spacing w:after="0"/>
              <w:rPr>
                <w:sz w:val="20"/>
                <w:szCs w:val="20"/>
                <w:color w:val="auto"/>
              </w:rPr>
            </w:pPr>
            <w:r>
              <w:rPr>
                <w:rFonts w:ascii="Arial" w:cs="Arial" w:eastAsia="Arial" w:hAnsi="Arial"/>
                <w:sz w:val="18"/>
                <w:szCs w:val="18"/>
                <w:color w:val="auto"/>
                <w:w w:val="97"/>
              </w:rPr>
              <w:t>Inline XBRL Taxonomy Extension Schema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460" w:type="dxa"/>
            <w:vAlign w:val="bottom"/>
          </w:tcPr>
          <w:p>
            <w:pPr>
              <w:ind w:left="30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460" w:type="dxa"/>
            <w:vAlign w:val="bottom"/>
          </w:tcPr>
          <w:p>
            <w:pPr>
              <w:ind w:left="300"/>
              <w:spacing w:after="0"/>
              <w:rPr>
                <w:sz w:val="20"/>
                <w:szCs w:val="20"/>
                <w:color w:val="auto"/>
              </w:rPr>
            </w:pPr>
            <w:r>
              <w:rPr>
                <w:rFonts w:ascii="Arial" w:cs="Arial" w:eastAsia="Arial" w:hAnsi="Arial"/>
                <w:sz w:val="18"/>
                <w:szCs w:val="18"/>
                <w:color w:val="auto"/>
                <w:w w:val="97"/>
              </w:rPr>
              <w:t>Inline XBRL Taxonomy Extension Definition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460" w:type="dxa"/>
            <w:vAlign w:val="bottom"/>
          </w:tcPr>
          <w:p>
            <w:pPr>
              <w:ind w:left="300"/>
              <w:spacing w:after="0"/>
              <w:rPr>
                <w:sz w:val="20"/>
                <w:szCs w:val="20"/>
                <w:color w:val="auto"/>
              </w:rPr>
            </w:pPr>
            <w:r>
              <w:rPr>
                <w:rFonts w:ascii="Arial" w:cs="Arial" w:eastAsia="Arial" w:hAnsi="Arial"/>
                <w:sz w:val="18"/>
                <w:szCs w:val="18"/>
                <w:color w:val="auto"/>
              </w:rPr>
              <w:t>Inline XBRL Taxonomy Label Linkbase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460" w:type="dxa"/>
            <w:vAlign w:val="bottom"/>
          </w:tcPr>
          <w:p>
            <w:pPr>
              <w:ind w:left="300"/>
              <w:spacing w:after="0"/>
              <w:rPr>
                <w:sz w:val="20"/>
                <w:szCs w:val="20"/>
                <w:color w:val="auto"/>
              </w:rPr>
            </w:pPr>
            <w:r>
              <w:rPr>
                <w:rFonts w:ascii="Arial" w:cs="Arial" w:eastAsia="Arial" w:hAnsi="Arial"/>
                <w:sz w:val="18"/>
                <w:szCs w:val="18"/>
                <w:color w:val="auto"/>
                <w:w w:val="91"/>
              </w:rPr>
              <w:t>Inline XBRL Taxonomy Extension Presentation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bl>
    <w:p>
      <w:pPr>
        <w:spacing w:after="0" w:line="40" w:lineRule="exact"/>
        <w:rPr>
          <w:sz w:val="20"/>
          <w:szCs w:val="20"/>
          <w:color w:val="auto"/>
        </w:rPr>
      </w:pPr>
    </w:p>
    <w:p>
      <w:pPr>
        <w:ind w:left="1300" w:right="4000" w:hanging="1274"/>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97" w:lineRule="exact"/>
        <w:rPr>
          <w:sz w:val="20"/>
          <w:szCs w:val="20"/>
          <w:color w:val="auto"/>
        </w:rPr>
      </w:pPr>
    </w:p>
    <w:p>
      <w:pPr>
        <w:sectPr>
          <w:pgSz w:w="11900" w:h="16838" w:orient="portrait"/>
          <w:cols w:equalWidth="0" w:num="2">
            <w:col w:w="9660" w:space="720"/>
            <w:col w:w="860"/>
          </w:cols>
          <w:pgMar w:left="320" w:top="1255" w:right="339" w:bottom="1440" w:gutter="0" w:footer="0" w:header="0"/>
          <w:type w:val="continuous"/>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SOTERA HEALTH COMPANY</w:t>
      </w:r>
    </w:p>
    <w:p>
      <w:pPr>
        <w:spacing w:after="0" w:line="320"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Michael F. Biehl</w:t>
            </w:r>
          </w:p>
        </w:tc>
      </w:tr>
      <w:tr>
        <w:trPr>
          <w:trHeight w:val="27"/>
        </w:trPr>
        <w:tc>
          <w:tcPr>
            <w:tcW w:w="7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320" w:type="dxa"/>
            <w:vAlign w:val="bottom"/>
          </w:tcPr>
          <w:p>
            <w:pPr>
              <w:ind w:left="20"/>
              <w:spacing w:after="0"/>
              <w:rPr>
                <w:sz w:val="20"/>
                <w:szCs w:val="20"/>
                <w:color w:val="auto"/>
              </w:rPr>
            </w:pPr>
            <w:r>
              <w:rPr>
                <w:rFonts w:ascii="Arial" w:cs="Arial" w:eastAsia="Arial" w:hAnsi="Arial"/>
                <w:sz w:val="18"/>
                <w:szCs w:val="18"/>
                <w:color w:val="auto"/>
              </w:rPr>
              <w:t>Michael F. Biehl</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270"/>
        </w:trPr>
        <w:tc>
          <w:tcPr>
            <w:tcW w:w="760" w:type="dxa"/>
            <w:vAlign w:val="bottom"/>
          </w:tcPr>
          <w:p>
            <w:pPr>
              <w:spacing w:after="0"/>
              <w:rPr>
                <w:sz w:val="23"/>
                <w:szCs w:val="23"/>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B. Petras, Jr.,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Sotera Health Company;</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4, 2022</w:t>
      </w: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8173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Michael B. Petras, Jr.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F. Biehl,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Sotera Health Company;</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4, 2022</w:t>
      </w:r>
    </w:p>
    <w:p>
      <w:pPr>
        <w:spacing w:after="0" w:line="21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8173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Michael F. Biehl</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Interim Chief Financial Officer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5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Sotera Health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do hereby certify, to each such officer’s knowledge, that the Company’s Quarterly Report on Form 10-Q for the quarter ended June 30, 2022 fully complies with the requirements of Section 13(a) or 15(d) of the Securities Exchange Act of 1934 and information contained in the Form 10-Q fairly presents, in all material respects, the financial condition and results of operations of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August 4, 2022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August 4,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B. Petras,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B. Petras, Jr.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Chairman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F. Biehl</w:t>
      </w:r>
    </w:p>
    <w:p>
      <w:pPr>
        <w:spacing w:after="0" w:line="216" w:lineRule="auto"/>
        <w:rPr>
          <w:sz w:val="20"/>
          <w:szCs w:val="20"/>
          <w:color w:val="auto"/>
        </w:rPr>
      </w:pPr>
      <w:r>
        <w:rPr>
          <w:rFonts w:ascii="Arial" w:cs="Arial" w:eastAsia="Arial" w:hAnsi="Arial"/>
          <w:sz w:val="18"/>
          <w:szCs w:val="18"/>
          <w:color w:val="auto"/>
        </w:rPr>
        <w:t>Michael F. Biehl</w:t>
      </w:r>
    </w:p>
    <w:p>
      <w:pPr>
        <w:spacing w:after="0" w:line="204" w:lineRule="auto"/>
        <w:rPr>
          <w:sz w:val="20"/>
          <w:szCs w:val="20"/>
          <w:color w:val="auto"/>
        </w:rPr>
      </w:pPr>
      <w:r>
        <w:rPr>
          <w:rFonts w:ascii="Arial" w:cs="Arial" w:eastAsia="Arial" w:hAnsi="Arial"/>
          <w:sz w:val="18"/>
          <w:szCs w:val="18"/>
          <w:color w:val="auto"/>
        </w:rPr>
        <w:t>Title: Interim Chief Financial Officer</w:t>
      </w: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196" w:lineRule="exact"/>
        <w:rPr>
          <w:sz w:val="20"/>
          <w:szCs w:val="20"/>
          <w:color w:val="auto"/>
        </w:rPr>
      </w:pPr>
    </w:p>
    <w:p>
      <w:pPr>
        <w:sectPr>
          <w:pgSz w:w="11900" w:h="16838" w:orient="portrait"/>
          <w:cols w:equalWidth="0" w:num="2">
            <w:col w:w="4800" w:space="720"/>
            <w:col w:w="5720"/>
          </w:cols>
          <w:pgMar w:left="320" w:top="121" w:right="339" w:bottom="1440" w:gutter="0" w:footer="0" w:header="0"/>
          <w:type w:val="continuous"/>
        </w:sectPr>
      </w:pPr>
    </w:p>
    <w:p>
      <w:pPr>
        <w:ind w:right="260"/>
        <w:spacing w:after="0" w:line="259" w:lineRule="auto"/>
        <w:rPr>
          <w:sz w:val="20"/>
          <w:szCs w:val="20"/>
          <w:color w:val="auto"/>
        </w:rPr>
      </w:pPr>
      <w:r>
        <w:rPr>
          <w:rFonts w:ascii="Arial" w:cs="Arial" w:eastAsia="Arial" w:hAnsi="Arial"/>
          <w:sz w:val="18"/>
          <w:szCs w:val="18"/>
          <w:color w:val="auto"/>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1."/>
      <w:numFmt w:val="decimal"/>
      <w:start w:val="3"/>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1."/>
      <w:numFmt w:val="decimal"/>
      <w:start w:val="5"/>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2"/>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6"/>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4"/>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lvl w:ilvl="1">
      <w:lvlJc w:val="left"/>
      <w:lvlText w:val="%2"/>
      <w:numFmt w:val="decimal"/>
      <w:start w:val="104"/>
    </w:lvl>
  </w:abstractNum>
  <w:abstractNum w:abstractNumId="30">
    <w:nsid w:val="6CEAF087"/>
    <w:multiLevelType w:val="hybridMultilevel"/>
    <w:lvl w:ilvl="0">
      <w:lvlJc w:val="left"/>
      <w:lvlText w:val="**"/>
      <w:numFmt w:val="bullet"/>
      <w:start w:val="1"/>
    </w:lvl>
    <w:lvl w:ilvl="1">
      <w:lvlJc w:val="left"/>
      <w:lvlText w:val="%2"/>
      <w:numFmt w:val="decimal"/>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2022-08-04T15:48:49Z</dcterms:created>
  <dcterms:modified xsi:type="dcterms:W3CDTF">2022-08-04T15:48:49Z</dcterms:modified>
</cp:coreProperties>
</file>