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2021</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001-39729</w:t>
      </w:r>
    </w:p>
    <w:p>
      <w:pPr>
        <w:pStyle w:val="TextBody"/>
        <w:spacing w:before="120" w:after="283"/>
        <w:jc w:val="center"/>
        <w:rPr/>
      </w:pPr>
      <w:r>
        <w:rPr/>
        <w:drawing>
          <wp:inline distT="0" distB="63500" distL="0" distR="0">
            <wp:extent cx="1905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95300"/>
                    </a:xfrm>
                    <a:prstGeom prst="rect">
                      <a:avLst/>
                    </a:prstGeom>
                  </pic:spPr>
                </pic:pic>
              </a:graphicData>
            </a:graphic>
          </wp:inline>
        </w:drawing>
      </w:r>
    </w:p>
    <w:p>
      <w:pPr>
        <w:pStyle w:val="TextBody"/>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SOTERA HEALTH COMPANY</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59" w:type="dxa"/>
        <w:jc w:val="left"/>
        <w:tblInd w:w="0" w:type="dxa"/>
        <w:tblCellMar>
          <w:top w:w="28" w:type="dxa"/>
          <w:left w:w="28" w:type="dxa"/>
          <w:bottom w:w="28" w:type="dxa"/>
          <w:right w:w="28" w:type="dxa"/>
        </w:tblCellMar>
      </w:tblPr>
      <w:tblGrid>
        <w:gridCol w:w="1560"/>
        <w:gridCol w:w="1374"/>
        <w:gridCol w:w="1386"/>
        <w:gridCol w:w="109"/>
        <w:gridCol w:w="109"/>
        <w:gridCol w:w="109"/>
        <w:gridCol w:w="286"/>
        <w:gridCol w:w="286"/>
        <w:gridCol w:w="286"/>
        <w:gridCol w:w="286"/>
        <w:gridCol w:w="286"/>
        <w:gridCol w:w="286"/>
        <w:gridCol w:w="286"/>
        <w:gridCol w:w="286"/>
        <w:gridCol w:w="424"/>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47-3531161</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9100 South Hills Blvd, Suite 300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Broadview Heights, Ohio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44147</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(440)</w:t>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262-1410</w:t>
            </w:r>
          </w:p>
        </w:tc>
      </w:tr>
    </w:tbl>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82" w:type="dxa"/>
        <w:jc w:val="left"/>
        <w:tblInd w:w="0" w:type="dxa"/>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SHC</w:t>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spacing w:lineRule="auto" w:line="288" w:before="200" w:after="283"/>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spacing w:lineRule="auto" w:line="288" w:before="20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bl>
    <w:p>
      <w:pPr>
        <w:pStyle w:val="TextBody"/>
        <w:spacing w:lineRule="auto" w:line="288" w:before="20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200" w:after="283"/>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As of August 5, 2021, there were 282,916,909 shares of the registrant’s common stock, $0.01 par value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TABLE OF CONTENTS -</w:t>
      </w:r>
    </w:p>
    <w:tbl>
      <w:tblPr>
        <w:tblW w:w="8351" w:type="dxa"/>
        <w:jc w:val="left"/>
        <w:tblInd w:w="0" w:type="dxa"/>
        <w:tblCellMar>
          <w:top w:w="28" w:type="dxa"/>
          <w:left w:w="28" w:type="dxa"/>
          <w:bottom w:w="28" w:type="dxa"/>
          <w:right w:w="28" w:type="dxa"/>
        </w:tblCellMar>
      </w:tblPr>
      <w:tblGrid>
        <w:gridCol w:w="2891"/>
        <w:gridCol w:w="2539"/>
        <w:gridCol w:w="2549"/>
        <w:gridCol w:w="109"/>
        <w:gridCol w:w="109"/>
        <w:gridCol w:w="154"/>
      </w:tblGrid>
      <w:tr>
        <w:trPr/>
        <w:tc>
          <w:tcPr>
            <w:tcW w:w="2891"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3">
              <w:r>
                <w:rPr>
                  <w:rStyle w:val="InternetLink"/>
                  <w:rFonts w:ascii="Times New Roman;sans-serif" w:hAnsi="Times New Roman;sans-serif"/>
                  <w:b/>
                  <w:color w:val="0000FF"/>
                  <w:sz w:val="20"/>
                  <w:u w:val="single"/>
                </w:rPr>
                <w:t>Part I—FINANCIAL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3">
              <w:r>
                <w:rPr>
                  <w:rStyle w:val="InternetLink"/>
                  <w:rFonts w:ascii="Times New Roman;sans-serif" w:hAnsi="Times New Roman;sans-serif"/>
                  <w:b w:val="false"/>
                  <w:color w:val="0000FF"/>
                  <w:sz w:val="20"/>
                  <w:u w:val="singl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6">
              <w:r>
                <w:rPr>
                  <w:rStyle w:val="InternetLink"/>
                  <w:rFonts w:ascii="Times New Roman;sans-serif" w:hAnsi="Times New Roman;sans-serif"/>
                  <w:b w:val="false"/>
                  <w:color w:val="0000FF"/>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6">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91">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91">
              <w:r>
                <w:rPr>
                  <w:rStyle w:val="InternetLink"/>
                  <w:rFonts w:ascii="Times New Roman;sans-serif" w:hAnsi="Times New Roman;sans-serif"/>
                  <w:b w:val="false"/>
                  <w:color w:val="0000FF"/>
                  <w:sz w:val="20"/>
                  <w:u w:val="singl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18">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18">
              <w:r>
                <w:rPr>
                  <w:rStyle w:val="InternetLink"/>
                  <w:rFonts w:ascii="Times New Roman;sans-serif" w:hAnsi="Times New Roman;sans-serif"/>
                  <w:b w:val="false"/>
                  <w:color w:val="0000FF"/>
                  <w:sz w:val="20"/>
                  <w:u w:val="single"/>
                </w:rPr>
                <w:t>48</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21">
              <w:r>
                <w:rPr>
                  <w:rStyle w:val="InternetLink"/>
                  <w:rFonts w:ascii="Times New Roman;sans-serif" w:hAnsi="Times New Roman;sans-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21">
              <w:r>
                <w:rPr>
                  <w:rStyle w:val="InternetLink"/>
                  <w:rFonts w:ascii="Times New Roman;sans-serif" w:hAnsi="Times New Roman;sans-serif"/>
                  <w:b w:val="false"/>
                  <w:color w:val="0000FF"/>
                  <w:sz w:val="20"/>
                  <w:u w:val="single"/>
                </w:rPr>
                <w:t>48</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24">
              <w:r>
                <w:rPr>
                  <w:rStyle w:val="InternetLink"/>
                  <w:rFonts w:ascii="Times New Roman;sans-serif" w:hAnsi="Times New Roman;sans-serif"/>
                  <w:b/>
                  <w:color w:val="0000FF"/>
                  <w:sz w:val="20"/>
                  <w:u w:val="single"/>
                </w:rPr>
                <w:t>Part II—OTHER INFORMATION</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24">
              <w:r>
                <w:rPr>
                  <w:rStyle w:val="InternetLink"/>
                  <w:rFonts w:ascii="Times New Roman;sans-serif" w:hAnsi="Times New Roman;sans-serif"/>
                  <w:b w:val="false"/>
                  <w:color w:val="0000FF"/>
                  <w:sz w:val="20"/>
                  <w:u w:val="single"/>
                </w:rPr>
                <w:t>49</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27">
              <w:r>
                <w:rPr>
                  <w:rStyle w:val="InternetLink"/>
                  <w:rFonts w:ascii="Times New Roman;sans-serif" w:hAnsi="Times New Roman;sans-serif"/>
                  <w:b w:val="false"/>
                  <w:color w:val="0000FF"/>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27">
              <w:r>
                <w:rPr>
                  <w:rStyle w:val="InternetLink"/>
                  <w:rFonts w:ascii="Times New Roman;sans-serif" w:hAnsi="Times New Roman;sans-serif"/>
                  <w:b w:val="false"/>
                  <w:color w:val="0000FF"/>
                  <w:sz w:val="20"/>
                  <w:u w:val="single"/>
                </w:rPr>
                <w:t>49</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30">
              <w:r>
                <w:rPr>
                  <w:rStyle w:val="InternetLink"/>
                  <w:rFonts w:ascii="Times New Roman;sans-serif" w:hAnsi="Times New Roman;sans-serif"/>
                  <w:b w:val="false"/>
                  <w:color w:val="0000FF"/>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30">
              <w:r>
                <w:rPr>
                  <w:rStyle w:val="InternetLink"/>
                  <w:rFonts w:ascii="Times New Roman;sans-serif" w:hAnsi="Times New Roman;sans-serif"/>
                  <w:b w:val="false"/>
                  <w:color w:val="0000FF"/>
                  <w:sz w:val="20"/>
                  <w:u w:val="single"/>
                </w:rPr>
                <w:t>50</w:t>
              </w:r>
            </w:hyperlink>
          </w:p>
        </w:tc>
      </w:tr>
      <w:tr>
        <w:trPr/>
        <w:tc>
          <w:tcPr>
            <w:tcW w:w="79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33">
              <w:r>
                <w:rPr>
                  <w:rStyle w:val="InternetLink"/>
                  <w:rFonts w:ascii="Times New Roman;sans-serif" w:hAnsi="Times New Roman;sans-serif"/>
                  <w:b w:val="false"/>
                  <w:color w:val="0000FF"/>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33">
              <w:r>
                <w:rPr>
                  <w:rStyle w:val="InternetLink"/>
                  <w:rFonts w:ascii="Times New Roman;sans-serif" w:hAnsi="Times New Roman;sans-serif"/>
                  <w:b w:val="false"/>
                  <w:color w:val="0000FF"/>
                  <w:sz w:val="20"/>
                  <w:u w:val="single"/>
                </w:rPr>
                <w:t>51</w:t>
              </w:r>
            </w:hyperlink>
          </w:p>
        </w:tc>
      </w:tr>
      <w:tr>
        <w:trPr/>
        <w:tc>
          <w:tcPr>
            <w:tcW w:w="79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9f10cb813314ea8b7b3770130c94f32_136">
              <w:r>
                <w:rPr>
                  <w:rStyle w:val="InternetLink"/>
                  <w:rFonts w:ascii="Times New Roman;sans-serif" w:hAnsi="Times New Roman;sans-serif"/>
                  <w:b/>
                  <w:color w:val="0000FF"/>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29f10cb813314ea8b7b3770130c94f32_136">
              <w:r>
                <w:rPr>
                  <w:rStyle w:val="InternetLink"/>
                  <w:rFonts w:ascii="Times New Roman;sans-serif" w:hAnsi="Times New Roman;sans-serif"/>
                  <w:b w:val="false"/>
                  <w:color w:val="0000FF"/>
                  <w:sz w:val="20"/>
                  <w:u w:val="single"/>
                </w:rPr>
                <w:t>52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disruption in the availability of, or increases in the price of, ethylene oxide (“EO”), cobalt-60 (“Co-60”) or our other direct materials, services and supplies, including as a result of current geopolitical instability arising from U.S. relations with Russia and related sanctions;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changes in industry trends;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changes in environmental, health and safety regulations;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accidents resulting from the safety risks associated with the use and disposal of potentially hazardous materials such as EO and Co-60;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accidents resulting from the safety risks associated with the transportation of potentially hazardous materials such as EO and Co-60;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liability claims relating to health risks associated with the use of EO and Co-60;</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current and future legal proceedings;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intensity of competition we face;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market changes that impact our long-term supply contracts with variable price clauses;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allegations of our failure to properly perform our services and any potential product liability claims, recalls, penalties and reputational harm;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regulatory requirements to which we are subject, and any failures to receive or maintain, or delays in receiving, required clearance or approvals;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business continuity hazards and other risks associated with our operations, including our reliance on the use and sale of products and services from a single location;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COVID-19 pandemic;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increase capacity at existing facilities and build new facilities in a timely and cost-effective manner;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renew the long-term leases for our facilities at the end of their terms;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risks of doing business internationally;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instability in global and regional economic and political conditions;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retain key personnel and attract talent;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significant regulatory oversight to which our import and export operations are subject, and any failure to comply with applicable regulations;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cyber security breaches and data leaks as a result of our dependence on information technology systems;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risks of pursuing strategic transactions, including acquisitions, and our ability to find suitable acquisition targets or integrate strategic acquisitions successfully into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maintain effective internal controls over financial reporting;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 that we infringe or misappropriate their intellectual property rights;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data privacy and security laws and regulations to which we are subject, and any ineffective compliance efforts with such laws and regulations;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maintain profitability in the future;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impairment charges on our goodwill and other intangible assets with indefinite lives;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unionization efforts and labor regulations in certain countries in which we operate;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variety of laws involving the cannabis industry to which we are subject, and any failure to comply with those laws;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risk of government or private civil antitrust actions;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changes to our tax positions in U.S. or non-U.S. jurisdictions, the interpretation and application of recent U.S. tax legislation or other changes in U.S. or non-U.S. taxation of our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substantial leverage could adversely affect our ability to raise additional capital, limit our ability to react to changes in the economy or our industry and prevent us from meeting our obligations under our existing and future indebtedness;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generate sufficient cash flows or access sufficient additional capital to meet our debt obligations or to fund our other liquidity needs.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2020 (the “2020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Unless expressly indicated or the context requires otherwise, the terms “Sotera Health,” “Company,” “we,” “us,” and “our” in this document refer to Sotera Health Company, a Delaware corporation, and, where appropriate, its subsidiaries on a consolidated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86"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0205" w:type="dxa"/>
        <w:jc w:val="left"/>
        <w:tblInd w:w="0" w:type="dxa"/>
        <w:tblCellMar>
          <w:top w:w="28" w:type="dxa"/>
          <w:left w:w="28" w:type="dxa"/>
          <w:bottom w:w="28" w:type="dxa"/>
          <w:right w:w="28" w:type="dxa"/>
        </w:tblCellMar>
      </w:tblPr>
      <w:tblGrid>
        <w:gridCol w:w="2694"/>
        <w:gridCol w:w="2273"/>
        <w:gridCol w:w="2277"/>
        <w:gridCol w:w="196"/>
        <w:gridCol w:w="886"/>
        <w:gridCol w:w="109"/>
        <w:gridCol w:w="109"/>
        <w:gridCol w:w="109"/>
        <w:gridCol w:w="109"/>
        <w:gridCol w:w="231"/>
        <w:gridCol w:w="1028"/>
        <w:gridCol w:w="184"/>
      </w:tblGrid>
      <w:tr>
        <w:trPr/>
        <w:tc>
          <w:tcPr>
            <w:tcW w:w="2694"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i/>
                <w:color w:val="000000"/>
                <w:sz w:val="16"/>
              </w:rPr>
            </w:pPr>
            <w:r>
              <w:rPr>
                <w:rFonts w:ascii="Times New Roman;sans-serif" w:hAnsi="Times New Roman;sans-serif"/>
                <w:b/>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156,217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short-term</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uncollectible accounts of $730 and $708, respectively</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118,405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91,735 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35,721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67,942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64,964 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22,813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401,105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623,513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609,814 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45,147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45,963 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8,194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affiliate</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9,373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13,457 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8,834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640,787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643,366 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1,114,176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1,115,936 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2,851,129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2,761,279 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63,147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57,165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60,518 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5,539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10,106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asset retirement obligations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11,072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148,792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1,838,133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1,824,789 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less current portion</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33,446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34,939 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less current portion</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37,354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 retirement obligations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46,408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lease income</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21,550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obligations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45,638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48,223 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Mandatorily redeemable noncontrolling interest</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18,905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17,506 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137,632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121,816 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2,327,858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2,306,705 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Commitments and contingencies note</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 $0.01 par value, 1,200,000 shares authorized; 286,037 shares issued at June 30, 2021 and 285,990 at December 31, 2020</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stock, with $0.01 par value, 120,000 authorized; no shares issued at June 30, 2021 and </w:t>
            </w:r>
          </w:p>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December 31, 2020, respectively</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(3,120 and 2,742 shares at June 30, 2021 and December 31, 2020, respectively)</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(34,000)</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1,167,566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1,166,412 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deficit</w:t>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(535,687)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(589,128)</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(77,468)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(93,842)</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 attributable to Sotera Health Company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523,271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452,302 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523,271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454,574 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2,851,129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2,761,279 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86"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(Loss)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left"/>
        <w:tblInd w:w="0" w:type="dxa"/>
        <w:tblCellMar>
          <w:top w:w="28" w:type="dxa"/>
          <w:left w:w="28" w:type="dxa"/>
          <w:bottom w:w="28" w:type="dxa"/>
          <w:right w:w="28" w:type="dxa"/>
        </w:tblCellMar>
      </w:tblPr>
      <w:tblGrid>
        <w:gridCol w:w="1914"/>
        <w:gridCol w:w="1528"/>
        <w:gridCol w:w="1542"/>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5"/>
      </w:tblGrid>
      <w:tr>
        <w:trPr/>
        <w:tc>
          <w:tcPr>
            <w:tcW w:w="1914"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1"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247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98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2797" w:type="dxa"/>
            <w:gridSpan w:val="12"/>
            <w:tcBorders/>
            <w:shd w:fill="auto" w:val="clea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208,710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397,408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43,207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66,657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251,917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464,065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91,391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176,427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16,765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28,505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108,156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204,932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143,761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259,133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49,828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102,293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15,661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32,204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65,489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134,497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78,272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124,636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19,163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14,312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loss (gain)</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(2,764)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(6,654)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61,797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75,879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19,182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22,199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Less: 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Sotera Health Company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42,599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 income net of tax:</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benefits (net of taxes of $(142), $(326), $(226), and $418, respectively)</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(net of taxes of $0, $520, $0 and $(724), respectively)</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20,425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17,339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(48,527)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62,619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70,349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Sotera Health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62,293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69,815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(44,247)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0.19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shares outstanding:</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279,078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278,953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279,214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279,078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i/>
          <w:color w:val="000000"/>
          <w:sz w:val="18"/>
        </w:rPr>
        <w:t>See notes to consolidated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86"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9354" w:type="dxa"/>
        <w:jc w:val="left"/>
        <w:tblInd w:w="0" w:type="dxa"/>
        <w:tblCellMar>
          <w:top w:w="28" w:type="dxa"/>
          <w:left w:w="28" w:type="dxa"/>
          <w:bottom w:w="28" w:type="dxa"/>
          <w:right w:w="28" w:type="dxa"/>
        </w:tblCellMar>
      </w:tblPr>
      <w:tblGrid>
        <w:gridCol w:w="2490"/>
        <w:gridCol w:w="2189"/>
        <w:gridCol w:w="2206"/>
        <w:gridCol w:w="196"/>
        <w:gridCol w:w="751"/>
        <w:gridCol w:w="109"/>
        <w:gridCol w:w="109"/>
        <w:gridCol w:w="109"/>
        <w:gridCol w:w="109"/>
        <w:gridCol w:w="196"/>
        <w:gridCol w:w="736"/>
        <w:gridCol w:w="154"/>
      </w:tblGrid>
      <w:tr>
        <w:trPr/>
        <w:tc>
          <w:tcPr>
            <w:tcW w:w="2490"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53,680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31,062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44,060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14,312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3,504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6,942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losses / (gains)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1,097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 loss on embedded derivative instruments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(1,614)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3,245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(25,754)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983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15,080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 receivable</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(3,998)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134,256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(44,789)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mandatorily redeemable noncontrolling interest in Nelson Laboratories Fairfield, Inc.</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BioScience Laboratories, LLC, net of cash acquired</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(13,760)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credit facility</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interests in China subsidiaries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long-term borrowings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2,578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and cash equivalents, including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53,770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102,454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156,224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36,615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 net of tax refunds received</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22,785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Equipment purchases included in accounts payable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9,670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86"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1424" w:type="dxa"/>
        <w:jc w:val="left"/>
        <w:tblInd w:w="0" w:type="dxa"/>
        <w:tblCellMar>
          <w:top w:w="28" w:type="dxa"/>
          <w:left w:w="28" w:type="dxa"/>
          <w:bottom w:w="28" w:type="dxa"/>
          <w:right w:w="28" w:type="dxa"/>
        </w:tblCellMar>
      </w:tblPr>
      <w:tblGrid>
        <w:gridCol w:w="760"/>
        <w:gridCol w:w="220"/>
        <w:gridCol w:w="221"/>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3"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2021</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Noncontrolling</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2021</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282,900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1,169,852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(578,286)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(97,162)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2,480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465,744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interests</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(8,578)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w:t>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1,080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2,406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20,425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42,615</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2021</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282,917</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1,167,566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(535,687)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523,271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1424" w:type="dxa"/>
        <w:jc w:val="left"/>
        <w:tblInd w:w="0" w:type="dxa"/>
        <w:tblCellMar>
          <w:top w:w="28" w:type="dxa"/>
          <w:left w:w="28" w:type="dxa"/>
          <w:bottom w:w="28" w:type="dxa"/>
          <w:right w:w="28" w:type="dxa"/>
        </w:tblCellMar>
      </w:tblPr>
      <w:tblGrid>
        <w:gridCol w:w="664"/>
        <w:gridCol w:w="268"/>
        <w:gridCol w:w="269"/>
        <w:gridCol w:w="375"/>
        <w:gridCol w:w="376"/>
        <w:gridCol w:w="151"/>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54"/>
      </w:tblGrid>
      <w:tr>
        <w:trPr/>
        <w:tc>
          <w:tcPr>
            <w:tcW w:w="6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3" w:type="dxa"/>
            <w:gridSpan w:val="4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2021</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53" w:after="30"/>
              <w:jc w:val="center"/>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Noncontrolling</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w:t>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Treasury</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2020</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283,248</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1,166,412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(589,128)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(93,842)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2,272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454,574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interests</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(8,578)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w:t>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1,080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5,846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17,339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53,680</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2021</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282,917</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1,167,566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(535,687)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6"/>
              </w:rPr>
              <w:t>523,271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86"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Equity (Deficit) (continued) </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left"/>
        <w:tblInd w:w="0" w:type="dxa"/>
        <w:tblCellMar>
          <w:top w:w="28" w:type="dxa"/>
          <w:left w:w="28" w:type="dxa"/>
          <w:bottom w:w="28" w:type="dxa"/>
          <w:right w:w="28" w:type="dxa"/>
        </w:tblCellMar>
      </w:tblPr>
      <w:tblGrid>
        <w:gridCol w:w="790"/>
        <w:gridCol w:w="266"/>
        <w:gridCol w:w="267"/>
        <w:gridCol w:w="368"/>
        <w:gridCol w:w="368"/>
        <w:gridCol w:w="151"/>
        <w:gridCol w:w="109"/>
        <w:gridCol w:w="109"/>
        <w:gridCol w:w="109"/>
        <w:gridCol w:w="196"/>
        <w:gridCol w:w="556"/>
        <w:gridCol w:w="109"/>
        <w:gridCol w:w="109"/>
        <w:gridCol w:w="109"/>
        <w:gridCol w:w="109"/>
        <w:gridCol w:w="109"/>
        <w:gridCol w:w="109"/>
        <w:gridCol w:w="196"/>
        <w:gridCol w:w="556"/>
        <w:gridCol w:w="109"/>
        <w:gridCol w:w="109"/>
        <w:gridCol w:w="109"/>
        <w:gridCol w:w="109"/>
        <w:gridCol w:w="196"/>
        <w:gridCol w:w="753"/>
        <w:gridCol w:w="109"/>
        <w:gridCol w:w="109"/>
        <w:gridCol w:w="109"/>
        <w:gridCol w:w="109"/>
        <w:gridCol w:w="196"/>
        <w:gridCol w:w="753"/>
        <w:gridCol w:w="109"/>
        <w:gridCol w:w="109"/>
        <w:gridCol w:w="109"/>
        <w:gridCol w:w="109"/>
        <w:gridCol w:w="198"/>
        <w:gridCol w:w="562"/>
        <w:gridCol w:w="111"/>
        <w:gridCol w:w="109"/>
        <w:gridCol w:w="109"/>
        <w:gridCol w:w="109"/>
        <w:gridCol w:w="196"/>
        <w:gridCol w:w="753"/>
        <w:gridCol w:w="157"/>
      </w:tblGrid>
      <w:tr>
        <w:trPr/>
        <w:tc>
          <w:tcPr>
            <w:tcW w:w="79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9" w:type="dxa"/>
            <w:gridSpan w:val="3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2020</w:t>
            </w:r>
          </w:p>
        </w:tc>
        <w:tc>
          <w:tcPr>
            <w:tcW w:w="1433" w:type="dxa"/>
            <w:gridSpan w:val="6"/>
            <w:tcBorders/>
            <w:shd w:fill="auto" w:val="clear"/>
          </w:tcPr>
          <w:p>
            <w:pPr>
              <w:pStyle w:val="TableContents"/>
              <w:spacing w:before="0" w:after="283"/>
              <w:rPr>
                <w:sz w:val="4"/>
                <w:szCs w:val="4"/>
              </w:rPr>
            </w:pPr>
            <w:r>
              <w:rPr>
                <w:sz w:val="4"/>
                <w:szCs w:val="4"/>
              </w:rPr>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Noncontrolling</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 (Deficit)</w:t>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(715,632)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2020</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(682,050)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698"/>
        <w:gridCol w:w="312"/>
        <w:gridCol w:w="313"/>
        <w:gridCol w:w="368"/>
        <w:gridCol w:w="368"/>
        <w:gridCol w:w="151"/>
        <w:gridCol w:w="109"/>
        <w:gridCol w:w="109"/>
        <w:gridCol w:w="109"/>
        <w:gridCol w:w="196"/>
        <w:gridCol w:w="556"/>
        <w:gridCol w:w="109"/>
        <w:gridCol w:w="109"/>
        <w:gridCol w:w="109"/>
        <w:gridCol w:w="109"/>
        <w:gridCol w:w="109"/>
        <w:gridCol w:w="109"/>
        <w:gridCol w:w="196"/>
        <w:gridCol w:w="556"/>
        <w:gridCol w:w="109"/>
        <w:gridCol w:w="109"/>
        <w:gridCol w:w="109"/>
        <w:gridCol w:w="109"/>
        <w:gridCol w:w="196"/>
        <w:gridCol w:w="753"/>
        <w:gridCol w:w="109"/>
        <w:gridCol w:w="109"/>
        <w:gridCol w:w="109"/>
        <w:gridCol w:w="109"/>
        <w:gridCol w:w="196"/>
        <w:gridCol w:w="753"/>
        <w:gridCol w:w="109"/>
        <w:gridCol w:w="109"/>
        <w:gridCol w:w="109"/>
        <w:gridCol w:w="109"/>
        <w:gridCol w:w="198"/>
        <w:gridCol w:w="562"/>
        <w:gridCol w:w="111"/>
        <w:gridCol w:w="109"/>
        <w:gridCol w:w="109"/>
        <w:gridCol w:w="109"/>
        <w:gridCol w:w="196"/>
        <w:gridCol w:w="753"/>
        <w:gridCol w:w="157"/>
      </w:tblGrid>
      <w:tr>
        <w:trPr/>
        <w:tc>
          <w:tcPr>
            <w:tcW w:w="69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9" w:type="dxa"/>
            <w:gridSpan w:val="3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2020</w:t>
            </w:r>
          </w:p>
        </w:tc>
        <w:tc>
          <w:tcPr>
            <w:tcW w:w="1433" w:type="dxa"/>
            <w:gridSpan w:val="6"/>
            <w:tcBorders/>
            <w:shd w:fill="auto" w:val="clear"/>
          </w:tcPr>
          <w:p>
            <w:pPr>
              <w:pStyle w:val="TableContents"/>
              <w:spacing w:before="0" w:after="283"/>
              <w:rPr>
                <w:sz w:val="4"/>
                <w:szCs w:val="4"/>
              </w:rPr>
            </w:pPr>
            <w:r>
              <w:rPr>
                <w:sz w:val="4"/>
                <w:szCs w:val="4"/>
              </w:rPr>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Additional</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Paid-In</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Retained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Earnings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Accumulated</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Other</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Comprehensive</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Noncontrolling</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Interests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center"/>
              <w:rPr>
                <w:rFonts w:ascii="Times New Roman;sans-serif" w:hAnsi="Times New Roman;sans-serif"/>
                <w:b/>
                <w:color w:val="000000"/>
                <w:sz w:val="12"/>
              </w:rPr>
            </w:pPr>
            <w:r>
              <w:rPr>
                <w:rFonts w:ascii="Times New Roman;sans-serif" w:hAnsi="Times New Roman;sans-serif"/>
                <w:b/>
                <w:color w:val="000000"/>
                <w:sz w:val="12"/>
              </w:rPr>
              <w:t xml:space="preserve">Total </w:t>
            </w:r>
          </w:p>
          <w:p>
            <w:pPr>
              <w:pStyle w:val="TableContents"/>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Equity (Deficit)</w:t>
            </w:r>
          </w:p>
        </w:tc>
      </w:tr>
      <w:tr>
        <w:trPr/>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33" w:after="30"/>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2019</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(641,132)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(48,527)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w:t>
            </w:r>
          </w:p>
        </w:tc>
      </w:tr>
      <w:tr>
        <w:trPr/>
        <w:tc>
          <w:tcPr>
            <w:tcW w:w="132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2020</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232,400 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(682,050)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1.Basis of Presentation</w:t>
      </w:r>
    </w:p>
    <w:p>
      <w:pPr>
        <w:pStyle w:val="TextBody"/>
        <w:spacing w:lineRule="auto" w:line="288" w:before="120" w:after="283"/>
        <w:rPr/>
      </w:pPr>
      <w:r>
        <w:rPr>
          <w:rFonts w:ascii="Times New Roman;sans-serif" w:hAnsi="Times New Roman;sans-serif"/>
          <w:b w:val="false"/>
          <w:i/>
          <w:color w:val="000000"/>
          <w:sz w:val="20"/>
        </w:rPr>
        <w:t>Principles of Consolidation</w:t>
      </w:r>
      <w:r>
        <w:rPr>
          <w:color w:val="000000"/>
        </w:rPr>
        <w:t xml:space="preserve"> – </w:t>
      </w:r>
      <w:r>
        <w:rPr>
          <w:rFonts w:ascii="Times New Roman;sans-serif" w:hAnsi="Times New Roman;sans-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and report in three segments, Sterigenics, Nordion and Nelson Labs. We describe our reportable segments in Note 18, “Segment Information”. All significant intercompany balances and transactions have been eliminated in consolidation. </w:t>
      </w:r>
    </w:p>
    <w:p>
      <w:pPr>
        <w:pStyle w:val="TextBody"/>
        <w:spacing w:lineRule="auto" w:line="288" w:before="240" w:after="283"/>
        <w:rPr/>
      </w:pPr>
      <w:r>
        <w:rPr>
          <w:rFonts w:ascii="Times New Roman;sans-serif" w:hAnsi="Times New Roman;sans-serif"/>
          <w:b w:val="false"/>
          <w:color w:val="000000"/>
          <w:sz w:val="20"/>
        </w:rPr>
        <w:t>Noncontrolling interests represent the noncontrolling stockholders’ proportionate share of the total equity in the Company’s consolidated subsidiaries. We consolidate the results of operations of these subsidiaries with our results of operations. In the second quarter of 2021, we purchased the outstanding noncontrolling interests of 15% and 33% of our two China subsidiaries. Refer to Note 4, “Acquisitions”</w:t>
      </w:r>
      <w:r>
        <w:rPr>
          <w:color w:val="000000"/>
        </w:rPr>
        <w:t xml:space="preserve"> </w:t>
      </w:r>
      <w:r>
        <w:rPr>
          <w:rFonts w:ascii="Times New Roman;sans-serif" w:hAnsi="Times New Roman;sans-serif"/>
          <w:b w:val="false"/>
          <w:color w:val="000000"/>
          <w:sz w:val="20"/>
        </w:rPr>
        <w:t>for additional details. We reflect the noncontrolling interests in our two China subsidiaries for all periods presented prior to this purchase transaction on our Consolidated Statements of Operations and Comprehensive Income (Loss) as “Net income attributable to noncontrolling interests.”</w:t>
      </w:r>
    </w:p>
    <w:p>
      <w:pPr>
        <w:pStyle w:val="TextBody"/>
        <w:spacing w:lineRule="auto" w:line="288" w:before="240" w:after="283"/>
        <w:rPr/>
      </w:pPr>
      <w:r>
        <w:rPr>
          <w:rFonts w:ascii="Times New Roman;sans-serif" w:hAnsi="Times New Roman;sans-serif"/>
          <w:b w:val="false"/>
          <w:color w:val="000000"/>
          <w:sz w:val="20"/>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w:t>
      </w:r>
      <w:r>
        <w:rPr>
          <w:color w:val="000000"/>
        </w:rPr>
        <w:t xml:space="preserve"> </w:t>
      </w:r>
      <w:r>
        <w:rPr>
          <w:rFonts w:ascii="Times New Roman;sans-serif" w:hAnsi="Times New Roman;sans-serif"/>
          <w:b w:val="false"/>
          <w:color w:val="000000"/>
          <w:sz w:val="20"/>
        </w:rPr>
        <w:t>for additional details.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July 2020, we acquired a 60% equity ownership interest in a joint venture to construct an E-beam facility in Alberta, Canada in connection with our acquisition of Iotron Industries Canada, Inc. (“Iotron”). Refer to Note 4, “Acquisitions”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affiliates” on the Consolidated Balance Sheets.</w:t>
      </w:r>
    </w:p>
    <w:p>
      <w:pPr>
        <w:pStyle w:val="TextBody"/>
        <w:spacing w:lineRule="auto" w:line="288" w:before="240" w:after="283"/>
        <w:rPr/>
      </w:pPr>
      <w:r>
        <w:rPr>
          <w:rFonts w:ascii="Times New Roman;sans-serif" w:hAnsi="Times New Roman;sans-serif"/>
          <w:b w:val="false"/>
          <w:i/>
          <w:color w:val="000000"/>
          <w:sz w:val="20"/>
        </w:rPr>
        <w:t>Use of Estimates</w:t>
      </w:r>
      <w:r>
        <w:rPr>
          <w:color w:val="000000"/>
        </w:rPr>
        <w:t xml:space="preserve"> – </w:t>
      </w:r>
      <w:r>
        <w:rPr>
          <w:rFonts w:ascii="Times New Roman;sans-serif" w:hAnsi="Times New Roman;sans-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spacing w:lineRule="auto" w:line="288" w:before="240" w:after="283"/>
        <w:rPr/>
      </w:pPr>
      <w:r>
        <w:rPr>
          <w:rFonts w:ascii="Times New Roman;sans-serif" w:hAnsi="Times New Roman;sans-serif"/>
          <w:b w:val="false"/>
          <w:i/>
          <w:color w:val="000000"/>
          <w:sz w:val="20"/>
        </w:rPr>
        <w:t xml:space="preserve">Interim Financial Statements </w:t>
      </w:r>
      <w:r>
        <w:rPr>
          <w:color w:val="000000"/>
        </w:rPr>
        <w:t xml:space="preserve">– </w:t>
      </w:r>
      <w:r>
        <w:rPr>
          <w:rFonts w:ascii="Times New Roman;sans-serif" w:hAnsi="Times New Roman;sans-serif"/>
          <w:b w:val="false"/>
          <w:color w:val="000000"/>
          <w:sz w:val="20"/>
        </w:rPr>
        <w:t>The accompanying consolidated financial statements include the assets, liabilities, operating results, and cash flows of the 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2.Recent Accounting Standards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ASUs Issued But Not Yet Adopted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pPr>
      <w:r>
        <w:rPr>
          <w:rFonts w:ascii="Times New Roman;sans-serif" w:hAnsi="Times New Roman;sans-serif"/>
          <w:b w:val="false"/>
          <w:color w:val="000000"/>
          <w:sz w:val="20"/>
        </w:rPr>
        <w:t xml:space="preserve">In June 2016, the Financial Accounting Standards Board (“FASB”) issued </w:t>
      </w:r>
      <w:r>
        <w:rPr>
          <w:rFonts w:ascii="Times New Roman;sans-serif" w:hAnsi="Times New Roman;sans-serif"/>
          <w:b w:val="false"/>
          <w:i/>
          <w:color w:val="000000"/>
          <w:sz w:val="20"/>
        </w:rPr>
        <w:t>Accounting Standards Update (“ASU”) 2016-13, Financial Instruments – Credit Losses</w:t>
      </w:r>
      <w:r>
        <w:rPr>
          <w:color w:val="000000"/>
        </w:rPr>
        <w:t xml:space="preserve"> </w:t>
      </w:r>
      <w:r>
        <w:rPr>
          <w:rFonts w:ascii="Times New Roman;sans-serif" w:hAnsi="Times New Roman;sans-serif"/>
          <w:b w:val="false"/>
          <w:color w:val="000000"/>
          <w:sz w:val="20"/>
        </w:rPr>
        <w:t xml:space="preserve">(“ASU 2016-13”): </w:t>
      </w:r>
      <w:r>
        <w:rPr>
          <w:rFonts w:ascii="Times New Roman;sans-serif" w:hAnsi="Times New Roman;sans-serif"/>
          <w:b w:val="false"/>
          <w:i/>
          <w:color w:val="000000"/>
          <w:sz w:val="20"/>
        </w:rPr>
        <w:t>Measurement of Credit Losses on Financial Instruments,</w:t>
      </w:r>
      <w:r>
        <w:rPr>
          <w:color w:val="000000"/>
        </w:rPr>
        <w:t xml:space="preserve"> </w:t>
      </w:r>
      <w:r>
        <w:rPr>
          <w:rFonts w:ascii="Times New Roman;sans-serif" w:hAnsi="Times New Roman;sans-serif"/>
          <w:b w:val="false"/>
          <w:color w:val="000000"/>
          <w:sz w:val="20"/>
        </w:rPr>
        <w:t xml:space="preserve">and subsequently issued additional guidance that modified ASU 2016-13. The standard requires an entity to change its accounting approach in determining impairment of certain financial instruments, including trade receivables, from an “incurred loss” to a “current expected credit loss” model. We intend to adopt the standard as of January 1, 2022. We are currently assessing the effect that ASU 2016-13 will have on our financial position, results of operations, and disclosures. </w:t>
      </w:r>
    </w:p>
    <w:p>
      <w:pPr>
        <w:pStyle w:val="TextBody"/>
        <w:spacing w:lineRule="auto" w:line="288" w:before="240" w:after="283"/>
        <w:rPr/>
      </w:pPr>
      <w:r>
        <w:rPr>
          <w:rFonts w:ascii="Times New Roman;sans-serif" w:hAnsi="Times New Roman;sans-serif"/>
          <w:b w:val="false"/>
          <w:color w:val="000000"/>
          <w:sz w:val="20"/>
        </w:rPr>
        <w:t xml:space="preserve">In June 2019, the FASB issued </w:t>
      </w:r>
      <w:r>
        <w:rPr>
          <w:rFonts w:ascii="Times New Roman;sans-serif" w:hAnsi="Times New Roman;sans-serif"/>
          <w:b w:val="false"/>
          <w:i/>
          <w:color w:val="000000"/>
          <w:sz w:val="20"/>
        </w:rPr>
        <w:t>ASU 2019-12 - Income Taxes (Topic 740): Simplifying the Accounting for Income Taxes</w:t>
      </w:r>
      <w:r>
        <w:rPr>
          <w:rFonts w:ascii="Times New Roman;sans-serif" w:hAnsi="Times New Roman;sans-serif"/>
          <w:b w:val="false"/>
          <w:color w:val="000000"/>
          <w:sz w:val="20"/>
        </w:rPr>
        <w:t>. The standard simplifies the accounting for income taxes and makes a number of changes meant to add or clarify guidance on accounting for income taxes. This update is effective for annual financial statement periods beginning after December 15, 2021 and interim periods within fiscal years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3.Revenue Recognition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disaggregated net revenues from contracts with external customers by timing of revenue and by segment for the three and six months ended June 30, 2021 and 2020:</w:t>
      </w:r>
    </w:p>
    <w:tbl>
      <w:tblPr>
        <w:tblW w:w="7455" w:type="dxa"/>
        <w:jc w:val="left"/>
        <w:tblInd w:w="0" w:type="dxa"/>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2021</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145,182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49,125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57,610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251,917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455" w:type="dxa"/>
        <w:jc w:val="left"/>
        <w:tblInd w:w="0" w:type="dxa"/>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2020</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120,372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42,141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50,572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213,085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560" w:type="dxa"/>
        <w:jc w:val="left"/>
        <w:tblInd w:w="0" w:type="dxa"/>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841"/>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56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2021</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276,333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75,043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112,689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464,065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455" w:type="dxa"/>
        <w:jc w:val="left"/>
        <w:tblInd w:w="0" w:type="dxa"/>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546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2020</w:t>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237,652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65,766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97,867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401,285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and December 31, 2020, contract assets included in “Prepaid expenses and other current assets” on the Consolidated Balance Sheets totaled approximately $14.0 million and $12.7 million, respectively, resulting from revenue recognized over time in excess of the amount billed to the customer.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When we receive consideration from a customer prior to transferring goods or services under the terms of a sales contract, we record deferred revenue, which represents a contract liability. Deferred revenue totaled $5.5 million and $6.1 million at June 30, 2021 and December 31, 2020, respectively. We recognize deferred revenue after all revenue recognition criteria are met.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4.Acquisitions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Acquisition of Noncontrolling Interests in China Subsidiaries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May 18, 2021, the Company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The Company paid 90% of the cash consideration on the acquisition date with the remaining 10% to be settled post-closing pursuant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 as of June 30, 2021.</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Acquisition of BioScience Laboratories, LLC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8, 2021, we acquired BioScience Laboratories, LLC (“BioScience”) for approximately $13.8 million, net of $0.2 million of cash acquired plus the contemporaneous repayment of BioScience's outstanding debt of $1.9 million. BioScience is a provider of outsourced topical antimicrobial product testing in the pharmaceutical, medical device, and consumer products industries with one location in Bozeman, Montana.</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purchase price of BioScience was allocated to the underlying assets acquired and liabilities assumed based upon management's estimated fair values at the date of acquisition. Changes to the allocation of the purchase price may occur as these measurements are completed. Approximately $8.4 million of goodwill was recorded related to the BioScience acquisition, representing the excess of the purchase price over preliminary estimated fair values of all the assets acquired and liabilities assumed. The Company funded this acquisition using available cash. The acquisition price and the results of operations for this acquired entity are not material in relation to the Company's consolidated financial statements.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Acquisition of Mandatorily Redeemable Noncontrolling Interest - Nelson Labs Fairfield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August 2018 acquisition, we initially acquired 85% of the equity interests of Nelson Labs Fairfield in August 2018 and were obligated to acquire the remaining 15% noncontrolling interest within three years from the date of the acquisition.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Acquisition of Iotron Industries Canada,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July 31, 2020, we acquired Iotron for approximately $105.2 million. Iotron was an independent contact sterilizer with two North American locations in Vancouver, Canada, and Columbia City, Indiana. Each location uses proprietary high energy electron beam technology to process products for orthopedic, medical device, plastics, and agricultural businesses. The acquisition was financed by the issuance of $100.0 million of First Lien Notes due 2026. Refer to Note 9, “Long-Term Debt” for additional details.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this acquisition, we also acquired Iotron’s 60% equity ownership interest in a joint venture to construct an E-beam facility in Alberta, Canada. The joint venture is accounted for using the equity method.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underlying acquired assets and assumed liabilities of the Iotron acquisition and the measurement period adjustments recognized during the six months ended June 30, 2021, were as follows:</w:t>
      </w:r>
    </w:p>
    <w:tbl>
      <w:tblPr>
        <w:tblW w:w="10205" w:type="dxa"/>
        <w:jc w:val="left"/>
        <w:tblInd w:w="0" w:type="dxa"/>
        <w:tblCellMar>
          <w:top w:w="28" w:type="dxa"/>
          <w:left w:w="28" w:type="dxa"/>
          <w:bottom w:w="28" w:type="dxa"/>
          <w:right w:w="28" w:type="dxa"/>
        </w:tblCellMar>
      </w:tblPr>
      <w:tblGrid>
        <w:gridCol w:w="1119"/>
        <w:gridCol w:w="815"/>
        <w:gridCol w:w="818"/>
        <w:gridCol w:w="459"/>
        <w:gridCol w:w="1799"/>
        <w:gridCol w:w="237"/>
        <w:gridCol w:w="109"/>
        <w:gridCol w:w="109"/>
        <w:gridCol w:w="109"/>
        <w:gridCol w:w="377"/>
        <w:gridCol w:w="1411"/>
        <w:gridCol w:w="195"/>
        <w:gridCol w:w="109"/>
        <w:gridCol w:w="109"/>
        <w:gridCol w:w="109"/>
        <w:gridCol w:w="405"/>
        <w:gridCol w:w="1616"/>
        <w:gridCol w:w="300"/>
      </w:tblGrid>
      <w:tr>
        <w:trPr/>
        <w:tc>
          <w:tcPr>
            <w:tcW w:w="111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275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2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auto" w:val="clear"/>
            <w:tcMar>
              <w:top w:w="0" w:type="dxa"/>
              <w:left w:w="0" w:type="dxa"/>
              <w:bottom w:w="0" w:type="dxa"/>
              <w:right w:w="0" w:type="dxa"/>
            </w:tcMar>
            <w:vAlign w:val="center"/>
          </w:tcPr>
          <w:p>
            <w:pPr>
              <w:pStyle w:val="TableContents"/>
              <w:spacing w:lineRule="auto" w:line="288" w:before="53" w:after="283"/>
              <w:jc w:val="left"/>
              <w:rPr>
                <w:rFonts w:ascii="Times New Roman;sans-serif" w:hAnsi="Times New Roman;sans-serif"/>
                <w:b/>
                <w:color w:val="000000"/>
                <w:sz w:val="16"/>
              </w:rPr>
            </w:pPr>
            <w:r>
              <w:rPr>
                <w:rFonts w:ascii="Times New Roman;sans-serif" w:hAnsi="Times New Roman;sans-serif"/>
                <w:b/>
                <w:color w:val="000000"/>
                <w:sz w:val="16"/>
              </w:rPr>
              <w:t xml:space="preserve">Allocation of purchase price to the fair value of </w:t>
            </w:r>
          </w:p>
          <w:p>
            <w:pPr>
              <w:pStyle w:val="TableContents"/>
              <w:spacing w:lineRule="auto" w:line="288" w:before="0" w:after="30"/>
              <w:jc w:val="left"/>
              <w:rPr>
                <w:rFonts w:ascii="Times New Roman;sans-serif" w:hAnsi="Times New Roman;sans-serif"/>
                <w:b/>
                <w:color w:val="000000"/>
                <w:sz w:val="16"/>
              </w:rPr>
            </w:pPr>
            <w:r>
              <w:rPr>
                <w:rFonts w:ascii="Times New Roman;sans-serif" w:hAnsi="Times New Roman;sans-serif"/>
                <w:b/>
                <w:color w:val="000000"/>
                <w:sz w:val="16"/>
              </w:rPr>
              <w:t>net assets acquired (net of cash acquired):</w:t>
            </w:r>
          </w:p>
        </w:tc>
        <w:tc>
          <w:tcPr>
            <w:tcW w:w="24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recognized as of 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Period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 recognized as of June 30, 2021</w:t>
            </w:r>
          </w:p>
        </w:tc>
      </w:tr>
      <w:tr>
        <w:trPr/>
        <w:tc>
          <w:tcPr>
            <w:tcW w:w="27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51,904</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2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26,273 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42,700</w:t>
            </w: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18,158</w:t>
            </w:r>
            <w:r>
              <w:rPr>
                <w:color w:val="000000"/>
              </w:rPr>
              <w:t>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net</w:t>
            </w:r>
          </w:p>
        </w:tc>
        <w:tc>
          <w:tcPr>
            <w:tcW w:w="2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1,117</w:t>
            </w: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2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8,700</w:t>
            </w:r>
            <w:r>
              <w:rPr>
                <w:color w:val="000000"/>
              </w:rPr>
              <w:t>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long-term liabilities</w:t>
            </w:r>
          </w:p>
        </w:tc>
        <w:tc>
          <w:tcPr>
            <w:tcW w:w="22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(2,248)</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assets/liabilities, net</w:t>
            </w:r>
          </w:p>
        </w:tc>
        <w:tc>
          <w:tcPr>
            <w:tcW w:w="22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(5,846)</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(15,144)</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105,187</w:t>
            </w:r>
            <w:r>
              <w:rPr>
                <w:color w:val="000000"/>
              </w:rPr>
              <w:t>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Approximately $51.9 million of goodwill was recorded related to the Iotron acquisition, representing the excess of the purchase price over the estimated fair values of all the assets acquired and liabilities assumed. The fair value allocated to goodwill and tangible and intangible assets are deductible for tax purposes. The qualitative elements of goodwill primarily represent the expanded future growth opportunities for the combined company and the addition of Iotron’s highly skilled workforce. The Company recorded $39.1 million and $3.6 million for intangible assets as part of the acquisition related to customer relationships and employee non-compete agreements, respectively. The estimated useful lives of the identifiable finite-lived intangible assets range from 5 to 15 years.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Iotron’s results of operations are included in our consolidated financial statements from the date of the transaction within the Sterigenics segment. The unaudited pro forma consolidated results for the three and six months ended June 30, 2020, are reflected in the pro forma table below had the transaction occurred on January 1, 2020.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tbl>
      <w:tblPr>
        <w:tblW w:w="3471" w:type="dxa"/>
        <w:jc w:val="left"/>
        <w:tblInd w:w="0" w:type="dxa"/>
        <w:tblCellMar>
          <w:top w:w="28" w:type="dxa"/>
          <w:left w:w="28" w:type="dxa"/>
          <w:bottom w:w="28" w:type="dxa"/>
          <w:right w:w="28" w:type="dxa"/>
        </w:tblCellMar>
      </w:tblPr>
      <w:tblGrid>
        <w:gridCol w:w="826"/>
        <w:gridCol w:w="726"/>
        <w:gridCol w:w="728"/>
        <w:gridCol w:w="211"/>
        <w:gridCol w:w="826"/>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w:t>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275" w:type="dxa"/>
        <w:jc w:val="left"/>
        <w:tblInd w:w="0" w:type="dxa"/>
        <w:tblCellMar>
          <w:top w:w="28" w:type="dxa"/>
          <w:left w:w="28" w:type="dxa"/>
          <w:bottom w:w="28" w:type="dxa"/>
          <w:right w:w="28" w:type="dxa"/>
        </w:tblCellMar>
      </w:tblPr>
      <w:tblGrid>
        <w:gridCol w:w="755"/>
        <w:gridCol w:w="663"/>
        <w:gridCol w:w="666"/>
        <w:gridCol w:w="211"/>
        <w:gridCol w:w="826"/>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w:t>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Iotron acquisition, we incurred approximately $1.4 million and $2.4 million in transaction costs for the three and six months ended June 30, 2020, respectively, which were included in “Selling, general and administrative expenses” in the Consolidated Statements of Operations and Comprehensive Income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5.Inventories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Inventories consisted primarily of the following:</w:t>
      </w:r>
    </w:p>
    <w:tbl>
      <w:tblPr>
        <w:tblW w:w="6520" w:type="dxa"/>
        <w:jc w:val="left"/>
        <w:tblInd w:w="0" w:type="dxa"/>
        <w:tblCellMar>
          <w:top w:w="28" w:type="dxa"/>
          <w:left w:w="28" w:type="dxa"/>
          <w:bottom w:w="28" w:type="dxa"/>
          <w:right w:w="28" w:type="dxa"/>
        </w:tblCellMar>
      </w:tblPr>
      <w:tblGrid>
        <w:gridCol w:w="1277"/>
        <w:gridCol w:w="1122"/>
        <w:gridCol w:w="1125"/>
        <w:gridCol w:w="224"/>
        <w:gridCol w:w="784"/>
        <w:gridCol w:w="116"/>
        <w:gridCol w:w="109"/>
        <w:gridCol w:w="109"/>
        <w:gridCol w:w="109"/>
        <w:gridCol w:w="300"/>
        <w:gridCol w:w="1026"/>
        <w:gridCol w:w="219"/>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28,465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1,219</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6,163</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35,847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35,721</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6.Prepaid Expenses and Other Current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primarily of the following:</w:t>
      </w:r>
    </w:p>
    <w:tbl>
      <w:tblPr>
        <w:tblW w:w="6551" w:type="dxa"/>
        <w:jc w:val="left"/>
        <w:tblInd w:w="0" w:type="dxa"/>
        <w:tblCellMar>
          <w:top w:w="28" w:type="dxa"/>
          <w:left w:w="28" w:type="dxa"/>
          <w:bottom w:w="28" w:type="dxa"/>
          <w:right w:w="28" w:type="dxa"/>
        </w:tblCellMar>
      </w:tblPr>
      <w:tblGrid>
        <w:gridCol w:w="1289"/>
        <w:gridCol w:w="1131"/>
        <w:gridCol w:w="1135"/>
        <w:gridCol w:w="224"/>
        <w:gridCol w:w="784"/>
        <w:gridCol w:w="116"/>
        <w:gridCol w:w="109"/>
        <w:gridCol w:w="109"/>
        <w:gridCol w:w="109"/>
        <w:gridCol w:w="300"/>
        <w:gridCol w:w="1026"/>
        <w:gridCol w:w="219"/>
      </w:tblGrid>
      <w:tr>
        <w:trPr/>
        <w:tc>
          <w:tcPr>
            <w:tcW w:w="128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26,528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business insurance</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4,763</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 assets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14,002</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and indemnification receivables</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3,838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834</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contracts</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371</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1,898</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licensing</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1,702</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supplies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3,167</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8,283</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67,942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7.Goodwill and Other Intangible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Changes to goodwill during the six months ended June 30, 2021 were as follows:</w:t>
      </w:r>
    </w:p>
    <w:tbl>
      <w:tblPr>
        <w:tblW w:w="10205" w:type="dxa"/>
        <w:jc w:val="left"/>
        <w:tblInd w:w="0" w:type="dxa"/>
        <w:tblCellMar>
          <w:top w:w="28" w:type="dxa"/>
          <w:left w:w="28" w:type="dxa"/>
          <w:bottom w:w="28" w:type="dxa"/>
          <w:right w:w="28" w:type="dxa"/>
        </w:tblCellMar>
      </w:tblPr>
      <w:tblGrid>
        <w:gridCol w:w="1512"/>
        <w:gridCol w:w="1324"/>
        <w:gridCol w:w="132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211"/>
        <w:gridCol w:w="991"/>
        <w:gridCol w:w="156"/>
      </w:tblGrid>
      <w:tr>
        <w:trPr/>
        <w:tc>
          <w:tcPr>
            <w:tcW w:w="1512"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2020</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1,115,936 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spacing w:lineRule="auto" w:line="333"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BioScience acquisition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spacing w:lineRule="auto" w:line="333" w:before="53" w:after="30"/>
              <w:ind w:left="0" w:right="0" w:hanging="180"/>
              <w:jc w:val="left"/>
              <w:rPr/>
            </w:pPr>
            <w:r>
              <w:rPr>
                <w:rFonts w:ascii="Times New Roman;sans-serif" w:hAnsi="Times New Roman;sans-serif"/>
                <w:b w:val="false"/>
                <w:color w:val="000000"/>
                <w:sz w:val="20"/>
              </w:rPr>
              <w:t>Iotron acquisition</w:t>
            </w:r>
            <w:r>
              <w:rPr>
                <w:color w:val="000000"/>
              </w:rPr>
              <w:t xml:space="preserve"> </w:t>
            </w:r>
            <w:r>
              <w:rPr>
                <w:rFonts w:ascii="Times New Roman;sans-serif" w:hAnsi="Times New Roman;sans-serif"/>
                <w:b w:val="false"/>
                <w:color w:val="000000"/>
                <w:sz w:val="20"/>
              </w:rPr>
              <w:t>measurement period adjustments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June 30, 2021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666,493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295,916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151,767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1,114,176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consisted of the following: </w:t>
      </w:r>
    </w:p>
    <w:tbl>
      <w:tblPr>
        <w:tblW w:w="6173" w:type="dxa"/>
        <w:jc w:val="left"/>
        <w:tblInd w:w="0" w:type="dxa"/>
        <w:tblCellMar>
          <w:top w:w="28" w:type="dxa"/>
          <w:left w:w="28" w:type="dxa"/>
          <w:bottom w:w="28" w:type="dxa"/>
          <w:right w:w="28" w:type="dxa"/>
        </w:tblCellMar>
      </w:tblPr>
      <w:tblGrid>
        <w:gridCol w:w="1207"/>
        <w:gridCol w:w="1060"/>
        <w:gridCol w:w="1062"/>
        <w:gridCol w:w="211"/>
        <w:gridCol w:w="991"/>
        <w:gridCol w:w="109"/>
        <w:gridCol w:w="109"/>
        <w:gridCol w:w="109"/>
        <w:gridCol w:w="109"/>
        <w:gridCol w:w="211"/>
        <w:gridCol w:w="841"/>
        <w:gridCol w:w="154"/>
      </w:tblGrid>
      <w:tr>
        <w:trPr/>
        <w:tc>
          <w:tcPr>
            <w:tcW w:w="1207"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2021</w:t>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665,130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338,633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90,342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41,779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9,599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1,444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247,513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104,034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1,803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1,018,463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487,813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84,116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26,021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110,137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1,128,600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487,813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143" w:type="dxa"/>
        <w:jc w:val="left"/>
        <w:tblInd w:w="0" w:type="dxa"/>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2020</w:t>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spacing w:lineRule="auto" w:line="288" w:before="0" w:after="3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years license period as Nordion has demonstrated over its 75 years of history.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include the impact of foreign currency translation. Fully amortized amounts are written off.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other intangible assets was $21.8 million ($6.1 million is included in “Cost of revenues” and $15.7 million in “Selling, general and administrative expenses”) and $44.1 million ($11.9 million is included in “Cost of revenues” and $32.2 million in “Selling, general and administrative expenses”) in the Consolidated Statements of Operations and Comprehensive Income (Loss) for the three and six months ended June 30, 2021, respectively.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other intangible assets was $19.7 million ($5.2 million is included in “Cost of revenues” and $14.5 million in “Selling, general and administrative expenses”) and $39.6 million ($10.5 million is included in “Cost of revenues” and $29.1 million in “Selling, general and administrative expenses”) in the Consolidated Statements of Operations and Comprehensive Income (Loss) for the three and six months ended June 30, 2020, respectively.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finite-lived intangible assets for each of the next five years and thereafter is as follows:</w:t>
      </w:r>
    </w:p>
    <w:tbl>
      <w:tblPr>
        <w:tblW w:w="3425" w:type="dxa"/>
        <w:jc w:val="left"/>
        <w:tblInd w:w="0" w:type="dxa"/>
        <w:tblCellMar>
          <w:top w:w="28" w:type="dxa"/>
          <w:left w:w="28" w:type="dxa"/>
          <w:bottom w:w="28" w:type="dxa"/>
          <w:right w:w="28" w:type="dxa"/>
        </w:tblCellMar>
      </w:tblPr>
      <w:tblGrid>
        <w:gridCol w:w="804"/>
        <w:gridCol w:w="706"/>
        <w:gridCol w:w="709"/>
        <w:gridCol w:w="211"/>
        <w:gridCol w:w="841"/>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2021</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44,505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81,140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81,133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80,354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42,304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201,214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530,650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life of the finite-lived intangible assets was approximately 10 years as of June 30,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8.Accrued Liabilities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5815" w:type="dxa"/>
        <w:jc w:val="left"/>
        <w:tblInd w:w="0" w:type="dxa"/>
        <w:tblCellMar>
          <w:top w:w="28" w:type="dxa"/>
          <w:left w:w="28" w:type="dxa"/>
          <w:bottom w:w="28" w:type="dxa"/>
          <w:right w:w="28" w:type="dxa"/>
        </w:tblCellMar>
      </w:tblPr>
      <w:tblGrid>
        <w:gridCol w:w="1022"/>
        <w:gridCol w:w="897"/>
        <w:gridCol w:w="900"/>
        <w:gridCol w:w="224"/>
        <w:gridCol w:w="784"/>
        <w:gridCol w:w="116"/>
        <w:gridCol w:w="109"/>
        <w:gridCol w:w="109"/>
        <w:gridCol w:w="109"/>
        <w:gridCol w:w="300"/>
        <w:gridCol w:w="1026"/>
        <w:gridCol w:w="219"/>
      </w:tblGrid>
      <w:tr>
        <w:trPr/>
        <w:tc>
          <w:tcPr>
            <w:tcW w:w="102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2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26,362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reserves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2,751</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711</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391</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11,928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utilities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2,240</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accrual</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1,908</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00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3,354</w:t>
            </w: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7,520</w:t>
            </w: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57,165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9.Long-Term Debt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8538" w:type="dxa"/>
        <w:jc w:val="left"/>
        <w:tblInd w:w="0" w:type="dxa"/>
        <w:tblCellMar>
          <w:top w:w="28" w:type="dxa"/>
          <w:left w:w="28" w:type="dxa"/>
          <w:bottom w:w="28" w:type="dxa"/>
          <w:right w:w="28" w:type="dxa"/>
        </w:tblCellMar>
      </w:tblPr>
      <w:tblGrid>
        <w:gridCol w:w="1941"/>
        <w:gridCol w:w="1704"/>
        <w:gridCol w:w="1710"/>
        <w:gridCol w:w="211"/>
        <w:gridCol w:w="991"/>
        <w:gridCol w:w="109"/>
        <w:gridCol w:w="109"/>
        <w:gridCol w:w="109"/>
        <w:gridCol w:w="109"/>
        <w:gridCol w:w="243"/>
        <w:gridCol w:w="1125"/>
        <w:gridCol w:w="177"/>
      </w:tblGrid>
      <w:tr>
        <w:trPr/>
        <w:tc>
          <w:tcPr>
            <w:tcW w:w="1941"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18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1,763,100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1,863,550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1,863,550 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debt discounts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(25,417)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debt issuance costs and debt discounts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1,838,133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1,824,789 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June 30, 2021 and December 31, 2020, total borrowings under the Term Loan were $1,763.1 million and $1,763.1 million, respectively, and there were no borrowings outstanding on the Revolving Credit Facility. The weighted average interest rate on borrowings under the Term Loan for the three months ended June 30, 2021 and June 30, 2020 was 3.25% and 5.50%, respectively, and 3.64% and 5.84% for the six months ended June 30, 2021 and June 30, 2020,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and December 31, 2020, capitalized debt issuance costs totaled $2.9 million and $3.4 million, respectively, and debt discounts totaled $19.1 million and $31.6 million, respectively, related to the Senior Secured Credit Facilities. Such costs are recorded as a reduction of debt on our Consolidated Balance Sheets and amortized as a component of interest expense over the term of the debt agreement.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June 30, 2021, the Company had $69.0 million of letters of credit issued against the Revolving Credit Facility, resulting in total availability under the Revolving Credit Facility of $278.5 million.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First Lien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three and six months ended June 30, 2021 was 7.00%.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 </w:t>
      </w:r>
    </w:p>
    <w:p>
      <w:pPr>
        <w:pStyle w:val="TextBody"/>
        <w:spacing w:lineRule="auto" w:line="288" w:before="20" w:after="283"/>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pari passu with that of the Senior Secured Credit Facilities.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June 30, 2021 and December 31, 2020, capitalized debt issuance costs were $0.8 million and $0.9 million, respectively, and debt discounts were $2.6 million and $2.8 million, respectively, related to the First Lien Notes, which are recorded as a reduction of debt on our Consolidated Balance Sheets and amortized into interest expense over the term of the debt agreement.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2020 Debt Repayments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24, 2020, we closed our initial public offering (the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Aggregate Maturities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long-term debt, excluding debt discounts, as of June 30, 2021, are as follows:</w:t>
      </w:r>
    </w:p>
    <w:tbl>
      <w:tblPr>
        <w:tblW w:w="3351" w:type="dxa"/>
        <w:jc w:val="left"/>
        <w:tblInd w:w="0" w:type="dxa"/>
        <w:tblCellMar>
          <w:top w:w="28" w:type="dxa"/>
          <w:left w:w="28" w:type="dxa"/>
          <w:bottom w:w="28" w:type="dxa"/>
          <w:right w:w="28" w:type="dxa"/>
        </w:tblCellMar>
      </w:tblPr>
      <w:tblGrid>
        <w:gridCol w:w="723"/>
        <w:gridCol w:w="635"/>
        <w:gridCol w:w="637"/>
        <w:gridCol w:w="211"/>
        <w:gridCol w:w="991"/>
        <w:gridCol w:w="154"/>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1,863,100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1,863,550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referenced above, the Company utilized its IPO proceeds toward prepaying the Second Lien Notes in full as well as prepaying a portion of the Term Loan. The Term Loan prepayment amount eliminated all subsequent scheduled and outstanding repayments of the term borrowings resulting in no remaining short-term commitments.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Notice of Redemption of First Lien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August 12, 2021 the Company issued a full redemption notice to the holders of the First Lien Notes. Full redemption is scheduled for the third quarter of 2021 at a redemption price equal to 103.0% of the principal amount of the First Lien Notes, plus accrued and unpaid interest. In connection with the redemption, we estimate that we will write off approximately $3.3 million of previously capitalized unamortized debt issuance and discount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10.Income Taxes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were 31.0 % and 29.3% for the three and six months ended June 30, 2021, respectively, compared to 34.2% and (264.7)% for the three and six months ended June 30, 2020, respectively.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June 30, 2021 differed from the statutory rate primarily due to the impact of the foreign rate differential, global intangible low-tax income (“GILTI”), a net increase in the interest expense valuation allowance, and a discrete item pertaining to an income tax rate change in the United Kingdom.</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for the six months ended June 30, 2021 differed from the statutory rate primarily due to the impact of the foreign rate differential, GILTI, a net increase in the interest expense valuation allowance, and a discrete item pertaining to an income tax rate change in the United Kingdom. This was offset by an additional discrete item in the first quarter of 2021, which reversed the valuation allowance on deferred tax assets related to certain asset retirement obligations.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for the three and six months ended June 30, 2020 differed from the statutory rate due to the impact of GILTI, the foreign rate differential, non-deductible expenses as well as the impact of the 2020 Coronavirus Aid, Relief, and Economic Security Act (the “CARES Act”). The CARES Act increased the limitation on the deductibility of interest expense from 30% to 50% for tax years beginning in 2019 or 2020, among other provisions. The increased limitation resulted in a current tax benefit for the six months ended June 30, 2020 of $9.1 million. The increased limitation also resulted in a $5.6 million valuation allowance reversal in the six months ended June 30,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11.Employee Benefits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Defined benefit pension plan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cost and expected return on plan assets are recorded in “Other income, net” and the service cost component is included in the same financial statement line item as the applicable employee’s wages in the Consolidated Statements of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Operations and Comprehensive Income (Loss). The components of net periodic pension cost for the defined benefit plans for the three and six months ended June 30, 2021 and 2020 were as follows:</w:t>
      </w:r>
    </w:p>
    <w:tbl>
      <w:tblPr>
        <w:tblW w:w="7889" w:type="dxa"/>
        <w:jc w:val="left"/>
        <w:tblInd w:w="0" w:type="dxa"/>
        <w:tblCellMar>
          <w:top w:w="28" w:type="dxa"/>
          <w:left w:w="28" w:type="dxa"/>
          <w:bottom w:w="28" w:type="dxa"/>
          <w:right w:w="28" w:type="dxa"/>
        </w:tblCellMar>
      </w:tblPr>
      <w:tblGrid>
        <w:gridCol w:w="1022"/>
        <w:gridCol w:w="897"/>
        <w:gridCol w:w="900"/>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02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(7,222)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w:t>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542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(2,800)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benefit plans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Other benefit plans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and six months ended June 30, 2021 and 2020 were as follows:</w:t>
      </w:r>
    </w:p>
    <w:tbl>
      <w:tblPr>
        <w:tblW w:w="7516" w:type="dxa"/>
        <w:jc w:val="left"/>
        <w:tblInd w:w="0" w:type="dxa"/>
        <w:tblCellMar>
          <w:top w:w="28" w:type="dxa"/>
          <w:left w:w="28" w:type="dxa"/>
          <w:bottom w:w="28" w:type="dxa"/>
          <w:right w:w="28" w:type="dxa"/>
        </w:tblCellMar>
      </w:tblPr>
      <w:tblGrid>
        <w:gridCol w:w="1022"/>
        <w:gridCol w:w="897"/>
        <w:gridCol w:w="900"/>
        <w:gridCol w:w="280"/>
        <w:gridCol w:w="500"/>
        <w:gridCol w:w="144"/>
        <w:gridCol w:w="144"/>
        <w:gridCol w:w="144"/>
        <w:gridCol w:w="144"/>
        <w:gridCol w:w="280"/>
        <w:gridCol w:w="480"/>
        <w:gridCol w:w="144"/>
        <w:gridCol w:w="109"/>
        <w:gridCol w:w="109"/>
        <w:gridCol w:w="109"/>
        <w:gridCol w:w="227"/>
        <w:gridCol w:w="519"/>
        <w:gridCol w:w="117"/>
        <w:gridCol w:w="117"/>
        <w:gridCol w:w="117"/>
        <w:gridCol w:w="117"/>
        <w:gridCol w:w="227"/>
        <w:gridCol w:w="503"/>
        <w:gridCol w:w="166"/>
      </w:tblGrid>
      <w:tr>
        <w:trPr/>
        <w:tc>
          <w:tcPr>
            <w:tcW w:w="102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w:t>
            </w: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120</w:t>
            </w: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w:t>
            </w:r>
          </w:p>
        </w:tc>
        <w:tc>
          <w:tcPr>
            <w:tcW w:w="7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w:t>
            </w: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w:t>
            </w: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77</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151</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currently expect funding requirements of approximately $2.8 million in each of the next five years to fund the regulatory solvency deficit, as defined by Canadian federal regulation, which require solvency testing on defined benefit pension plans.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obtain a qualifying letter of credit for solvency payments, up to 15% of the market value of solvency liabilities as determined on the valuation date, instead of paying cash into the pension fund. As of June 30, 2021, and December 31, 2020, we had letters of credit outstanding relating to the defined benefit plans totaling $44.9 million and $41.3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12.Related Parties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do business with a number of companies affiliated with Warburg Pincus and GTCR, which we refer to collectively as the “Sponsors,” who continue to have substantial control over us. All transactions with these companies have been conducted in the ordinary course of our business and are not material to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13.Other Comprehensive Income (Loss)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 accumulated other comprehensive income (loss) are presented net of the related tax. Foreign currency translation is not adjusted for income taxes.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accumulated other comprehensive income (loss) balances, net of applicable tax, were as follows: </w:t>
      </w:r>
    </w:p>
    <w:tbl>
      <w:tblPr>
        <w:tblW w:w="9750" w:type="dxa"/>
        <w:jc w:val="left"/>
        <w:tblInd w:w="0" w:type="dxa"/>
        <w:tblCellMar>
          <w:top w:w="28" w:type="dxa"/>
          <w:left w:w="28" w:type="dxa"/>
          <w:bottom w:w="28" w:type="dxa"/>
          <w:right w:w="28" w:type="dxa"/>
        </w:tblCellMar>
      </w:tblPr>
      <w:tblGrid>
        <w:gridCol w:w="1685"/>
        <w:gridCol w:w="1480"/>
        <w:gridCol w:w="1485"/>
        <w:gridCol w:w="211"/>
        <w:gridCol w:w="796"/>
        <w:gridCol w:w="109"/>
        <w:gridCol w:w="109"/>
        <w:gridCol w:w="109"/>
        <w:gridCol w:w="109"/>
        <w:gridCol w:w="211"/>
        <w:gridCol w:w="796"/>
        <w:gridCol w:w="109"/>
        <w:gridCol w:w="109"/>
        <w:gridCol w:w="109"/>
        <w:gridCol w:w="109"/>
        <w:gridCol w:w="211"/>
        <w:gridCol w:w="406"/>
        <w:gridCol w:w="109"/>
        <w:gridCol w:w="109"/>
        <w:gridCol w:w="109"/>
        <w:gridCol w:w="109"/>
        <w:gridCol w:w="211"/>
        <w:gridCol w:w="796"/>
        <w:gridCol w:w="154"/>
      </w:tblGrid>
      <w:tr>
        <w:trPr/>
        <w:tc>
          <w:tcPr>
            <w:tcW w:w="1685"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April 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(52,770)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(97,162)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20,115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19,410</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20,115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19,694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(77,468)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(49,699)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(93,842)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17,044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15,815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559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17,044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16,374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(44,813)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(32,655)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(77,468)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675"/>
        <w:gridCol w:w="1466"/>
        <w:gridCol w:w="1471"/>
        <w:gridCol w:w="211"/>
        <w:gridCol w:w="795"/>
        <w:gridCol w:w="109"/>
        <w:gridCol w:w="109"/>
        <w:gridCol w:w="109"/>
        <w:gridCol w:w="109"/>
        <w:gridCol w:w="211"/>
        <w:gridCol w:w="900"/>
        <w:gridCol w:w="109"/>
        <w:gridCol w:w="109"/>
        <w:gridCol w:w="109"/>
        <w:gridCol w:w="109"/>
        <w:gridCol w:w="211"/>
        <w:gridCol w:w="690"/>
        <w:gridCol w:w="109"/>
        <w:gridCol w:w="109"/>
        <w:gridCol w:w="109"/>
        <w:gridCol w:w="109"/>
        <w:gridCol w:w="211"/>
        <w:gridCol w:w="900"/>
        <w:gridCol w:w="156"/>
      </w:tblGrid>
      <w:tr>
        <w:trPr/>
        <w:tc>
          <w:tcPr>
            <w:tcW w:w="167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6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Defined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Benefit</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Interest</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Rate</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April 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0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1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June 30, 2020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(143,688)</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(a)For defined benefit pension plans, amounts reclassified from accumulated other comprehensive income (loss) are recorded to “Other income, net” within the Consolidated Statements of Operations and Comprehensive Income (Loss).</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(b)For interest rate swaps,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14.Share-Based Compensation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Pre-IPO Awards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June 30, 2021, these awards remain unvested.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recognized $0.7 million and $1.4 million of share-based compensation expense related to the pre-IPO Class B-1 awards for the three months ended June 30, 2021 and 2020, and $1.3 million and $3.1 million for the six months ended June 30, 2021 and 2020,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the activity for the six months ended June 30, 2021 related to the restricted stock awards distributed to the Company service providers in respect of the pre-IPO awards (Class B-1 and B-2 Units) is presented below:</w:t>
      </w:r>
    </w:p>
    <w:tbl>
      <w:tblPr>
        <w:tblW w:w="5758" w:type="dxa"/>
        <w:jc w:val="left"/>
        <w:tblInd w:w="0" w:type="dxa"/>
        <w:tblCellMar>
          <w:top w:w="28" w:type="dxa"/>
          <w:left w:w="28" w:type="dxa"/>
          <w:bottom w:w="28" w:type="dxa"/>
          <w:right w:w="28" w:type="dxa"/>
        </w:tblCellMar>
      </w:tblPr>
      <w:tblGrid>
        <w:gridCol w:w="977"/>
        <w:gridCol w:w="858"/>
        <w:gridCol w:w="864"/>
        <w:gridCol w:w="495"/>
        <w:gridCol w:w="496"/>
        <w:gridCol w:w="326"/>
        <w:gridCol w:w="109"/>
        <w:gridCol w:w="109"/>
        <w:gridCol w:w="109"/>
        <w:gridCol w:w="495"/>
        <w:gridCol w:w="496"/>
        <w:gridCol w:w="424"/>
      </w:tblGrid>
      <w:tr>
        <w:trPr/>
        <w:tc>
          <w:tcPr>
            <w:tcW w:w="97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 Pre-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IPO B-1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 Pre-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IPO B-2</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2,201,239 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2,323,333 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auto" w:val="clear"/>
            <w:vAlign w:val="center"/>
          </w:tcPr>
          <w:p>
            <w:pPr>
              <w:pStyle w:val="TableContents"/>
              <w:spacing w:before="0" w:after="283"/>
              <w:rPr>
                <w:sz w:val="4"/>
                <w:szCs w:val="4"/>
              </w:rPr>
            </w:pPr>
            <w:r>
              <w:rPr>
                <w:sz w:val="4"/>
                <w:szCs w:val="4"/>
              </w:rPr>
            </w:r>
          </w:p>
        </w:tc>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5" w:type="dxa"/>
            <w:gridSpan w:val="3"/>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(43,361)</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(284,850)</w:t>
            </w:r>
          </w:p>
        </w:tc>
        <w:tc>
          <w:tcPr>
            <w:tcW w:w="4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(558,446)</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2021</w:t>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1,599,432</w:t>
            </w:r>
            <w:r>
              <w:rPr>
                <w:color w:val="000000"/>
              </w:rPr>
              <w:t>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2,038,483</w:t>
            </w:r>
            <w:r>
              <w:rPr>
                <w:color w:val="000000"/>
              </w:rPr>
              <w:t>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recognized $2.8 million ($1.3 million for stock options and $1.5 million for RSUs) of share-based compensation expense for these awards for the three months ended June 30, 2021, and $5.6 million ($2.5 million for stock options and $3.1 million for RSUs) for the six months ended June 30, 2021 in our Consolidated Statements of Operations and Comprehensive Income (Loss), in “Selling, general and administrative expenses.”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Stock options have a four-year vesting period, an exercise price equal to the fair market value of a share of common stock on the date of grant, and a contractual term of 10 years. The following table summarizes our stock option activity for the six months ended June 30, 2021:</w:t>
      </w:r>
    </w:p>
    <w:tbl>
      <w:tblPr>
        <w:tblW w:w="4733" w:type="dxa"/>
        <w:jc w:val="left"/>
        <w:tblInd w:w="0" w:type="dxa"/>
        <w:tblCellMar>
          <w:top w:w="28" w:type="dxa"/>
          <w:left w:w="28" w:type="dxa"/>
          <w:bottom w:w="28" w:type="dxa"/>
          <w:right w:w="28" w:type="dxa"/>
        </w:tblCellMar>
      </w:tblPr>
      <w:tblGrid>
        <w:gridCol w:w="700"/>
        <w:gridCol w:w="615"/>
        <w:gridCol w:w="619"/>
        <w:gridCol w:w="495"/>
        <w:gridCol w:w="496"/>
        <w:gridCol w:w="311"/>
        <w:gridCol w:w="109"/>
        <w:gridCol w:w="109"/>
        <w:gridCol w:w="109"/>
        <w:gridCol w:w="248"/>
        <w:gridCol w:w="741"/>
        <w:gridCol w:w="181"/>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average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2020</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2,389,258 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34,373 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(19,145)</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At June 30, 2021</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2,404,486</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23.02</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June 30, 2021, there were no stock options vested or exercisable.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RSUs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RSUs generally vest ratably over a period of one to four years and are valued based on our market price on the date of grant. The following table summarizes our unvested RSUs activity for the six months ended June 30, 2021:</w:t>
      </w:r>
    </w:p>
    <w:tbl>
      <w:tblPr>
        <w:tblW w:w="5407" w:type="dxa"/>
        <w:jc w:val="left"/>
        <w:tblInd w:w="0" w:type="dxa"/>
        <w:tblCellMar>
          <w:top w:w="28" w:type="dxa"/>
          <w:left w:w="28" w:type="dxa"/>
          <w:bottom w:w="28" w:type="dxa"/>
          <w:right w:w="28" w:type="dxa"/>
        </w:tblCellMar>
      </w:tblPr>
      <w:tblGrid>
        <w:gridCol w:w="977"/>
        <w:gridCol w:w="858"/>
        <w:gridCol w:w="864"/>
        <w:gridCol w:w="420"/>
        <w:gridCol w:w="421"/>
        <w:gridCol w:w="311"/>
        <w:gridCol w:w="109"/>
        <w:gridCol w:w="109"/>
        <w:gridCol w:w="109"/>
        <w:gridCol w:w="260"/>
        <w:gridCol w:w="779"/>
        <w:gridCol w:w="190"/>
      </w:tblGrid>
      <w:tr>
        <w:trPr/>
        <w:tc>
          <w:tcPr>
            <w:tcW w:w="97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Grant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Date Fair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771,276 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103,762 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4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(46,952)</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Unvested at June 30, 2021</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814,504</w:t>
            </w:r>
            <w:r>
              <w:rPr>
                <w:color w:val="000000"/>
              </w:rPr>
              <w:t>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23.15</w:t>
            </w: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periods in which the Company has a net loss, the two-class method is not applicable because the pre-IPO Class B-1 and B-2 restricted stock awards do not participate in losses.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basic and diluted earnings per common share are calculated as follows:</w:t>
      </w:r>
    </w:p>
    <w:tbl>
      <w:tblPr>
        <w:tblW w:w="10205" w:type="dxa"/>
        <w:jc w:val="left"/>
        <w:tblInd w:w="0" w:type="dxa"/>
        <w:tblCellMar>
          <w:top w:w="28" w:type="dxa"/>
          <w:left w:w="28" w:type="dxa"/>
          <w:bottom w:w="28" w:type="dxa"/>
          <w:right w:w="28" w:type="dxa"/>
        </w:tblCellMar>
      </w:tblPr>
      <w:tblGrid>
        <w:gridCol w:w="2111"/>
        <w:gridCol w:w="1538"/>
        <w:gridCol w:w="1545"/>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211"/>
        <w:gridCol w:w="616"/>
        <w:gridCol w:w="155"/>
      </w:tblGrid>
      <w:tr>
        <w:trPr/>
        <w:tc>
          <w:tcPr>
            <w:tcW w:w="2111"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1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U.S. dollars and share amounts (except per share amounts)</w:t>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2020</w:t>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42,615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53,680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Allocation to participating securities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Sotera Health Company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42,025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52,695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333"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279,078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278,953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33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potential common shares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333" w:before="53" w:after="30"/>
              <w:jc w:val="left"/>
              <w:rPr/>
            </w:pPr>
            <w:r>
              <w:rPr>
                <w:rFonts w:ascii="Times New Roman;sans-serif" w:hAnsi="Times New Roman;sans-serif"/>
                <w:b w:val="false"/>
                <w:color w:val="000000"/>
                <w:sz w:val="20"/>
              </w:rPr>
              <w:t>Weighted-average common shares outstanding - diluted</w:t>
            </w:r>
            <w:r>
              <w:rPr>
                <w:rFonts w:ascii="Times New Roman;sans-serif" w:hAnsi="Times New Roman;sans-serif"/>
                <w:b w:val="false"/>
                <w:color w:val="000000"/>
                <w:sz w:val="13"/>
              </w:rPr>
              <w:t>(a)</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279,214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279,078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5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attributable to Sotera Health Company common shareholders - basic</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0.19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5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 attributable to Sotera Health Company common shareholders - diluted</w:t>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0.15</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0.19</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pPr>
      <w:r>
        <w:rPr>
          <w:rFonts w:ascii="Times New Roman;sans-serif" w:hAnsi="Times New Roman;sans-serif"/>
          <w:b w:val="false"/>
          <w:color w:val="000000"/>
          <w:sz w:val="17"/>
        </w:rPr>
        <w:t>(a)</w:t>
      </w:r>
      <w:r>
        <w:rPr>
          <w:rFonts w:ascii="Times New Roman;sans-serif" w:hAnsi="Times New Roman;sans-serif"/>
          <w:b w:val="false"/>
          <w:color w:val="000000"/>
          <w:sz w:val="16"/>
        </w:rPr>
        <w:t>A</w:t>
      </w:r>
      <w:r>
        <w:rPr>
          <w:rFonts w:ascii="Times New Roman;sans-serif" w:hAnsi="Times New Roman;sans-serif"/>
          <w:b w:val="false"/>
          <w:color w:val="000000"/>
          <w:sz w:val="17"/>
        </w:rPr>
        <w:t xml:space="preserve">n additional 2,404,486 and 3,645 equivalent shares related to stock options and RSUs, respectively, issued in connection with the 2020 Omnibus Incentive Plan were excluded from the calculation of diluted weighted average common shares outstanding for </w:t>
      </w:r>
      <w:r>
        <w:rPr>
          <w:rFonts w:ascii="Times New Roman;sans-serif" w:hAnsi="Times New Roman;sans-serif"/>
          <w:b w:val="false"/>
          <w:color w:val="000000"/>
          <w:sz w:val="16"/>
        </w:rPr>
        <w:t>the three and six months ended June 30, 2021,</w:t>
      </w:r>
      <w:r>
        <w:rPr>
          <w:color w:val="000000"/>
        </w:rPr>
        <w:t xml:space="preserve"> </w:t>
      </w:r>
      <w:r>
        <w:rPr>
          <w:rFonts w:ascii="Times New Roman;sans-serif" w:hAnsi="Times New Roman;sans-serif"/>
          <w:b w:val="false"/>
          <w:color w:val="000000"/>
          <w:sz w:val="16"/>
        </w:rPr>
        <w:t>as they were anti-dilutive</w:t>
      </w:r>
      <w:r>
        <w:rPr>
          <w:rFonts w:ascii="Times New Roman;sans-serif" w:hAnsi="Times New Roman;sans-serif"/>
          <w:b w:val="false"/>
          <w:color w:val="000000"/>
          <w:sz w:val="17"/>
        </w:rPr>
        <w:t>. For the three and six months ended June 30, 2020, there were no potentially dilutive common shares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16.Commitments and Contingencies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FM Global Business Interruption Claim (NRU Outage)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30, 2020, Nordion received a favorable judgment in the amount of $25.0 million USD, plus pre-judgment interest, for a total judgment value of $39.8 million USD, or $56.4 million CAD based on exchange rates approved by the trial court. In addition, costs and disbursements have been assessed and awarded by the trial court in favor of Nordion in the approximate amount of $1.1 million CAD ($0.9 million USD) and $161,863 CAD ($0.1 million USD), respectively. On April 27, 2020, FM Global appealed the judgment. Hearing before the Court of Appeal was held on April 15, 2021. Pending a favorable judgment in the appellate court, any final proceeds would be subject to post judgment interest, a contingent fee owed to legal counsel and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taxes. As the judgment is considered a contingent gain, any favorable outcome will be recognized in a future period when all appeals are exhausted. It is anticipated that the overall appeal process could take a year or more to complete.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Ethylene Oxide Tort Litigation - Illinois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ethylene oxide (“EO”) from the Willowbrook facility. Additional derivative claims are alleged on behalf of other individuals related to these personal injury plaintiffs.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Sterigenics sought consolidation of the cases for pretrial purposes, and in October 2019 obtained an order consolidating the then-pending cases and related cases filed in the future in the Cook County Circuit Court, Illinois (the “Consolidated Case”). All plaintiffs in the Consolidated Case filed a single Master Complaint on October 24, 2019 by which Sotera Health LLC was added as a co-defendant, followed by a series of Amended Master Complaints.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Plaintiffs filed an Amended Master Complaint on April 16, 2021, including claims against Griffith Foods International, Inc. (“Griffith”). Griffith filed a motion to dismiss and all other defendants filed answers to the Complaint. The answer of Sterigenics included counterclaims for contribution against Griffith.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Written and deposition fact discovery is on-going in the Consolidated Case. Currently, there are no dates set for the close of fact discovery, for expert discovery or for dispositive motion practice. Plaintiffs have not yet made any specific damages claims.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Trials in three of the individual cases included in the Consolidated Case have been scheduled for July 18, 2022, September 12, 2022 and November 7, 2022.</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Ethylene Oxide Tort Litigation – Georgia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EO while working at the customer’s distribution center in Lithia Springs, Georgia, allege they were unaware that they were being exposed to EO in their workplace and seek damages. Defendants’ motions to dismiss are scheduled for hearing in September 2021. All defendants are being defended and indemnified by Sterigenics’ contract sterilization customer (plaintiffs’ employer and a co-defendant in the lawsuit).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On February 5, 2021 the Court issued an order finding that Sterigenics lacks standing to obtain the relief sought and dismissed the case. Sterigenics has appealed that decision to the 11th Circuit Court of Appeals.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Since August 17, 2020, 15 lawsuits against Sotera Health LLC, Sterigenics U.S., LLC and other parties have been filed by 41 plaintiffs in the State Court of Cobb County, Georgia and the State Court of Gwinnett County, Georgia in which plaintiffs allege that they suffered personal injuries and loss of consortium resulting from emissions and releases of EO from Sterigenics’ Atlanta facility.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Ten of the personal injury lawsuits pending in Cobb County have been consolidated for pretrial purposes, governed by a phased case management order pursuant to which general causation issues are scheduled to be determined by November 15, 2022, specific causation issues are scheduled to be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determined by March 2023, and one case is scheduled to be trial-ready by July 2023. The remaining personal injury and property devaluation cases are in various early stages of pleadings and motions practice and fact discovery.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Suspension of Georgia Facility Operations &amp; Related Litigation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Defendants filed a motion to dismiss the claims. On November 9, 2020, the Court held a hearing and denied the motion to dismiss. The parties are conducting discovery, which is scheduled to end in April 2022. A settlement conference is scheduled to be held by April 27, 2022.</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Ethylene Oxide Litigation – New Mexico</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December 22, 2020, the New Mexico Attorney General filed a lawsuit in the Third Judicial District Court, Doña Ana County, New Mexico (the “Third Judicial District”) against the Company, Sterigenics U.S., LLC and other subsidiaries alleging that emissions of EO from Sterigenics’ sterilization facility in Santa Teresa, New Mexico constitute a public nuisance and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a request for a temporary restraining order and preliminary injunctive relief.</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May 26, 2021 the Third Judicial District held a preliminary injunction hearing. On June 29, 2021, the Court entered an Order Granting Preliminary Injunction (the “Order”). The Order does not require closure of the facility, but prohibits Sterigenics from allowing any uncontrolled emission or release of EO from the facility, including prohibitions on leaving doors open when not in use and allowing EO to escape through point sources prior to filtration or processing through emission controls. Sterigenics promptly took steps to monitor its compliance with the Order. The Order instructed the parties to discuss a protocol to monitor Sterigenics’ compliance and, if agreement could not be reached, to request a hearing so the Court can determine a monitoring protocol and how the costs of monitoring will be paid. The parties conferred and on July 29, 2021, the parties notified the Court that agreement could not be reached and requested a hearing.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to the other claims for relief in the Complaint, motions to dismiss are scheduled for hearing on October 28, 2021 and the parties are conducting fact discovery.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Before this lawsuit was filed, Sterigenics was working to implement additional emission control enhancements at the Santa Teresa facility to further reduce EO emissions beyond permitted levels. On June 11, 2021, Sterigenics received a permit from the New Mexico Environment Department, clearing the way for the next steps in Sterigenics’ implementation of these additional emission control enhancements.</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    *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June 30, 2021, we have utilized approximately $1.0 million of the remaining $10.0 million limit. Our insurance for future alleged environmental liabilities excludes coverage for EO claims.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Additional personal injury, property devaluation or other lawsuits may be filed in the future against us or our subsidiaries relating to Sterigenics’ Willowbrook, Atlanta, Santa Teresa or other EO sterilization facilities. The Company, Sterigenics U.S., LLC and other Company subsidiaries intend to defend themselves vigorously in all such current or future EO litigation.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While an adverse outcome in one or more of the proceedings could have a material adverse effect on our business, financial condition and results of operations, no contingency reserve has been reflected in our consolidated financial statements as a loss is not deemed probable or a loss or range of losses is not reasonably estimable at this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17.Financial Instruments and Financial Risk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Derivative Instruments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derivatives for trading or speculative purposes and are not a party to leveraged derivatives.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in Hedge Relationships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2019, we entered into two interest rate swap agreements to hedge our exposure to interest rate movements and to manage interest expense related to our then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swap agreements terminated on August 31, 2020.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in Hedge Relationships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2017, we entered into two interest rate cap agreements with a total notional amount of $400.0 million for a total option premium of $0.6 million; these agreements terminated on September 30, 2020. The interest rate caps limited the Company’s cash flow exposure related to LIBOR under the variable rate Term Loan borrowings to 3.0%.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 We also entered into two additional interest rate cap agreements in February 2021 with a combined notional amount of $1,000.0 million, for a total option premium of $0.4 million. These instruments are effective September 30, 2021, and will terminate on December 31, 2022. The amended and new interest rate caps limit our cash flow exposure related to LIBOR under a portion of our variable rate borrowings to 0.5%.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interest rate caps were entered into to manage economic risks associated with our variable rate borrowings, but were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June 30, 2021 and December 31, 2020, respectively.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notional and fair values of our derivative instruments: </w:t>
      </w:r>
    </w:p>
    <w:tbl>
      <w:tblPr>
        <w:tblW w:w="10205" w:type="dxa"/>
        <w:jc w:val="left"/>
        <w:tblInd w:w="0" w:type="dxa"/>
        <w:tblCellMar>
          <w:top w:w="28" w:type="dxa"/>
          <w:left w:w="28" w:type="dxa"/>
          <w:bottom w:w="28" w:type="dxa"/>
          <w:right w:w="28" w:type="dxa"/>
        </w:tblCellMar>
      </w:tblPr>
      <w:tblGrid>
        <w:gridCol w:w="1064"/>
        <w:gridCol w:w="830"/>
        <w:gridCol w:w="833"/>
        <w:gridCol w:w="211"/>
        <w:gridCol w:w="781"/>
        <w:gridCol w:w="109"/>
        <w:gridCol w:w="109"/>
        <w:gridCol w:w="109"/>
        <w:gridCol w:w="109"/>
        <w:gridCol w:w="211"/>
        <w:gridCol w:w="631"/>
        <w:gridCol w:w="109"/>
        <w:gridCol w:w="109"/>
        <w:gridCol w:w="109"/>
        <w:gridCol w:w="109"/>
        <w:gridCol w:w="233"/>
        <w:gridCol w:w="532"/>
        <w:gridCol w:w="121"/>
        <w:gridCol w:w="109"/>
        <w:gridCol w:w="109"/>
        <w:gridCol w:w="109"/>
        <w:gridCol w:w="211"/>
        <w:gridCol w:w="766"/>
        <w:gridCol w:w="109"/>
        <w:gridCol w:w="109"/>
        <w:gridCol w:w="109"/>
        <w:gridCol w:w="109"/>
        <w:gridCol w:w="324"/>
        <w:gridCol w:w="393"/>
        <w:gridCol w:w="169"/>
        <w:gridCol w:w="109"/>
        <w:gridCol w:w="109"/>
        <w:gridCol w:w="109"/>
        <w:gridCol w:w="236"/>
        <w:gridCol w:w="522"/>
        <w:gridCol w:w="175"/>
      </w:tblGrid>
      <w:tr>
        <w:trPr/>
        <w:tc>
          <w:tcPr>
            <w:tcW w:w="106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7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9"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27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U.S. Dollars; notional in millions, fair value in thousands)</w:t>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7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Liabilities</w:t>
            </w:r>
          </w:p>
        </w:tc>
      </w:tr>
      <w:tr>
        <w:trPr/>
        <w:tc>
          <w:tcPr>
            <w:tcW w:w="27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391</w:t>
            </w: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2,579.1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391</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pPr>
      <w:r>
        <w:rPr>
          <w:rFonts w:ascii="Times New Roman;sans-serif" w:hAnsi="Times New Roman;sans-serif"/>
          <w:b w:val="false"/>
          <w:color w:val="000000"/>
          <w:sz w:val="18"/>
        </w:rPr>
        <w:t>(a)</w:t>
      </w:r>
      <w:r>
        <w:rPr>
          <w:rFonts w:ascii="Times New Roman;sans-serif" w:hAnsi="Times New Roman;sans-serif"/>
          <w:b w:val="false"/>
          <w:color w:val="000000"/>
          <w:sz w:val="20"/>
        </w:rPr>
        <w:t>Represents the total notional amounts for certain of the Company’s supply and sales contracts accounted for as embedded derivatives.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caps and embedded derivative assets are included in “Prepaid expenses and other current assets” or “Other assets” on the Consolidated Balance Sheets depending upon their respective maturity dates. Embedded derivative liabilities are included in “Accrued liabilities” on the Consolidated Balance Sheets.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activities of our derivative instruments for the periods presented, and the line item they are recorded in the Consolidated Statements of Operations and Comprehensive Income (Loss): </w:t>
      </w:r>
    </w:p>
    <w:tbl>
      <w:tblPr>
        <w:tblW w:w="10072" w:type="dxa"/>
        <w:jc w:val="left"/>
        <w:tblInd w:w="0" w:type="dxa"/>
        <w:tblCellMar>
          <w:top w:w="28" w:type="dxa"/>
          <w:left w:w="28" w:type="dxa"/>
          <w:bottom w:w="28" w:type="dxa"/>
          <w:right w:w="28" w:type="dxa"/>
        </w:tblCellMar>
      </w:tblPr>
      <w:tblGrid>
        <w:gridCol w:w="2935"/>
        <w:gridCol w:w="2579"/>
        <w:gridCol w:w="2586"/>
        <w:gridCol w:w="211"/>
        <w:gridCol w:w="481"/>
        <w:gridCol w:w="109"/>
        <w:gridCol w:w="109"/>
        <w:gridCol w:w="109"/>
        <w:gridCol w:w="109"/>
        <w:gridCol w:w="215"/>
        <w:gridCol w:w="475"/>
        <w:gridCol w:w="154"/>
      </w:tblGrid>
      <w:tr>
        <w:trPr/>
        <w:tc>
          <w:tcPr>
            <w:tcW w:w="2935" w:type="dxa"/>
            <w:tcBorders/>
            <w:shd w:fill="auto" w:val="clear"/>
            <w:vAlign w:val="center"/>
          </w:tcPr>
          <w:p>
            <w:pPr>
              <w:pStyle w:val="TableContents"/>
              <w:spacing w:before="0" w:after="283"/>
              <w:rPr>
                <w:sz w:val="4"/>
                <w:szCs w:val="4"/>
              </w:rPr>
            </w:pPr>
            <w:r>
              <w:rPr>
                <w:sz w:val="4"/>
                <w:szCs w:val="4"/>
              </w:rPr>
            </w:r>
          </w:p>
        </w:tc>
        <w:tc>
          <w:tcPr>
            <w:tcW w:w="2579" w:type="dxa"/>
            <w:tcBorders/>
            <w:shd w:fill="auto" w:val="clear"/>
            <w:vAlign w:val="center"/>
          </w:tcPr>
          <w:p>
            <w:pPr>
              <w:pStyle w:val="TableContents"/>
              <w:spacing w:before="0" w:after="283"/>
              <w:rPr>
                <w:sz w:val="4"/>
                <w:szCs w:val="4"/>
              </w:rPr>
            </w:pPr>
            <w:r>
              <w:rPr>
                <w:sz w:val="4"/>
                <w:szCs w:val="4"/>
              </w:rPr>
            </w:r>
          </w:p>
        </w:tc>
        <w:tc>
          <w:tcPr>
            <w:tcW w:w="25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8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interest rate caps recorded in 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embedded derivatives recorded in other income, net</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0"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4" w:type="dxa"/>
            <w:gridSpan w:val="3"/>
            <w:tcBorders/>
            <w:shd w:fill="auto" w:val="clear"/>
            <w:vAlign w:val="center"/>
          </w:tcPr>
          <w:p>
            <w:pPr>
              <w:pStyle w:val="TableContents"/>
              <w:spacing w:before="0" w:after="283"/>
              <w:rPr>
                <w:sz w:val="4"/>
                <w:szCs w:val="4"/>
              </w:rPr>
            </w:pPr>
            <w:r>
              <w:rPr>
                <w:sz w:val="4"/>
                <w:szCs w:val="4"/>
              </w:rPr>
            </w:r>
          </w:p>
        </w:tc>
      </w:tr>
      <w:tr>
        <w:trPr/>
        <w:tc>
          <w:tcPr>
            <w:tcW w:w="81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foreign currency forward contracts recorded in foreign exchange (gain) loss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058" w:type="dxa"/>
        <w:jc w:val="left"/>
        <w:tblInd w:w="0" w:type="dxa"/>
        <w:tblCellMar>
          <w:top w:w="28" w:type="dxa"/>
          <w:left w:w="28" w:type="dxa"/>
          <w:bottom w:w="28" w:type="dxa"/>
          <w:right w:w="28" w:type="dxa"/>
        </w:tblCellMar>
      </w:tblPr>
      <w:tblGrid>
        <w:gridCol w:w="2934"/>
        <w:gridCol w:w="2577"/>
        <w:gridCol w:w="2588"/>
        <w:gridCol w:w="211"/>
        <w:gridCol w:w="481"/>
        <w:gridCol w:w="109"/>
        <w:gridCol w:w="109"/>
        <w:gridCol w:w="109"/>
        <w:gridCol w:w="109"/>
        <w:gridCol w:w="211"/>
        <w:gridCol w:w="466"/>
        <w:gridCol w:w="154"/>
      </w:tblGrid>
      <w:tr>
        <w:trPr/>
        <w:tc>
          <w:tcPr>
            <w:tcW w:w="2934" w:type="dxa"/>
            <w:tcBorders/>
            <w:shd w:fill="auto" w:val="clear"/>
            <w:vAlign w:val="center"/>
          </w:tcPr>
          <w:p>
            <w:pPr>
              <w:pStyle w:val="TableContents"/>
              <w:spacing w:before="0" w:after="283"/>
              <w:rPr>
                <w:sz w:val="4"/>
                <w:szCs w:val="4"/>
              </w:rPr>
            </w:pPr>
            <w:r>
              <w:rPr>
                <w:sz w:val="4"/>
                <w:szCs w:val="4"/>
              </w:rPr>
            </w:r>
          </w:p>
        </w:tc>
        <w:tc>
          <w:tcPr>
            <w:tcW w:w="2577" w:type="dxa"/>
            <w:tcBorders/>
            <w:shd w:fill="auto" w:val="clear"/>
            <w:vAlign w:val="center"/>
          </w:tcPr>
          <w:p>
            <w:pPr>
              <w:pStyle w:val="TableContents"/>
              <w:spacing w:before="0" w:after="283"/>
              <w:rPr>
                <w:sz w:val="4"/>
                <w:szCs w:val="4"/>
              </w:rPr>
            </w:pPr>
            <w:r>
              <w:rPr>
                <w:sz w:val="4"/>
                <w:szCs w:val="4"/>
              </w:rPr>
            </w:r>
          </w:p>
        </w:tc>
        <w:tc>
          <w:tcPr>
            <w:tcW w:w="25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w:t>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interest rate caps recorded in 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embedded derivatives recorded in other income, net</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foreign currency forward contracts recorded in foreign exchange (gain) loss</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(2,143)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during the three and six months ended June 30, 2020, we recognized $1.5 million of gains and $2.0 million of losses, net of tax, in accumulated other comprehensive income (loss) related to the change in fair value of the interest rate swaps.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financial assets, including cash and cash equivalents, are exposed to credit risk.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in our normal course of business, to credit risk from our customers. As of June 30, 2021 and December 31, 2020, accounts receivable was net of an allowance for uncollectible accounts of $0.7 million.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Fair Value Hierarchy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the fair value of our financial assets and liabilities: </w:t>
      </w:r>
    </w:p>
    <w:tbl>
      <w:tblPr>
        <w:tblW w:w="9057" w:type="dxa"/>
        <w:jc w:val="left"/>
        <w:tblInd w:w="0" w:type="dxa"/>
        <w:tblCellMar>
          <w:top w:w="28" w:type="dxa"/>
          <w:left w:w="28" w:type="dxa"/>
          <w:bottom w:w="28" w:type="dxa"/>
          <w:right w:w="28" w:type="dxa"/>
        </w:tblCellMar>
      </w:tblPr>
      <w:tblGrid>
        <w:gridCol w:w="1574"/>
        <w:gridCol w:w="1385"/>
        <w:gridCol w:w="1405"/>
        <w:gridCol w:w="355"/>
        <w:gridCol w:w="636"/>
        <w:gridCol w:w="124"/>
        <w:gridCol w:w="109"/>
        <w:gridCol w:w="109"/>
        <w:gridCol w:w="109"/>
        <w:gridCol w:w="211"/>
        <w:gridCol w:w="406"/>
        <w:gridCol w:w="109"/>
        <w:gridCol w:w="109"/>
        <w:gridCol w:w="109"/>
        <w:gridCol w:w="109"/>
        <w:gridCol w:w="354"/>
        <w:gridCol w:w="637"/>
        <w:gridCol w:w="109"/>
        <w:gridCol w:w="109"/>
        <w:gridCol w:w="109"/>
        <w:gridCol w:w="109"/>
        <w:gridCol w:w="211"/>
        <w:gridCol w:w="406"/>
        <w:gridCol w:w="154"/>
      </w:tblGrid>
      <w:tr>
        <w:trPr/>
        <w:tc>
          <w:tcPr>
            <w:tcW w:w="157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June 30, 2021</w:t>
            </w:r>
          </w:p>
        </w:tc>
        <w:tc>
          <w:tcPr>
            <w:tcW w:w="1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(a)</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6"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7"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assets</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1,318</w:t>
            </w: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(b)</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1,741,077</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1,758,692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96,613</w:t>
            </w: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99,685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443</w:t>
            </w: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(c)</w:t>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34,549</w:t>
            </w: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34,549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070" w:type="dxa"/>
        <w:jc w:val="left"/>
        <w:tblInd w:w="0" w:type="dxa"/>
        <w:tblCellMar>
          <w:top w:w="28" w:type="dxa"/>
          <w:left w:w="28" w:type="dxa"/>
          <w:bottom w:w="28" w:type="dxa"/>
          <w:right w:w="28" w:type="dxa"/>
        </w:tblCellMar>
      </w:tblPr>
      <w:tblGrid>
        <w:gridCol w:w="1578"/>
        <w:gridCol w:w="1390"/>
        <w:gridCol w:w="1396"/>
        <w:gridCol w:w="440"/>
        <w:gridCol w:w="536"/>
        <w:gridCol w:w="148"/>
        <w:gridCol w:w="109"/>
        <w:gridCol w:w="109"/>
        <w:gridCol w:w="109"/>
        <w:gridCol w:w="211"/>
        <w:gridCol w:w="406"/>
        <w:gridCol w:w="109"/>
        <w:gridCol w:w="109"/>
        <w:gridCol w:w="109"/>
        <w:gridCol w:w="109"/>
        <w:gridCol w:w="441"/>
        <w:gridCol w:w="535"/>
        <w:gridCol w:w="128"/>
        <w:gridCol w:w="109"/>
        <w:gridCol w:w="109"/>
        <w:gridCol w:w="109"/>
        <w:gridCol w:w="211"/>
        <w:gridCol w:w="406"/>
        <w:gridCol w:w="154"/>
      </w:tblGrid>
      <w:tr>
        <w:trPr/>
        <w:tc>
          <w:tcPr>
            <w:tcW w:w="1578"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2020</w:t>
            </w:r>
          </w:p>
        </w:tc>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33" w:before="43" w:after="3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(a)</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44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(b)</w:t>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1,728,018 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1,772,180 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due 2026</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(c)</w:t>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(a)Derivatives that are not designated as hedging instruments are measured at fair value with gains or losses recognized immediately in the Consolidated Statements of Operations and Comprehensive Income (Loss).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(b)Carrying amounts of long-term debt instruments are reported net of discounts and debt issuance costs. The estimated fair value of these instruments is based on information provided by the agent under the Company’s senior secured credit facility. Fair value approximates carrying value for “Other long-term debt.”</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(c)Fair value approximates carrying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360"/>
        <w:rPr>
          <w:rFonts w:ascii="Times New Roman;sans-serif" w:hAnsi="Times New Roman;sans-serif"/>
          <w:b/>
          <w:color w:val="000000"/>
          <w:sz w:val="20"/>
        </w:rPr>
      </w:pPr>
      <w:r>
        <w:rPr>
          <w:rFonts w:ascii="Times New Roman;sans-serif" w:hAnsi="Times New Roman;sans-serif"/>
          <w:b/>
          <w:color w:val="000000"/>
          <w:sz w:val="20"/>
        </w:rPr>
        <w:t xml:space="preserve">18.Segment Information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our 2020 Form 10-K.</w:t>
      </w:r>
    </w:p>
    <w:p>
      <w:pPr>
        <w:pStyle w:val="TextBody"/>
        <w:spacing w:lineRule="auto" w:line="288" w:before="24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Sterigenics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spacing w:lineRule="auto" w:line="288" w:before="24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Nordion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spacing w:lineRule="auto" w:line="288" w:before="24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Nelson Labs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2021, two customers reported within the Nordion segment individually represented 10% or more of the segment’s total net revenues. These customers represented 17.9% and 16.1% of the total segment’s external net revenues for the three months ended June 30, 2021. For the three months ended June 30, 2020, four customers reported within the Nordion segment individually represented 10% or more of the segment’s total net revenues. These customers represented 17.6%, 19.0%, 13.1%, and 10.2% of the total segment’s external net revenues for the three months ended June 30,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2021, four customers reported within the Nordion segment individually represented 10% or more of the segment’s total net revenues. These customers represented 14.8%, 12.6%, 13.1%, and 10.5% of the total segment’s external net revenues for the six months ended June 30, 2021. For the six months ended June 30, 2020, two customers reported within the Nordion segment individually represented 10% or more of the segment’s total net revenues. These customers represented 14.5% and 18.9% of the total segment's external net revenues for the six months ended June 30,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each of our segments is presented in the following table: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7662" w:type="dxa"/>
        <w:jc w:val="left"/>
        <w:tblInd w:w="0" w:type="dxa"/>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81"/>
      </w:tblGrid>
      <w:tr>
        <w:trPr/>
        <w:tc>
          <w:tcPr>
            <w:tcW w:w="72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ind w:left="0" w:right="0" w:firstLine="50"/>
              <w:rPr>
                <w:sz w:val="4"/>
                <w:szCs w:val="4"/>
              </w:rPr>
            </w:pPr>
            <w:r>
              <w:rPr>
                <w:sz w:val="4"/>
                <w:szCs w:val="4"/>
              </w:rPr>
            </w:r>
          </w:p>
        </w:tc>
      </w:tr>
      <w:tr>
        <w:trPr/>
        <w:tc>
          <w:tcPr>
            <w:tcW w:w="1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9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Segment revenues</w:t>
            </w:r>
            <w:r>
              <w:rPr>
                <w:rFonts w:ascii="Times New Roman;sans-serif" w:hAnsi="Times New Roman;sans-serif"/>
                <w:b w:val="false"/>
                <w:color w:val="000000"/>
                <w:sz w:val="13"/>
              </w:rPr>
              <w:t>(a)</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145,182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276,333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237,652 </w:t>
            </w:r>
          </w:p>
        </w:tc>
        <w:tc>
          <w:tcPr>
            <w:tcW w:w="18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49,125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75,043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65,766 </w:t>
            </w:r>
          </w:p>
        </w:tc>
        <w:tc>
          <w:tcPr>
            <w:tcW w:w="18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57,610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112,689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251,917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464,065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Segment income</w:t>
            </w:r>
            <w:r>
              <w:rPr>
                <w:rFonts w:ascii="Times New Roman;sans-serif" w:hAnsi="Times New Roman;sans-serif"/>
                <w:b w:val="false"/>
                <w:color w:val="000000"/>
                <w:sz w:val="13"/>
              </w:rPr>
              <w:t>(b)</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79,569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148,030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126,121 </w:t>
            </w:r>
          </w:p>
        </w:tc>
        <w:tc>
          <w:tcPr>
            <w:tcW w:w="18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31,168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44,954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40,431 </w:t>
            </w:r>
          </w:p>
        </w:tc>
        <w:tc>
          <w:tcPr>
            <w:tcW w:w="18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23,826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46,896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134,563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239,880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(a)Revenues are reported net of intersegment sales. Our Nordion segment recognized $7.0 million and $9.0 million in revenues from sales to our Sterigenics segment for the three months ended June 30, 2021 and 2020, and $17.5 million and $19.9 million in revenues from sales to our Sterigenics segment for the six months ended June 30, 2021 and 2020, respectively, that is not reflected in net revenues in the table above. Intersegment sales for Sterigenics and Nelson Labs are immaterial for these periods.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(b)Segment income is only provided on a net basis to the chief operating decision maker and is reported net of intersegment profits.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operating expenses for executive management, accounting, information technology, legal, human resources, treasury, corporate development, tax, purchasing, and marketing not directly incurred by a segment are allocated to the segments based on total revenue. Corporate operating expenses that are directly incurred by a segment are reflected in each segment’s income.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Capital expenditures by segment for the six months ended June 30, 2021 and 2020 were as follows:</w:t>
      </w:r>
    </w:p>
    <w:tbl>
      <w:tblPr>
        <w:tblW w:w="4809" w:type="dxa"/>
        <w:jc w:val="left"/>
        <w:tblInd w:w="0" w:type="dxa"/>
        <w:tblCellMar>
          <w:top w:w="28" w:type="dxa"/>
          <w:left w:w="28" w:type="dxa"/>
          <w:bottom w:w="28" w:type="dxa"/>
          <w:right w:w="28" w:type="dxa"/>
        </w:tblCellMar>
      </w:tblPr>
      <w:tblGrid>
        <w:gridCol w:w="848"/>
        <w:gridCol w:w="745"/>
        <w:gridCol w:w="747"/>
        <w:gridCol w:w="211"/>
        <w:gridCol w:w="736"/>
        <w:gridCol w:w="109"/>
        <w:gridCol w:w="109"/>
        <w:gridCol w:w="109"/>
        <w:gridCol w:w="109"/>
        <w:gridCol w:w="211"/>
        <w:gridCol w:w="721"/>
        <w:gridCol w:w="154"/>
      </w:tblGrid>
      <w:tr>
        <w:trPr/>
        <w:tc>
          <w:tcPr>
            <w:tcW w:w="84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35,851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6,376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44,789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and depreciation and amortization expense by segment are not readily available and are not reported separately to the chief operating decision maker.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333" w:before="0" w:after="0"/>
        <w:rPr/>
      </w:pPr>
      <w:hyperlink w:anchor="i29f10cb813314ea8b7b3770130c94f32_7">
        <w:r>
          <w:rPr>
            <w:rStyle w:val="InternetLink"/>
            <w:rFonts w:ascii="Times New Roman;sans-serif" w:hAnsi="Times New Roman;sans-serif"/>
            <w:b w:val="false"/>
            <w:color w:val="0000FF"/>
            <w:sz w:val="16"/>
            <w:u w:val="single"/>
          </w:rPr>
          <w:t>Table of Contents</w:t>
        </w:r>
      </w:hyperlink>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segment income to consolidated income (loss) before taxes is as follows: </w:t>
      </w:r>
    </w:p>
    <w:tbl>
      <w:tblPr>
        <w:tblW w:w="10205" w:type="dxa"/>
        <w:jc w:val="left"/>
        <w:tblInd w:w="0" w:type="dxa"/>
        <w:tblCellMar>
          <w:top w:w="28" w:type="dxa"/>
          <w:left w:w="28" w:type="dxa"/>
          <w:bottom w:w="28" w:type="dxa"/>
          <w:right w:w="28" w:type="dxa"/>
        </w:tblCellMar>
      </w:tblPr>
      <w:tblGrid>
        <w:gridCol w:w="1685"/>
        <w:gridCol w:w="1437"/>
        <w:gridCol w:w="1442"/>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685"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5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26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134,563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239,880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19,163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40,445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333" w:before="53" w:after="30"/>
              <w:ind w:left="0" w:right="0" w:hanging="24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37,461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75,122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0"/>
              </w:rPr>
              <w:t>(b)</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6,942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(Gain) loss on foreign currency and embedded derivatives</w:t>
            </w:r>
            <w:r>
              <w:rPr>
                <w:rFonts w:ascii="Times New Roman;sans-serif" w:hAnsi="Times New Roman;sans-serif"/>
                <w:b w:val="false"/>
                <w:color w:val="000000"/>
                <w:sz w:val="10"/>
              </w:rPr>
              <w:t>(c)</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Acquisition and divestiture related charges, net</w:t>
            </w:r>
            <w:r>
              <w:rPr>
                <w:rFonts w:ascii="Times New Roman;sans-serif" w:hAnsi="Times New Roman;sans-serif"/>
                <w:b w:val="false"/>
                <w:color w:val="000000"/>
                <w:sz w:val="10"/>
              </w:rPr>
              <w:t>(d)</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844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Business optimization project expenses</w:t>
            </w:r>
            <w:r>
              <w:rPr>
                <w:rFonts w:ascii="Times New Roman;sans-serif" w:hAnsi="Times New Roman;sans-serif"/>
                <w:b w:val="false"/>
                <w:color w:val="000000"/>
                <w:sz w:val="10"/>
              </w:rPr>
              <w:t>(e)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Plant closure expenses</w:t>
            </w:r>
            <w:r>
              <w:rPr>
                <w:rFonts w:ascii="Times New Roman;sans-serif" w:hAnsi="Times New Roman;sans-serif"/>
                <w:b w:val="false"/>
                <w:color w:val="000000"/>
                <w:sz w:val="10"/>
              </w:rPr>
              <w:t>(f)</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Loss on extinguishment of debt</w:t>
            </w:r>
            <w:r>
              <w:rPr>
                <w:rFonts w:ascii="Times New Roman;sans-serif" w:hAnsi="Times New Roman;sans-serif"/>
                <w:b w:val="false"/>
                <w:color w:val="000000"/>
                <w:sz w:val="10"/>
              </w:rPr>
              <w:t>(g)</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14,312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Professional services relating to EO sterilization facilities</w:t>
            </w:r>
            <w:r>
              <w:rPr>
                <w:rFonts w:ascii="Times New Roman;sans-serif" w:hAnsi="Times New Roman;sans-serif"/>
                <w:b w:val="false"/>
                <w:color w:val="000000"/>
                <w:sz w:val="10"/>
              </w:rPr>
              <w:t>(h)</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10,644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24,043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Accretion of asset retirement obligation</w:t>
            </w:r>
            <w:r>
              <w:rPr>
                <w:rFonts w:ascii="Times New Roman;sans-serif" w:hAnsi="Times New Roman;sans-serif"/>
                <w:b w:val="false"/>
                <w:color w:val="000000"/>
                <w:sz w:val="10"/>
              </w:rPr>
              <w:t>(i)</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20"/>
              </w:rPr>
              <w:t>COVID-19 expenses</w:t>
            </w:r>
            <w:r>
              <w:rPr>
                <w:rFonts w:ascii="Times New Roman;sans-serif" w:hAnsi="Times New Roman;sans-serif"/>
                <w:b w:val="false"/>
                <w:color w:val="000000"/>
                <w:sz w:val="13"/>
              </w:rPr>
              <w:t>(j)</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(loss) before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61,797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75,879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(a)Includes depreciation of Co-60 held at gamma irradiation sites.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(b)Represents non-cash share-based compensation expense.</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(c)Represents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(d)Represents (i) certain direct and incremental costs related to the acquisitions of the noncontrolling interests in our China subsidiaries and BioScience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(e)Represents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(f)Represents professional fees, severance and other payroll costs, and other costs including ongoing lease and utility expenses associated with the closure of the Willowbrook, Illinois facility.</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xml:space="preserve">(g)Represents expenses incurred in connection with the repricing of our Term Loan in January 2021 including accelerated amortization of prior debt issuance and discount costs. </w:t>
      </w:r>
    </w:p>
    <w:p>
      <w:pPr>
        <w:pStyle w:val="TextBody"/>
        <w:spacing w:lineRule="auto" w:line="288" w:before="0" w:after="0"/>
        <w:ind w:left="0" w:right="0" w:hanging="540"/>
        <w:rPr/>
      </w:pPr>
      <w:r>
        <w:rPr>
          <w:rFonts w:ascii="Times New Roman;sans-serif" w:hAnsi="Times New Roman;sans-serif"/>
          <w:b w:val="false"/>
          <w:color w:val="000000"/>
          <w:sz w:val="20"/>
        </w:rPr>
        <w:t>(h)Represents professional fees related to litigation associated with our EO sterilization facilities and other related professional fees. See Note 16, “Commitments and Contingencies”</w:t>
      </w:r>
      <w:r>
        <w:rPr>
          <w:rFonts w:ascii="Arial;sans-serif" w:hAnsi="Arial;sans-serif"/>
          <w:b w:val="false"/>
          <w:color w:val="000000"/>
          <w:sz w:val="20"/>
        </w:rPr>
        <w:t>.</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(j)Represents non-recurring costs associated with the COVID-19 pandemic, including incremental costs to implement workplace health and safety measures. For the three and six months ended June 30, 2020, costs also included donations to related charitable causes, and special bonuses for front-line personnel working on-site during lockdown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2020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2020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0"/>
        </w:rPr>
        <w:t>®</w:t>
      </w:r>
      <w:r>
        <w:rPr>
          <w:rFonts w:ascii="Times New Roman;sans-serif" w:hAnsi="Times New Roman;sans-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2021, respectively, we recorded net revenues of $251.9 million and $464.1 million, net income of $42.6 million and $53.7 million, Adjusted Net Income of $71.7 million and $123.2 million, and Adjusted EBITDA of $134.6 million and $239.9 million. For the definition of Adjusted Net Income and Adjusted EBITDA and the reconciliation of these non-GAAP measures from net income (loss), please see “Non-GAAP Financial Measures.”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STRATEGIC DEVELOPMENTS AND KEY FACTORS AFFECTING OUR RESULTS OF OPERATIONS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strategic developments and key factors that have underpinned our operating results for the three and six months ended June 30, 2021 and may continue to affect our performance and financial condition in future periods.</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Driving organic growth</w:t>
      </w:r>
      <w:r>
        <w:rPr>
          <w:rFonts w:ascii="Times New Roman;sans-serif" w:hAnsi="Times New Roman;sans-serif"/>
          <w:b w:val="false"/>
          <w:color w:val="000000"/>
          <w:sz w:val="20"/>
        </w:rPr>
        <w:t>. During the three and six months ended June 30, 2021, we continued to make investments to expand capacity and implement EO facility enhancements in our Sterigenics business and expand our cobalt development resources in our Nordion business. In addition, we continue to expand capacity to meet demand for microbiological testing and extractables and leachables testing in our Nelson Labs business.</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Disciplined and strategic M&amp;A activity</w:t>
      </w:r>
      <w:r>
        <w:rPr>
          <w:rFonts w:ascii="Times New Roman;sans-serif" w:hAnsi="Times New Roman;sans-serif"/>
          <w:b w:val="false"/>
          <w:color w:val="000000"/>
          <w:sz w:val="20"/>
        </w:rPr>
        <w:t>. We continue to pursue strategic acquisitions to grow our footprint and expand our capabilities. On March 8, 2021, we acquired BioScience Laboratories, LLC (“BioScience”) with one location in Bozeman, Montana. BioScience is a provider of outsourced topical antimicrobial and virology product testing in the pharmaceutical, medical device, and consumer products industries. BioScience’s expertise in analytical testing and clinical trial services will complement Nelson Labs’ existing strengths in antimicrobial and virology testing. In July 2020, we acquired Iotron Industries Canada, Inc. (“Iotron”), an E-beam processing services and equipment provider.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May 18, 2021, we completed the purchase of the outstanding noncontrolling interests of 15% and 33% of our two China subsidiaries, respectively, for a total purchase price of $8.6 million. On March 11, 2021, we completed the acquisition of the remaining 15% ownership of Nelson Labs Fairfield for $12.4 million. Pursuant to the terms of the transaction, we acquired 85% of the equity interests of Nelson Labs Fairfield in August 2018 and were required to acquire the 15% noncontrolling interest within three years from the date of the acquisition. </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 xml:space="preserve">Borrowings and financing costs. </w:t>
      </w:r>
      <w:r>
        <w:rPr>
          <w:rFonts w:ascii="Times New Roman;sans-serif" w:hAnsi="Times New Roman;sans-serif"/>
          <w:b w:val="false"/>
          <w:color w:val="000000"/>
          <w:sz w:val="20"/>
        </w:rPr>
        <w:t xml:space="preserve">A combination of lower outstanding borrowings and reduced pricing on our debt resulted in a reduction in cash interest expense for the three and six months ended June 30, 2021 compared to the three and six months ended June 30, 2020. On January 20, 2021 we amended our Term Loan to reduce the interest rate spread over LIBOR from 4.50% to 2.75%, and the LIBOR floor from 1.00% to 0.50%. The changes resulted in an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reduction in current interest rates of 2.25%. We expect the amendment to provide additional cash interest savings of approximately $40.0 million per year based on the outstanding principal balance as of the date of the amendment. Interest savings in 2021 will be offset by cash and non-cash charges associated with the repricing amendment. In connection with this transaction, we wrote off approximately $11.3 million in debt issuance costs and debt discounts and incurred approximately $2.9 million in costs directly related to the refinancing transaction. In addition, on March 26, 2021, we amended our Revolving Credit Facility to reduce the interest rate spread over LIBOR applicable to revolving loans from 3.50% to 2.75%. </w:t>
      </w:r>
    </w:p>
    <w:p>
      <w:pPr>
        <w:pStyle w:val="TextBody"/>
        <w:spacing w:lineRule="auto" w:line="288" w:before="120" w:after="283"/>
        <w:ind w:left="0" w:right="0" w:hanging="360"/>
        <w:rPr/>
      </w:pPr>
      <w:r>
        <w:rPr>
          <w:color w:val="000000"/>
        </w:rPr>
        <w:t>• </w:t>
      </w:r>
      <w:r>
        <w:rPr>
          <w:rFonts w:ascii="Times New Roman;sans-serif" w:hAnsi="Times New Roman;sans-serif"/>
          <w:b/>
          <w:color w:val="000000"/>
          <w:sz w:val="20"/>
        </w:rPr>
        <w:t>Impacts of our IPO</w:t>
      </w:r>
      <w:r>
        <w:rPr>
          <w:rFonts w:ascii="Times New Roman;sans-serif" w:hAnsi="Times New Roman;sans-serif"/>
          <w:b w:val="false"/>
          <w:color w:val="000000"/>
          <w:sz w:val="20"/>
        </w:rPr>
        <w:t>. As a newly public company, we continue to incur certain expenses on an ongoing basis that we did not incur as a private company including third-party and internal resources related to accounting, auditing, Sarbanes-Oxley Act compliance, legal, and investor and public relations expenses. These costs are primarily classified as selling, general and administrative (“SG&amp;A”) expenses. We continue to dedicate internal resources, hire additional personnel, and engage outside consultants to assess and document the adequacy of internal controls over financial reporting. In addition, in March 2021, we incurred costs related to a secondary offering of 25 million shares of our common stock offered by selling stockholders, which included certain affiliates of Warburg Pincus LLC and GTCR, LLC as well as certain current and former members of management of the Company.</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Litigation costs and exit activities</w:t>
      </w:r>
      <w:r>
        <w:rPr>
          <w:rFonts w:ascii="Times New Roman;sans-serif" w:hAnsi="Times New Roman;sans-serif"/>
          <w:b w:val="false"/>
          <w:color w:val="000000"/>
          <w:sz w:val="20"/>
        </w:rPr>
        <w:t>. In connection with the ongoing litigation related to our Willowbrook, Illinois, Atlanta, Georgia and Santa Teresa, New Mexico facilities, as described in Note 16, “Commitments and Contingencies”, we recorded costs of $10.6 million and $24.0 million for the three and six months ended June 30, 2021, respectively, relating to legal and other professional service costs, as well as $0.8 million and $1.3 million, respectively, related to the closure of the Willowbrook, Illinois facility.</w:t>
      </w:r>
    </w:p>
    <w:p>
      <w:pPr>
        <w:pStyle w:val="TextBody"/>
        <w:spacing w:lineRule="auto" w:line="288" w:before="120" w:after="283"/>
        <w:ind w:left="0" w:right="0" w:hanging="360"/>
        <w:rPr/>
      </w:pPr>
      <w:r>
        <w:rPr>
          <w:color w:val="000000"/>
        </w:rPr>
        <w:t>•</w:t>
      </w:r>
      <w:r>
        <w:rPr>
          <w:rFonts w:ascii="Times New Roman;sans-serif" w:hAnsi="Times New Roman;sans-serif"/>
          <w:b/>
          <w:color w:val="000000"/>
          <w:sz w:val="20"/>
        </w:rPr>
        <w:t>Impact of COVID-19 pandemic</w:t>
      </w:r>
      <w:r>
        <w:rPr>
          <w:rFonts w:ascii="Times New Roman;sans-serif" w:hAnsi="Times New Roman;sans-serif"/>
          <w:b w:val="false"/>
          <w:color w:val="000000"/>
          <w:sz w:val="20"/>
        </w:rPr>
        <w:t xml:space="preserve">. We remain subject to risks and uncertainties as a result of the COVID-19 pandemic. Our business continuity plans remain in effect and we have maintained certain measures to decrease exposure risk and manage our supply chain for critical materials. The extent to which our operations will continue to be impacted by the pandemic will largely depend on future developments, which still remain uncertain and cannot be predicted.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CONSOLIDATED RESULTS OF OPERATIONS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Three Months Ended June 30, 2021 as compared to Three Months Ended June 30, 2020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three months ended June 30, 2021 and 2020. </w:t>
      </w:r>
    </w:p>
    <w:tbl>
      <w:tblPr>
        <w:tblW w:w="7687" w:type="dxa"/>
        <w:jc w:val="left"/>
        <w:tblInd w:w="0" w:type="dxa"/>
        <w:tblCellMar>
          <w:top w:w="28" w:type="dxa"/>
          <w:left w:w="28" w:type="dxa"/>
          <w:bottom w:w="28" w:type="dxa"/>
          <w:right w:w="28" w:type="dxa"/>
        </w:tblCellMar>
      </w:tblPr>
      <w:tblGrid>
        <w:gridCol w:w="810"/>
        <w:gridCol w:w="711"/>
        <w:gridCol w:w="71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08"/>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251,917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108,156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65,489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78,272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42,615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71,672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134,563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540"/>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revenues by type for the three months ended June 30, 2021 to the three months ended June 30, 2020.</w:t>
      </w:r>
    </w:p>
    <w:tbl>
      <w:tblPr>
        <w:tblW w:w="9053" w:type="dxa"/>
        <w:jc w:val="left"/>
        <w:tblInd w:w="0" w:type="dxa"/>
        <w:tblCellMar>
          <w:top w:w="28" w:type="dxa"/>
          <w:left w:w="28" w:type="dxa"/>
          <w:bottom w:w="28" w:type="dxa"/>
          <w:right w:w="28" w:type="dxa"/>
        </w:tblCellMar>
      </w:tblPr>
      <w:tblGrid>
        <w:gridCol w:w="1343"/>
        <w:gridCol w:w="1179"/>
        <w:gridCol w:w="118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34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three months ended June 30,</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208,710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43,207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251,917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$251.9 million in the three months ended June 30, 2021, an increase of $38.8 million, or 18.2%, as compared with the three months ended June 30, 2020. Excluding the impact of foreign currency exchange rates, net revenues in the three months ended June 30, 2021 increased approximately 14.3% compared with the three months ended June 30, 2020.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Service revenues increased $34.3 million, or 19.6%, to $208.7 million in the three months ended June 30, 2021 as compared to $174.4 million in the three months ended June 30, 2020. The increase in net service revenues reflected a $10.4 million increase due to the July 31, 2020 acquisition of Iotron and March 8, 2021 acquisition of BioScience. The increase in net service revenue was also driven by organic volume growth of $10.0 million in the Sterigenics segment. Nelson Labs organic volume growth contributed $2.9 million to the revenue increase in the three months ended June 30, 2021, exclusive of an overall decline in personal protective equipment testing of $2.6 million. The onset of COVID-19 in the first half of 2020 generated significant demand for testing of personal protective equipment, which subsequently declined in the three months ended June 30, 2021. In addition, service revenue growth stemmed from favorable pricing of $4.7 million and $2.0 million in the Sterigenics and Nelson Labs segments, respectively. The remainder of the increase was attributable to a $2.5 million increase in service revenue at Nordion, primarily related to production irradiator refurbishments, and changes in foreign currency exchange rates across all segments.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revenues increased $4.6 million, or 11.8%, to $43.2 million in the three months ended June 30, 2021 as compared to $38.6 million in the three months ended June 30, 2020. The increase in product revenues was primarily attributable to favorable impacts from foreign currency exchange rates and pricing of $3.8 million and $3.3 million, respectively, partially offset by lower sales volumes.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three months ended June 30, 2021 to the three months ended June 30, 2020. </w:t>
      </w:r>
    </w:p>
    <w:tbl>
      <w:tblPr>
        <w:tblW w:w="9217" w:type="dxa"/>
        <w:jc w:val="left"/>
        <w:tblInd w:w="0" w:type="dxa"/>
        <w:tblCellMar>
          <w:top w:w="28" w:type="dxa"/>
          <w:left w:w="28" w:type="dxa"/>
          <w:bottom w:w="28" w:type="dxa"/>
          <w:right w:w="28" w:type="dxa"/>
        </w:tblCellMar>
      </w:tblPr>
      <w:tblGrid>
        <w:gridCol w:w="1440"/>
        <w:gridCol w:w="1265"/>
        <w:gridCol w:w="1269"/>
        <w:gridCol w:w="211"/>
        <w:gridCol w:w="84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08"/>
      </w:tblGrid>
      <w:tr>
        <w:trPr/>
        <w:tc>
          <w:tcPr>
            <w:tcW w:w="1440"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three months ended June 30,</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91,391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16,765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108,156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42.9% and 44.2% of our consolidated net revenues for the three months ended June 30, 2021 and 2020, respectively.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revenues increased $10.8 million, or 13.4%, for the three months ended June 30, 2021 as compared to the three months ended June 30, 2020. The increase was largely attributable to the incremental contribution of $4.0 million from the Iotron and BioScience acquisitions. The increase was also driven by the impact of foreign currency exchange rates on cost of revenues within our foreign subsidiaries. The remainder of the increase was attributable to overall increases in direct costs in support of the revenue growth cited above.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increased $3.3 million, or 24.2%, for the three months ended June 30, 2021 as compared to the three months ended June 30, 2020. The increase was primarily a result of an unfavorable Co-60 supply mix and an unfavorable impact from foreign currency exchange rates.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three months ended June 30, 2021 to the three months ended June 30, 2020: </w:t>
      </w:r>
    </w:p>
    <w:tbl>
      <w:tblPr>
        <w:tblW w:w="9218" w:type="dxa"/>
        <w:jc w:val="left"/>
        <w:tblInd w:w="0" w:type="dxa"/>
        <w:tblCellMar>
          <w:top w:w="28" w:type="dxa"/>
          <w:left w:w="28" w:type="dxa"/>
          <w:bottom w:w="28" w:type="dxa"/>
          <w:right w:w="28" w:type="dxa"/>
        </w:tblCellMar>
      </w:tblPr>
      <w:tblGrid>
        <w:gridCol w:w="1517"/>
        <w:gridCol w:w="1332"/>
        <w:gridCol w:w="1336"/>
        <w:gridCol w:w="211"/>
        <w:gridCol w:w="736"/>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08"/>
      </w:tblGrid>
      <w:tr>
        <w:trPr/>
        <w:tc>
          <w:tcPr>
            <w:tcW w:w="1517"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three months ended June 30,</w:t>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49,828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15,661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5"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65,489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26.0% and 26.9% of our consolidated net revenues for the three months ended June 30, 2021 and 2020, respectively.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SG&amp;A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increased $7.1 million, or 16.7%, for the three months ended June 30, 2021 as compared to the three months ended June 30, 2020. The increase was driven primarily by the following: </w:t>
      </w:r>
    </w:p>
    <w:p>
      <w:pPr>
        <w:pStyle w:val="TextBody"/>
        <w:spacing w:lineRule="auto" w:line="288" w:before="120" w:after="283"/>
        <w:ind w:left="0" w:right="0" w:hanging="360"/>
        <w:rPr/>
      </w:pPr>
      <w:r>
        <w:rPr>
          <w:color w:val="231F20"/>
        </w:rPr>
        <w:t>•</w:t>
      </w:r>
      <w:r>
        <w:rPr>
          <w:rFonts w:ascii="Times New Roman;sans-serif" w:hAnsi="Times New Roman;sans-serif"/>
          <w:b w:val="false"/>
          <w:color w:val="000000"/>
          <w:sz w:val="20"/>
        </w:rPr>
        <w:t>$4.0 million in incremental corporate expenses largely attributed to costs associated with being a public company. This includes $1.8 million in incremental costs attributable to public company director and officer liability insurance;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An increase in share-based compensation expense of $2.1 million related to our 2020 Omnibus Incentive Plan;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$1.2 million increase in legal and other professional services expense associated with EO litigation.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Offsetting these costs was a $2.1 million decrease in costs directly associated with the COVID-19 pandemic, which included donations to related charitable causes, special bonuses for front-line personnel working on-site during lockdown periods and measures to ensure workplace health and safety.</w:t>
      </w:r>
    </w:p>
    <w:p>
      <w:pPr>
        <w:pStyle w:val="TextBody"/>
        <w:spacing w:lineRule="auto" w:line="288" w:before="240" w:after="283"/>
        <w:rPr/>
      </w:pPr>
      <w:r>
        <w:rPr>
          <w:color w:val="000000"/>
        </w:rPr>
        <w:t xml:space="preserve">  </w:t>
      </w:r>
      <w:r>
        <w:rPr>
          <w:rFonts w:ascii="Times New Roman;sans-serif" w:hAnsi="Times New Roman;sans-serif"/>
          <w:b w:val="false"/>
          <w:i/>
          <w:color w:val="000000"/>
          <w:sz w:val="20"/>
        </w:rPr>
        <w:t>Amortization of intangible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$15.7 million for the three months ended June 30, 2021, or 7.7% above the three months ended June 30, 2020. The change was primarily attributable to amortization on newly acquired intangible assets related to the Iotron and BioScience acquisitions.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decreased $36.1 million, or 65.3%, for the three months ended June 30, 2021 as compared to the three months ended June 30, 2020. The decrease was largely due to lower outstanding debt for the three months ended June 30, 2021 and lower interest rates subsequent to the January 2021 Term Loan refinancing. The weighted average interest rate on our outstanding debt was 3.45% and 6.93% at June 30, 2021 and 2020, respectively.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Foreign Exchange Loss (Gain)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was $0.1 million for the three months ended June 30, 2021 as compared to a gain of $0.2 million in the three months ended June 30, 2020. The foreign exchange loss (gain) in our Consolidated Statements of Operations and Comprehensive Income (Loss) relates primarily to U.S. dollar denominated intercompany indebtedness with certain of our European and Canadian subsidiaries.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Other income, net was $2.8 million for the three months ended June 30, 2021 compared to $4.4 million for the three months ended June 30, 2020. The fluctuation was driven by changes in the fair value of the embedded derivatives in Nordion’s contracts. We recorded an unrealized gain on embedded derivatives of $0.8 million for the three months ended June 30, 2021 as compared to an unrealized gain on embedded derivatives of $2.8 million for the three months ended June 30, 2020.</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 increased $15.4 million to a net provision of $19.2 million for the three months ended June 30, 2021 as compared to $3.8 million in the three months ended June 30, 2020. The change was primarily attributable to an increase in pre-tax income of $50.8 million for the three months ended June 30, 2021 from the three months ended June 30, 2020, offset by a decrease in global intangible low-tax income (“GILTI”) tax expense.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for the three months ended June 30, 2021 differed from the statutory rate primarily due to the impact of the foreign rate differential, GILTI, a net increase in the interest expense valuation allowance, and a discrete item pertaining to an income tax rate change in the United Kingdom. Provision for income taxes for the three months ended June 30, 2020 differed from the statutory rate primarily due to GILTI, the foreign rate differential, non-deductible expenses as well as the impact of the 2020 Coronavirus Aid, Relief, and Economic Security Act (the “CARES Act”), which increased the limitation on interest expense deductions and resulted in a valuation allowance reversal.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Net Income (Loss), Adjusted Net Income and Adjusted EBITDA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June 30, 2021 was $42.6 million, as compared to net income of $7.3 million for the three months ended June 30, 2020. Adjusted Net Income was $71.7 million for the three months ended June 30, 2021, as compared to $31.4 million for the three months ended June 30, 2020, due to the factors described above. Adjusted EBITDA was $134.6 million for the three months ended June 30, 2021, as compared to $114.4 million for the three months ended June 30, 2020, due to the factors described above. Please see “Non-GAAP Financial Measures” below for a reconciliation of Adjusted Net Income and Adjusted EBITDA to their most directly comparable financial measure calculated and presented in accordance with GAAP.</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Six Months Ended June 30, 2021 as compared to Six Months Ended June 30, 2020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six months ended June 30, 2021 and 2020. </w:t>
      </w:r>
    </w:p>
    <w:tbl>
      <w:tblPr>
        <w:tblW w:w="7687" w:type="dxa"/>
        <w:jc w:val="left"/>
        <w:tblInd w:w="0" w:type="dxa"/>
        <w:tblCellMar>
          <w:top w:w="28" w:type="dxa"/>
          <w:left w:w="28" w:type="dxa"/>
          <w:bottom w:w="28" w:type="dxa"/>
          <w:right w:w="28" w:type="dxa"/>
        </w:tblCellMar>
      </w:tblPr>
      <w:tblGrid>
        <w:gridCol w:w="810"/>
        <w:gridCol w:w="711"/>
        <w:gridCol w:w="713"/>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307"/>
        <w:gridCol w:w="309"/>
        <w:gridCol w:w="508"/>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464,065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204,932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134,497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124,636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53,680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(a)</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123,178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(a)</w:t>
            </w:r>
          </w:p>
        </w:tc>
        <w:tc>
          <w:tcPr>
            <w:tcW w:w="105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239,880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540"/>
        <w:rPr/>
      </w:pPr>
      <w:r>
        <w:rPr>
          <w:rFonts w:ascii="Times New Roman;sans-serif" w:hAnsi="Times New Roman;sans-serif"/>
          <w:b w:val="false"/>
          <w:color w:val="000000"/>
          <w:sz w:val="13"/>
        </w:rPr>
        <w:t>(a)</w:t>
      </w:r>
      <w:r>
        <w:rPr>
          <w:rFonts w:ascii="Times New Roman;sans-serif" w:hAnsi="Times New Roman;sans-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revenues by type for the six months ended June 30, 2021 to the six months ended June 30, 2020.</w:t>
      </w:r>
    </w:p>
    <w:tbl>
      <w:tblPr>
        <w:tblW w:w="8872" w:type="dxa"/>
        <w:jc w:val="left"/>
        <w:tblInd w:w="0" w:type="dxa"/>
        <w:tblCellMar>
          <w:top w:w="28" w:type="dxa"/>
          <w:left w:w="28" w:type="dxa"/>
          <w:bottom w:w="28" w:type="dxa"/>
          <w:right w:w="28" w:type="dxa"/>
        </w:tblCellMar>
      </w:tblPr>
      <w:tblGrid>
        <w:gridCol w:w="1277"/>
        <w:gridCol w:w="1122"/>
        <w:gridCol w:w="1125"/>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six months ended June 30,</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397,408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66,657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464,065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$464.1 million in the six months ended June 30, 2021, an increase of $62.8 million, or 15.6%, as compared with the six months ended June 30, 2020. Excluding the impact of foreign currency exchange rates, net revenues in the six months ended June 30, 2021 increased approximately 12.7% compared with the six months ended June 30, 2020.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Service revenues increased $55.6 million, or 16.3%, to $397.4 million in the six months ended June 30, 2021 as compared to $341.8 million in the six months ended June 30, 2020. The increase in net service revenues reflected a $17.4 million increase due to the July 31, 2020 acquisition of Iotron and March 8, 2021 acquisition of BioScience. The increase in net service revenue was also driven by organic volume growth of $12.7 million and $4.2 million in the Sterigenics and Nelson Labs segments, respectively, coupled with $8.5 million and $3.9 million related to pricing in the Sterigenics and Nelson Labs segments, respectively. The remainder of the increase was attributable to a $3.3 million increase in service revenue at Nordion, primarily related to production irradiator refurbishments, and changes in foreign currency exchange rates across all segments.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Product revenues increased $7.2 million, or 12.1%, to $66.7 million in the six months ended June 30, 2021 as compared to $59.4 million in the six months ended June 30, 2020. The increase in product revenues was primarily attributable to favorable impacts from foreign currency exchanges rates and pricing of $4.7 million and $4.2 million, respectively, partially offset by lower sales volumes compared to the six months ended June 30, 2020.</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cost of revenues by type for the six months ended June 30, 2021 to the six months ended June 30, 2020. </w:t>
      </w:r>
    </w:p>
    <w:tbl>
      <w:tblPr>
        <w:tblW w:w="9143" w:type="dxa"/>
        <w:jc w:val="left"/>
        <w:tblInd w:w="0" w:type="dxa"/>
        <w:tblCellMar>
          <w:top w:w="28" w:type="dxa"/>
          <w:left w:w="28" w:type="dxa"/>
          <w:bottom w:w="28" w:type="dxa"/>
          <w:right w:w="28" w:type="dxa"/>
        </w:tblCellMar>
      </w:tblPr>
      <w:tblGrid>
        <w:gridCol w:w="1375"/>
        <w:gridCol w:w="1208"/>
        <w:gridCol w:w="1212"/>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375"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six months ended June 30,</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176,427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28,505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204,932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44.2% and 46.3% of our consolidated net revenues for the six months ended June 30, 2021 and 2020, respectively.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service revenues increased $12.7 million, or 7.8%, for the six months ended June 30, 2021 as compared to the six months ended June 30, 2020. The increase was attributable to an incremental contribution of $6.0 million from the Iotron and BioScience acquisitions and a $3.6 million impact from foreign currency exchange rates on cost of revenues within our foreign subsidiaries. The remainder of the increase is primarily a result of approximately $2.2 million of incremental costs associated with increased sales volumes referenced above.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product revenues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increased $6.4 million, or 28.9%, for the six months ended June 30, 2021 as compared to the six months ended June 30, 2020. The increase primarily stemmed from unfavorable Co-60 supply mix. The remainder of the increase is primarily due to an unfavorable impact from foreign currency exchange rates of $2.9 million.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six months ended June 30, 2021 to the six months ended June 30, 2020: </w:t>
      </w:r>
    </w:p>
    <w:tbl>
      <w:tblPr>
        <w:tblW w:w="9353" w:type="dxa"/>
        <w:jc w:val="left"/>
        <w:tblInd w:w="0" w:type="dxa"/>
        <w:tblCellMar>
          <w:top w:w="28" w:type="dxa"/>
          <w:left w:w="28" w:type="dxa"/>
          <w:bottom w:w="28" w:type="dxa"/>
          <w:right w:w="28" w:type="dxa"/>
        </w:tblCellMar>
      </w:tblPr>
      <w:tblGrid>
        <w:gridCol w:w="1451"/>
        <w:gridCol w:w="1275"/>
        <w:gridCol w:w="127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08"/>
      </w:tblGrid>
      <w:tr>
        <w:trPr/>
        <w:tc>
          <w:tcPr>
            <w:tcW w:w="145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333" w:before="53"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six months ended June 30,</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102,293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32,204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134,497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29.0% and 27.1% of our consolidated net revenues for the six months ended June 30, 2021 and 2020, respectively.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SG&amp;A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increased $22.6 million, or 28.3%, for the six months ended June 30, 2021 as compared to the six months ended June 30, 2020. The increase was driven primarily by the following: </w:t>
      </w:r>
    </w:p>
    <w:p>
      <w:pPr>
        <w:pStyle w:val="TextBody"/>
        <w:spacing w:lineRule="auto" w:line="288" w:before="120" w:after="283"/>
        <w:ind w:left="0" w:right="0" w:hanging="360"/>
        <w:rPr/>
      </w:pPr>
      <w:r>
        <w:rPr>
          <w:color w:val="231F20"/>
        </w:rPr>
        <w:t>•</w:t>
      </w:r>
      <w:r>
        <w:rPr>
          <w:rFonts w:ascii="Times New Roman;sans-serif" w:hAnsi="Times New Roman;sans-serif"/>
          <w:b w:val="false"/>
          <w:color w:val="000000"/>
          <w:sz w:val="20"/>
        </w:rPr>
        <w:t xml:space="preserve">An $10.4 million increase in legal and other professional services expense associated with EO litigation;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$8.0 million in incremental corporate expenses largely attributed to costs associated with being a public company. This includes $3.7 million in incremental costs attributable to public company director and officer liability insurance;</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An increase in share-based compensation expense of $3.8 million primarily related to our 2020 Omnibus Incentive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Offsetting these costs was a $1.9 million decrease in costs directly associated with the COVID-19 pandemic, which included donations to related charitable causes, special bonuses for front-line personnel working on-site during lockdown periods and certain measures to ensure workplace health and safety.</w:t>
      </w:r>
    </w:p>
    <w:p>
      <w:pPr>
        <w:pStyle w:val="TextBody"/>
        <w:spacing w:lineRule="auto" w:line="288" w:before="240" w:after="283"/>
        <w:rPr/>
      </w:pPr>
      <w:r>
        <w:rPr>
          <w:color w:val="000000"/>
        </w:rPr>
        <w:t xml:space="preserve">  </w:t>
      </w:r>
      <w:r>
        <w:rPr>
          <w:rFonts w:ascii="Times New Roman;sans-serif" w:hAnsi="Times New Roman;sans-serif"/>
          <w:b w:val="false"/>
          <w:i/>
          <w:color w:val="000000"/>
          <w:sz w:val="20"/>
        </w:rPr>
        <w:t>Amortization of intangible assets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$32.2 million for the six months ended June 30, 2021, or 10.5% above the six months ended June 30, 2020. The change was primarily attributable to amortization on newly acquired intangible assets related to the Iotron and BioScience acquisitions.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decreased $71.4 million, or 63.8%, for the six months ended June 30, 2021 as compared to the six months ended June 30, 2020. The decrease was largely due to lower outstanding debt during the six months ended June 30, 2021 and lower interest rates subsequent to the January 2021 Term Loan refinancing. The weighted average interest rate on our outstanding debt was 3.45% and 6.93% at June 30, 2021 and 2020, respectively.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Foreign Exchange Loss (Gain)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exchange loss was $0.7 million for the six months ended June 30, 2021 as compared to a gain of $0.8 million in the six months ended June 30, 2020. The foreign exchange loss (gain) in our Consolidated Statements of Operations and Comprehensive Income (Loss) relates primarily to U.S. dollar denominated intercompany indebtedness with certain of our European and Canadian subsidiaries.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was $6.7 million for the six months ended June 30, 2021 compared to $1.2 million for the six months ended June 30, 2020. The fluctuation was driven by changes in the fair value of the embedded derivatives in Nordion’s contracts. We recorded an unrealized gain on embedded derivatives of $1.6 million for the six months ended June 30, 2021 compared to a $2.1 million loss for the six months ended June 30, 2020. In addition, we recorded $1.2 million of other income related to the gain on our purchase of the 15% mandatorily redeemable noncontrolling interest of Nelson Labs Fairfield as compared to the amount previously accrued.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Provision (Benefit) for Income Taxes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increased $30.7 million to a net provision of $22.2 million for the six months ended June 30, 2021 as compared to a $8.5 million benefit in the six months ended June 30, 2020. The change was principally attributable to pre-tax income of $75.9 million in the six months ended June 30, 2021 compared to a pretax loss of $3.2 million for the six months ended June 30, 2020.</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for the six months ended June 30, 2021 differed from the statutory rate primarily due to the impact of the foreign rate differential, GILTI, a net increase in the interest expense valuation allowance, and a discrete item pertaining to an income tax rate change in the United Kingdom. This was partially offset by an additional discrete item in the first quarter of 2021, which reversed the valuation allowance on deferred tax assets related to certain asset retirement obligations. Provision for income taxes for the six months ended June 30, 2020 differed from the statutory rate primarily due to GILTI, the foreign rate differential, non-deductible expenses as well as the year-to-date impact of the 2020 CARES Act, which increased the limitation on interest expense deductions and resulted in a valuation allowance reversal.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Net Income (Loss), Adjusted Net Income and Adjusted EBITDA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six months ended June 30, 2021 was $53.7 million, as compared to net income of $5.3 million for the six months ended June 30, 2020. Adjusted Net Income was $123.2 million for the six months ended June 30, 2021, as compared to $55.2 million for the six months ended June 30, 2020, due to the factors described above. Adjusted EBITDA was $239.9 million for the six months ended June 30, 2021, as compared to $206.3 million for the six months ended June 30, 2020, due to the factors described above.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To supplement our consolidated financial statements presented in accordance with U.S. Generally Accepted Accounting Principles (“GAAP”), we consider Adjusted Net Income and Adjusted EBITDA, financial measures that are not based on any standardized methodology prescribed by GAAP. </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exclude: </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certain recurring non-cash charges such as depreciation of fixed assets, although these assets may have to be replaced in the future, as well as amortization of acquired intangible assets and asset retirement obligations;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costs of acquiring and integrating businesses, which will continue to be a part of our growth strategy;</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impairment charges on long-lived assets and intangible assets;</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expenses and charges related to the litigation and other activities associated with our EO sterilization facilities in Willowbrook, Illinois, Atlanta, Georgia and Santa Teresa, New Mexico, even though that litigation remains ongoing;</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in the case of Adjusted EBITDA, interest expense or the cash requirements necessary to service interest or principal payments on our indebtedness; and</w:t>
      </w:r>
    </w:p>
    <w:p>
      <w:pPr>
        <w:pStyle w:val="TextBody"/>
        <w:spacing w:lineRule="auto" w:line="288" w:before="120" w:after="283"/>
        <w:ind w:left="0" w:right="0" w:hanging="360"/>
        <w:rPr/>
      </w:pPr>
      <w:r>
        <w:rPr>
          <w:color w:val="231F20"/>
        </w:rPr>
        <w:t>•</w:t>
      </w:r>
      <w:r>
        <w:rPr>
          <w:rFonts w:ascii="Times New Roman;sans-serif" w:hAnsi="Times New Roman;sans-serif"/>
          <w:b w:val="false"/>
          <w:color w:val="231F20"/>
          <w:sz w:val="20"/>
        </w:rPr>
        <w:t>share-based compensation expense, which has been, and will continue to be for the foreseeable future, a significant recurring expense and an important part of our compensation strategy.</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spacing w:lineRule="auto" w:line="288" w:before="240" w:after="283"/>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income (loss), the most directly comparable financial measure calculated and presented in accordance with GAAP to Adjusted Net Income and Adjusted EBITDA, for each of the periods indicated:</w:t>
      </w:r>
    </w:p>
    <w:tbl>
      <w:tblPr>
        <w:tblW w:w="10154" w:type="dxa"/>
        <w:jc w:val="left"/>
        <w:tblInd w:w="0" w:type="dxa"/>
        <w:tblCellMar>
          <w:top w:w="28" w:type="dxa"/>
          <w:left w:w="28" w:type="dxa"/>
          <w:bottom w:w="28" w:type="dxa"/>
          <w:right w:w="28" w:type="dxa"/>
        </w:tblCellMar>
      </w:tblPr>
      <w:tblGrid>
        <w:gridCol w:w="1789"/>
        <w:gridCol w:w="1570"/>
        <w:gridCol w:w="1575"/>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1789"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42,615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21,778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44,060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Share-based compensation</w:t>
            </w:r>
            <w:r>
              <w:rPr>
                <w:rFonts w:ascii="Times New Roman;sans-serif" w:hAnsi="Times New Roman;sans-serif"/>
                <w:b w:val="false"/>
                <w:color w:val="000000"/>
                <w:sz w:val="12"/>
              </w:rPr>
              <w:t>(a)</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3,493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6,942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(Gain) loss on foreign currency and embedded derivatives</w:t>
            </w:r>
            <w:r>
              <w:rPr>
                <w:rFonts w:ascii="Times New Roman;sans-serif" w:hAnsi="Times New Roman;sans-serif"/>
                <w:b w:val="false"/>
                <w:color w:val="000000"/>
                <w:sz w:val="12"/>
              </w:rPr>
              <w:t>(b)</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Acquisition and divestiture related charges, net</w:t>
            </w:r>
            <w:r>
              <w:rPr>
                <w:rFonts w:ascii="Times New Roman;sans-serif" w:hAnsi="Times New Roman;sans-serif"/>
                <w:b w:val="false"/>
                <w:color w:val="000000"/>
                <w:sz w:val="12"/>
              </w:rPr>
              <w:t>(c)</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844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Business optimization project expenses</w:t>
            </w:r>
            <w:r>
              <w:rPr>
                <w:rFonts w:ascii="Times New Roman;sans-serif" w:hAnsi="Times New Roman;sans-serif"/>
                <w:b w:val="false"/>
                <w:color w:val="000000"/>
                <w:sz w:val="12"/>
              </w:rPr>
              <w:t>(d)</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536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Plant closure expenses</w:t>
            </w:r>
            <w:r>
              <w:rPr>
                <w:rFonts w:ascii="Times New Roman;sans-serif" w:hAnsi="Times New Roman;sans-serif"/>
                <w:b w:val="false"/>
                <w:color w:val="000000"/>
                <w:sz w:val="12"/>
              </w:rPr>
              <w:t>(e)</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Loss on extinguishment of debt</w:t>
            </w:r>
            <w:r>
              <w:rPr>
                <w:rFonts w:ascii="Times New Roman;sans-serif" w:hAnsi="Times New Roman;sans-serif"/>
                <w:b w:val="false"/>
                <w:color w:val="000000"/>
                <w:sz w:val="12"/>
              </w:rPr>
              <w:t>(f)</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14,312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Professional services relating to EO sterilization facilities</w:t>
            </w:r>
            <w:r>
              <w:rPr>
                <w:rFonts w:ascii="Times New Roman;sans-serif" w:hAnsi="Times New Roman;sans-serif"/>
                <w:b w:val="false"/>
                <w:color w:val="000000"/>
                <w:sz w:val="12"/>
              </w:rPr>
              <w:t>(g)</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10,644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24,043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Accretion of asset retirement obligations</w:t>
            </w:r>
            <w:r>
              <w:rPr>
                <w:rFonts w:ascii="Times New Roman;sans-serif" w:hAnsi="Times New Roman;sans-serif"/>
                <w:b w:val="false"/>
                <w:color w:val="000000"/>
                <w:sz w:val="12"/>
              </w:rPr>
              <w:t>(h)</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602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COVID-19 expenses</w:t>
            </w:r>
            <w:r>
              <w:rPr>
                <w:rFonts w:ascii="Times New Roman;sans-serif" w:hAnsi="Times New Roman;sans-serif"/>
                <w:b w:val="false"/>
                <w:color w:val="000000"/>
                <w:sz w:val="12"/>
              </w:rPr>
              <w:t>(i)</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188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Income tax provision (benefit) associated with pre-tax adjustments</w:t>
            </w:r>
            <w:r>
              <w:rPr>
                <w:rFonts w:ascii="Times New Roman;sans-serif" w:hAnsi="Times New Roman;sans-serif"/>
                <w:b w:val="false"/>
                <w:color w:val="000000"/>
                <w:sz w:val="12"/>
              </w:rPr>
              <w:t>(j)</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(8,863)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(22,996)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71,672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123,178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19,163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40,445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Depreciation</w:t>
            </w:r>
            <w:r>
              <w:rPr>
                <w:rFonts w:ascii="Times New Roman;sans-serif" w:hAnsi="Times New Roman;sans-serif"/>
                <w:b w:val="false"/>
                <w:color w:val="000000"/>
                <w:sz w:val="12"/>
              </w:rPr>
              <w:t>(k)</w:t>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15,683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31,062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val="false"/>
                <w:color w:val="000000"/>
                <w:sz w:val="18"/>
              </w:rPr>
              <w:t>Income tax provision (benefit) applicable to Adjusted Net Income</w:t>
            </w:r>
            <w:r>
              <w:rPr>
                <w:rFonts w:ascii="Times New Roman;sans-serif" w:hAnsi="Times New Roman;sans-serif"/>
                <w:b w:val="false"/>
                <w:color w:val="000000"/>
                <w:sz w:val="12"/>
              </w:rPr>
              <w:t>(l)</w:t>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28,045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45,195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8"/>
              </w:rPr>
              <w:t>Adjusted EBITDA</w:t>
            </w:r>
            <w:r>
              <w:rPr>
                <w:rFonts w:ascii="Times New Roman;sans-serif" w:hAnsi="Times New Roman;sans-serif"/>
                <w:b/>
                <w:color w:val="000000"/>
                <w:sz w:val="12"/>
              </w:rPr>
              <w:t>(m)</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134,563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18"/>
              </w:rPr>
              <w:t>239,880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Represents non-cash share-based compensation expense.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    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    Represents (i) certain direct and incremental costs related to the acquisitions of the noncontrolling interests in our China subsidiaries and BioScience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    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    Represents professional fees, severance and other payroll costs, and other costs including ongoing lease and utility expenses associated with the closure of the Willowbrook, Illinois facility.</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(f)    Represents expenses incurred in connection with the repricing of our Term Loan in January 2021 including accelerated amortization of prior debt issuance and discount costs.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0"/>
        <w:ind w:left="0" w:right="0" w:hanging="720"/>
        <w:rPr/>
      </w:pPr>
      <w:r>
        <w:rPr>
          <w:rFonts w:ascii="Times New Roman;sans-serif" w:hAnsi="Times New Roman;sans-serif"/>
          <w:b w:val="false"/>
          <w:color w:val="000000"/>
          <w:sz w:val="20"/>
        </w:rPr>
        <w:t>(g)    Represents professional fees related to litigation associated with our EO sterilization facilities and other related professional fees. See Note 16, “Commitments and Contingencies”</w:t>
      </w:r>
      <w:r>
        <w:rPr>
          <w:rFonts w:ascii="Arial;sans-serif" w:hAnsi="Arial;sans-serif"/>
          <w:b w:val="false"/>
          <w:color w:val="000000"/>
          <w:sz w:val="20"/>
        </w:rPr>
        <w:t>.</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    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    Represents non-recurring costs associated with the COVID-19 pandemic, including incremental costs to implement workplace health and safety measures. For the three and six months ended June 30, 2020, costs also included donations to related charitable causes, and special bonuses for front-line personnel working on-site during lockdown periods.</w:t>
      </w:r>
    </w:p>
    <w:p>
      <w:pPr>
        <w:pStyle w:val="TextBody"/>
        <w:spacing w:lineRule="auto" w:line="288" w:before="0" w:after="0"/>
        <w:ind w:left="0" w:right="0" w:hanging="720"/>
        <w:rPr>
          <w:rFonts w:ascii="Times New Roman;sans-serif" w:hAnsi="Times New Roman;sans-serif"/>
          <w:b w:val="false"/>
          <w:color w:val="231F20"/>
          <w:sz w:val="20"/>
        </w:rPr>
      </w:pPr>
      <w:r>
        <w:rPr>
          <w:rFonts w:ascii="Times New Roman;sans-serif" w:hAnsi="Times New Roman;sans-serif"/>
          <w:b w:val="false"/>
          <w:color w:val="231F20"/>
          <w:sz w:val="20"/>
        </w:rPr>
        <w:t>(j)    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(k)    Includes depreciation of Co-60 held at gamma irradiation sites.</w:t>
      </w:r>
    </w:p>
    <w:p>
      <w:pPr>
        <w:pStyle w:val="TextBody"/>
        <w:spacing w:lineRule="auto" w:line="288" w:before="0" w:after="0"/>
        <w:ind w:left="0" w:right="0" w:hanging="720"/>
        <w:rPr>
          <w:rFonts w:ascii="Times New Roman;sans-serif" w:hAnsi="Times New Roman;sans-serif"/>
          <w:b w:val="false"/>
          <w:color w:val="231F20"/>
          <w:sz w:val="20"/>
        </w:rPr>
      </w:pPr>
      <w:r>
        <w:rPr>
          <w:rFonts w:ascii="Times New Roman;sans-serif" w:hAnsi="Times New Roman;sans-serif"/>
          <w:b w:val="false"/>
          <w:color w:val="231F20"/>
          <w:sz w:val="20"/>
        </w:rPr>
        <w:t>(l)    Represents the difference between income tax provision or benefit as determined under U.S. GAAP and the income tax provision or benefit associated with pre-tax adjustments described in footnote (j).</w:t>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(m)    $21.8 million and $19.7 million of the adjustments for the three months ended June 30, 2021 and 2020, respectively, and $42.5 million and $40.7 million of the adjustments for the six months ended June 30, 2021 and 2020, respectively, are included in cost of revenues, primarily consisting of amortization of intangibles, depreciation, and accretion of asset retirement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Our Segments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Sterigenics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provides outsourced terminal sterilization and irradiation services for the medical device, pharmaceutical, food safety and advanced applications markets using three major technologies: gamma irradiation, EO processing and E-beam irradiation.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Nordion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for our Nordion segment are also impacted by Co-60 supplier mix, harvest schedules and product and service mix.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Nelson Labs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reportable segments please refer to Note 18, “Segment Information” to our consolidated financial statements. </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Segment Results for the Three Months Ended June 30, 2021 and 2020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three months ended June 30, 2021 to the three months ended June 30, 2020: </w:t>
      </w:r>
    </w:p>
    <w:tbl>
      <w:tblPr>
        <w:tblW w:w="7682" w:type="dxa"/>
        <w:jc w:val="left"/>
        <w:tblInd w:w="0" w:type="dxa"/>
        <w:tblCellMar>
          <w:top w:w="28" w:type="dxa"/>
          <w:left w:w="28" w:type="dxa"/>
          <w:bottom w:w="28" w:type="dxa"/>
          <w:right w:w="28" w:type="dxa"/>
        </w:tblCellMar>
      </w:tblPr>
      <w:tblGrid>
        <w:gridCol w:w="794"/>
        <w:gridCol w:w="697"/>
        <w:gridCol w:w="699"/>
        <w:gridCol w:w="310"/>
        <w:gridCol w:w="261"/>
        <w:gridCol w:w="574"/>
        <w:gridCol w:w="160"/>
        <w:gridCol w:w="160"/>
        <w:gridCol w:w="160"/>
        <w:gridCol w:w="310"/>
        <w:gridCol w:w="224"/>
        <w:gridCol w:w="557"/>
        <w:gridCol w:w="109"/>
        <w:gridCol w:w="109"/>
        <w:gridCol w:w="109"/>
        <w:gridCol w:w="211"/>
        <w:gridCol w:w="721"/>
        <w:gridCol w:w="109"/>
        <w:gridCol w:w="109"/>
        <w:gridCol w:w="109"/>
        <w:gridCol w:w="109"/>
        <w:gridCol w:w="255"/>
        <w:gridCol w:w="256"/>
        <w:gridCol w:w="570"/>
      </w:tblGrid>
      <w:tr>
        <w:trPr/>
        <w:tc>
          <w:tcPr>
            <w:tcW w:w="7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16" w:type="dxa"/>
            <w:gridSpan w:val="9"/>
            <w:tcBorders/>
            <w:shd w:fill="auto" w:val="clear"/>
            <w:tcMar>
              <w:top w:w="0" w:type="dxa"/>
              <w:left w:w="0" w:type="dxa"/>
              <w:bottom w:w="0" w:type="dxa"/>
              <w:right w:w="0" w:type="dxa"/>
            </w:tcMar>
            <w:vAlign w:val="center"/>
          </w:tcPr>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145,182</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49,125</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5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57,610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3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79,569</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4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31,168</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4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23,826</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54.8</w:t>
            </w:r>
            <w:r>
              <w:rPr>
                <w:color w:val="000000"/>
              </w:rPr>
              <w:t> </w:t>
            </w:r>
          </w:p>
        </w:tc>
        <w:tc>
          <w:tcPr>
            <w:tcW w:w="5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63.4</w:t>
            </w:r>
            <w:r>
              <w:rPr>
                <w:color w:val="000000"/>
              </w:rPr>
              <w:t> </w:t>
            </w:r>
          </w:p>
        </w:tc>
        <w:tc>
          <w:tcPr>
            <w:tcW w:w="5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5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41.4</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Sterigenics net revenues were $145.2 million for the three months ended June 30, 2021, an increase of $24.8 million, or 20.6%, as compared to the three months ended June 30, 2020. The increase is attributable to an 8.3% growth in organic sales volume, a 3.9% favorable impact from pricing and a 2.8% favorable impact from changes in foreign currency exchange rates. The increase also reflects a 5.6% increase in revenues attributable to the Iotron acquisition.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net revenues were $49.1 million for the three months ended June 30, 2021, an increase of $7.0 million, or 16.6%, as compared to the three months ended June 30, 2020. The increase reflects a 9.5% impact from the strengthening of the Canadian dollar compared to the U.S. dollar for the three months ended June 30, 2021 as compared to the three months ended June 30, 2020 and a 8.2% impact from favorable pricing, offset by a 1.1% impact from lower volumes of industrial-use Co-60.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net revenues were $57.6 million for the three months ended June 30, 2021, an increase of $7.0 million, or 13.9%, as compared to the three months ended June 30, 2020. An increase in organic volume contributed 5.8% to revenue growth in the three months ended June 30, 2021, exclusive of an overall decline in personal protective equipment testing of 5.2%. The onset of COVID-19 in the first half of 2020 generated significant demand for testing of personal protective equipment, which subsequently declined in the three months ended June 30, 2021. The revenue increase also reflects favorable pricing impacts of 4.0%. Furthermore, the increase is attributable to a 7.4% revenue contribution from the acquisition of BioScience Labs. The remainder of the difference is due to changes in foreign currency exchange rates.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$79.6 million for the three months ended June 30, 2021, an increase of $14.5 million, or 22.4%, as compared to the three months ended June 30, 2020. The increase in segment income was primarily a result of the contributions of the Iotron acquisition coupled with organic revenue growth stemming from both favorable pricing and volume, as referenced above. This was partially offset by incremental overhead associated with being a public company.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$31.2 million for the three months ended June 30, 2021, an increase of $3.8 million, or 13.7%, as compared to the three months ended June 30, 2020. The increase in segment income was primarily due to the favorable impact from foreign currency exchange rates as well as favorable customer pricing. This is partially offset by slightly lower sales volume referenced above and incremental overhead associated with being a public company.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$23.8 million for the three months ended June 30, 2021, an increase of $1.8 million, or 8.3%, as compared to the three months ended June 30, 2020, due to the contribution of BioScience Labs coupled with the impact of increased volumes and favorable pricing, as described above. The increase was partially offset by the reduced demand for testing of personal protective equipment and incremental overhead associated with being a public company.</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Segment Results for the Six Months Ended June 30, 2021 and 2020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six months ended June 30, 2021 to the six months ended June 30, 2020: </w:t>
      </w:r>
    </w:p>
    <w:tbl>
      <w:tblPr>
        <w:tblW w:w="7626" w:type="dxa"/>
        <w:jc w:val="left"/>
        <w:tblInd w:w="0" w:type="dxa"/>
        <w:tblCellMar>
          <w:top w:w="28" w:type="dxa"/>
          <w:left w:w="28" w:type="dxa"/>
          <w:bottom w:w="28" w:type="dxa"/>
          <w:right w:w="28" w:type="dxa"/>
        </w:tblCellMar>
      </w:tblPr>
      <w:tblGrid>
        <w:gridCol w:w="794"/>
        <w:gridCol w:w="697"/>
        <w:gridCol w:w="699"/>
        <w:gridCol w:w="283"/>
        <w:gridCol w:w="261"/>
        <w:gridCol w:w="574"/>
        <w:gridCol w:w="146"/>
        <w:gridCol w:w="146"/>
        <w:gridCol w:w="146"/>
        <w:gridCol w:w="283"/>
        <w:gridCol w:w="264"/>
        <w:gridCol w:w="557"/>
        <w:gridCol w:w="109"/>
        <w:gridCol w:w="109"/>
        <w:gridCol w:w="109"/>
        <w:gridCol w:w="211"/>
        <w:gridCol w:w="721"/>
        <w:gridCol w:w="109"/>
        <w:gridCol w:w="109"/>
        <w:gridCol w:w="109"/>
        <w:gridCol w:w="109"/>
        <w:gridCol w:w="255"/>
        <w:gridCol w:w="256"/>
        <w:gridCol w:w="570"/>
      </w:tblGrid>
      <w:tr>
        <w:trPr/>
        <w:tc>
          <w:tcPr>
            <w:tcW w:w="7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660" w:type="dxa"/>
            <w:gridSpan w:val="9"/>
            <w:tcBorders/>
            <w:shd w:fill="auto" w:val="clear"/>
            <w:tcMar>
              <w:top w:w="0" w:type="dxa"/>
              <w:left w:w="0" w:type="dxa"/>
              <w:bottom w:w="0" w:type="dxa"/>
              <w:right w:w="0" w:type="dxa"/>
            </w:tcMar>
            <w:vAlign w:val="center"/>
          </w:tcPr>
          <w:p>
            <w:pPr>
              <w:pStyle w:val="TableContents"/>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276,333</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75,043</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112,689</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8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148,030</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44,954</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46,896</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7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5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53.6</w:t>
            </w:r>
            <w:r>
              <w:rPr>
                <w:color w:val="000000"/>
              </w:rPr>
              <w:t> </w:t>
            </w:r>
          </w:p>
        </w:tc>
        <w:tc>
          <w:tcPr>
            <w:tcW w:w="5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5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59.9</w:t>
            </w:r>
            <w:r>
              <w:rPr>
                <w:color w:val="000000"/>
              </w:rPr>
              <w:t> </w:t>
            </w:r>
          </w:p>
        </w:tc>
        <w:tc>
          <w:tcPr>
            <w:tcW w:w="57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55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41.6</w:t>
            </w:r>
            <w:r>
              <w:rPr>
                <w:color w:val="000000"/>
              </w:rPr>
              <w:t> </w:t>
            </w:r>
          </w:p>
        </w:tc>
        <w:tc>
          <w:tcPr>
            <w:tcW w:w="574"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Net Revenues by Segment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Sterigenics net revenues were $276.3 million for the six months ended June 30, 2021, an increase of $38.7 million, or 16.3%, as compared to the six months ended June 30, 2020. The increase reflects a 5.3% growth in organic sales volume and a 3.6% favorable impact from pricing. The Iotron acquisition further contributed 5.3% of revenue growth. In addition, Sterigenics net revenue increased by 2.1% attributable to changes in foreign currency exchanges rates.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net revenues were $75.0 million for the six months ended June 30, 2021, an increase of $9.3 million, or 14.1%, as compared to the three months ended June 30, 2020. The increase reflects a 7.6% impact from the strengthening of the Canadian dollar compared to the U.S. dollar for the six months ended June 30, 2021 as compared to the six months ended June 30, 2020 and a 6.7% impact from favorable pricing, offset by lower volumes of industrial-use Co-60.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$112.7 million for the six months ended June 30, 2021, an increase of $14.8 million, or 15.1%, as compared to the six months ended June 30, 2020. Net revenue growth was driven by volume growth of 4.3% and favorable impacts from pricing of 3.9%. The increase also reflects a 5.0% revenue contribution from the acquisition of BioScience Labs. The remainder of the increase was attributable to changes in foreign currency exchanges rates.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$148.0 million for the six months ended June 30, 2021, an increase of $21.9 million, or 17.4%, as compared to the six months ended June 30, 2020. The increase in segment income was primarily a result of organic sales volume growth coupled with the contributions of the Iotron acquisition and favorable pricing, as referenced above. This was partially offset by incremental overhead associated with being a public company.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Nordion segment income was $45.0 million for the six months ended June 30, 2021, an increase of $4.5 million, or 11.2%, as compared to the six months ended June 30, 2020. The increase in segment income was primarily due to the favorable impact from foreign currency exchange rates as well as favorable customer pricing. This was partially offset by decreases in sales volume of industrial-use Co-60 referenced above and incremental overhead associated with being a public company.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$46.9 million for the six months ended June 30, 2021, an increase of $7.1 million, or 17.9%, as compared to the six months ended June 30, 2020, due to the incremental contribution of BioScience Labs and favorable pricing referenced above. This increase was partially offset by incremental overhead associated with being a public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As of June 30, 2021, we had $156.2 million of cash and cash equivalents. This is an increase of $53.8 million from the balance at December 31, 2020. Our foreign subsidiaries held cash of approximately $123.9 million at June 30, 2021 and $88.8 million at December 31, 2020. No material restrictions exist to accessing cash held by our foreign subsidiaries notwithstanding any potential tax consequences.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six months ended June 30, 2021, our capital expenditures amounted to $44.8 million, compared to $23.4 million for the six months ended June 30, 2020.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Cash provided by operations in excess of amounts needed may be used to fund potential acquisitions, to repay outstanding debt, or for other general corporate purposes. As of June 30, 2021, there were no outstanding borrowings on the Revolving Credit Facility.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June 30, 2021, our interest rate caps limit our cash flow exposure related to LIBOR for approximately 81% of our variable rate borrowings to the facility LIBOR floor of 0.5%. Refer to Note 17, “Financial Instruments and Financial Risk” under the heading “Derivative Instruments” for additional information regarding the interest rate caps used to manage economic risks associated with our variable rate borrowings.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Flow Information</w:t>
      </w:r>
    </w:p>
    <w:p>
      <w:pPr>
        <w:pStyle w:val="TextBody"/>
        <w:spacing w:lineRule="auto" w:line="288" w:before="120" w:after="283"/>
        <w:rPr/>
      </w:pPr>
      <w:r>
        <w:rPr>
          <w:rFonts w:ascii="Times New Roman;sans-serif" w:hAnsi="Times New Roman;sans-serif"/>
          <w:b/>
          <w:i/>
          <w:color w:val="000000"/>
          <w:sz w:val="20"/>
        </w:rPr>
        <w:t xml:space="preserve">Six Months Ended June 30, 2021 compared to the Six Months Ended June 30, 2020 </w:t>
      </w:r>
      <w:r>
        <w:rPr>
          <w:color w:val="000000"/>
        </w:rPr>
        <w:t> </w:t>
      </w:r>
    </w:p>
    <w:tbl>
      <w:tblPr>
        <w:tblW w:w="9624" w:type="dxa"/>
        <w:jc w:val="left"/>
        <w:tblInd w:w="0" w:type="dxa"/>
        <w:tblCellMar>
          <w:top w:w="28" w:type="dxa"/>
          <w:left w:w="28" w:type="dxa"/>
          <w:bottom w:w="28" w:type="dxa"/>
          <w:right w:w="28" w:type="dxa"/>
        </w:tblCellMar>
      </w:tblPr>
      <w:tblGrid>
        <w:gridCol w:w="2554"/>
        <w:gridCol w:w="2244"/>
        <w:gridCol w:w="2252"/>
        <w:gridCol w:w="211"/>
        <w:gridCol w:w="841"/>
        <w:gridCol w:w="109"/>
        <w:gridCol w:w="109"/>
        <w:gridCol w:w="109"/>
        <w:gridCol w:w="109"/>
        <w:gridCol w:w="211"/>
        <w:gridCol w:w="721"/>
        <w:gridCol w:w="154"/>
      </w:tblGrid>
      <w:tr>
        <w:trPr/>
        <w:tc>
          <w:tcPr>
            <w:tcW w:w="2554"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134,256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(70,974)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(12,090)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53,770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increased $81.6 million to net cash provided of $134.3 million in the six months ended June 30, 2021 compared to $52.7 million for the six months ended June 30, 2020. Higher cash flows from operating activities in the six months ended June 30, 2021 compared to the six months ended June 30, 2020 were driven by an increase in operating income of $18.0 million and a decrease in cash paid for interest of $76.1 million, offset by an increase in cash paid for income taxes of $19.5 million.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Cash used by investing activities increased $47.5 million to net cash used of $71.0 million in the six months ended June 30, 2021 compared to $23.4 million for the six months ended June 30, 2020. The change was attributable to an increase in cash paid for capital expenditures of $21.4 million, the acquisition of BioScience on March 8, 2021 for a net purchase price of approximately $13.8 million, and the acquisition of the mandatorily redeemable noncontrolling interest in Nelson Labs Fairfield for $12.4 million.</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2021, net cash used in financing activities increased $5.6 million to $12.1 million compared to net cash used of $6.5 million for the six months ended June 30, 2020. The primary use of cash from financing activities was the payment of $7.7 million for the acquisition of the noncontrolling interests in our China subsidiaries and $3.7 million of debt issuance costs in connection with our refinancing of the Senior Secured Credit Facilities as described in “Debt Facilities” below. Our principal use of cash for financing activities for the six months ended June 30, 2020 was principal payments on debt.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Debt Facilities </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June 30, 2021 and December 31, 2020, total borrowings under the Term Loan were $1,763.1 million and $1,763.1 million, respectively, and there were no borrowings outstanding on the Revolving Credit Facility. The weighted average interest rate on borrowings under the Term Loan for the three months ended June 30, 2021 and June 30, 2020 was 3.25% and 5.50%, respectively, and 3.64% and 5.84% for the six months ended June 30, 2021 and June 30, 2020, respectively.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As a result of the repricing, we expect cash interest savings of approximately $40.0 million per year based on the outstanding principal balance as of June 30, 2021.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and December 31, 2020, capitalized debt issuance costs totaled $2.9 million and $3.4 million, respectively, and debt discounts totaled $19.1 million and $31.6 million, respectively, related to the Senior Secured Credit Facilities. Such costs are recorded as a reduction of debt on our Consolidated Balance Sheets and amortized as a component of interest expense over the term of the debt agreement.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and the guarantees of such obligations, are secured by substantially all assets of the borrower and guarantors, subject to permitted liens and other exceptions and exclusions, as outlined in the Senior Secured Credit Facilities.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June 30, 2021, the Company had $69.0 million of letters of credit issued against the Revolving Credit Facility, resulting in total availability under the Revolving Credit Facility of $278.5 million.</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First Lien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for the three and six months ended June 30, 2021 was 7.00%.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 </w:t>
      </w:r>
    </w:p>
    <w:p>
      <w:pPr>
        <w:pStyle w:val="TextBody"/>
        <w:spacing w:lineRule="auto" w:line="288" w:before="20" w:after="283"/>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Such collateral securing the First Lien Notes ranks pari passu with that of the Senior Secured Credit Facilities.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At June 30, 2021 and December 31, 2020, capitalized debt issuance costs were $0.8 million and $0.9 million, respectively, and debt discounts were $2.6 million and $2.8 million, respectively, related to the First Lien Notes, which are recorded as a reduction of debt on our Consolidated Balance Sheets and amortized into interest expense over the term of the debt agreement.</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2020 Debt Repayments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24, 2020, we closed our initial public offering (the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Notice of Redemption of First Lien Notes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August 12, 2021 the Company issued a full redemption notice to the holders of the First Lien Notes. Full redemption is scheduled for the third quarter of 2021 at a redemption price equal to 103.000%. In connection with the redemption, we estimate that we will write off approximately $3.3 million of previously capitalized unamortized debt issuance and discount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comprehensive discussion of the Company’s critical accounting policies and management estimates made in connection with the preparation of the financial statements is included in Item 7 of our Annual Report on Form 10-K for the year ended December 31, 2020. There have been no significant changes in critical accounting policies, management estimates or accounting policies since the year ended December 31, 2020.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applicable to our business, see Note 2, “Recent Accounting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Market risks are described within “Quantitative and Qualitative Disclosures About Market Risk” in Part II, Item 7A of our 2020 Form 10-K. These market risks have not materially changed for the three and six months ended June 30,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2021,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Legal Proceedings Described in Note 16 of Our Consolidated Financial Statements </w:t>
      </w:r>
    </w:p>
    <w:p>
      <w:pPr>
        <w:pStyle w:val="TextBody"/>
        <w:spacing w:lineRule="auto" w:line="288" w:before="120" w:after="283"/>
        <w:rPr/>
      </w:pPr>
      <w:r>
        <w:rPr>
          <w:rFonts w:ascii="Times New Roman;sans-serif" w:hAnsi="Times New Roman;sans-serif"/>
          <w:b w:val="false"/>
          <w:color w:val="000000"/>
          <w:sz w:val="20"/>
        </w:rPr>
        <w:t>Note 16, “Commitments and Contingencies” to our consolidated financial statements for the three and six months ended June 30, 2021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w:t>
      </w:r>
      <w:r>
        <w:rPr>
          <w:color w:val="000000"/>
        </w:rPr>
        <w:t xml:space="preserve"> </w:t>
      </w:r>
      <w:r>
        <w:rPr>
          <w:rFonts w:ascii="Times New Roman;sans-serif" w:hAnsi="Times New Roman;sans-serif"/>
          <w:b w:val="false"/>
          <w:color w:val="000000"/>
          <w:sz w:val="20"/>
        </w:rPr>
        <w:t>for information regarding the following legal proceedings, which information is incorporated into this item by reference: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FM Global Business Interruption Claim (NRU Outage)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Ethylene Oxide Tort Litigation – Illinois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Ethylene Oxide Tort Litigation – Georgia</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Suspension of Georgia Facility Operations &amp; Related Litigation;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Ethylene Oxide Litigation – New Mexico</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Legal Proceedings That Are Not Described in Note 16 to Our Consolidated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that are identified in Note 16 to our consolidated financial statements for the three and six months ended June 30, 2021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Zoetermeer, Holland Criminal Proceedings and Criminal Financial Investigation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(US$1.0 million) may be imposed.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(US$0.7 million).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June 30, 2021 was approximately US$1.9 million and the cash collateral held by ABN Amro to provide security for the claims was approximately €2.4 million (US$2.9 million) as of June 30, 2021.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Item 1A. Risk Factors.</w:t>
      </w:r>
      <w:r>
        <w:rPr>
          <w:color w:val="000000"/>
        </w:rPr>
        <w:t xml:space="preserve">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2020 Form 10-K. Refer to Part I, Item 1A of our 2020 Form 10-K for a detailed discussion of risk factors affecting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in the following Exhibit Index are filed, furnished, or incorporated by reference as part of this Quarterly Report on Form 10-Q. </w:t>
      </w:r>
    </w:p>
    <w:tbl>
      <w:tblPr>
        <w:tblW w:w="10205" w:type="dxa"/>
        <w:jc w:val="left"/>
        <w:tblInd w:w="0" w:type="dxa"/>
        <w:tblCellMar>
          <w:top w:w="28" w:type="dxa"/>
          <w:left w:w="28" w:type="dxa"/>
          <w:bottom w:w="28" w:type="dxa"/>
          <w:right w:w="28" w:type="dxa"/>
        </w:tblCellMar>
      </w:tblPr>
      <w:tblGrid>
        <w:gridCol w:w="375"/>
        <w:gridCol w:w="330"/>
        <w:gridCol w:w="331"/>
        <w:gridCol w:w="109"/>
        <w:gridCol w:w="109"/>
        <w:gridCol w:w="109"/>
        <w:gridCol w:w="1641"/>
        <w:gridCol w:w="1409"/>
        <w:gridCol w:w="1413"/>
        <w:gridCol w:w="109"/>
        <w:gridCol w:w="109"/>
        <w:gridCol w:w="109"/>
        <w:gridCol w:w="197"/>
        <w:gridCol w:w="197"/>
        <w:gridCol w:w="193"/>
        <w:gridCol w:w="210"/>
        <w:gridCol w:w="158"/>
        <w:gridCol w:w="142"/>
        <w:gridCol w:w="245"/>
        <w:gridCol w:w="245"/>
        <w:gridCol w:w="246"/>
        <w:gridCol w:w="237"/>
        <w:gridCol w:w="237"/>
        <w:gridCol w:w="238"/>
        <w:gridCol w:w="109"/>
        <w:gridCol w:w="109"/>
        <w:gridCol w:w="109"/>
        <w:gridCol w:w="343"/>
        <w:gridCol w:w="343"/>
        <w:gridCol w:w="494"/>
      </w:tblGrid>
      <w:tr>
        <w:trPr/>
        <w:tc>
          <w:tcPr>
            <w:tcW w:w="37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1"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51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1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Furnished/Filed </w:t>
              <w:br/>
              <w:t>Herewith</w:t>
            </w:r>
          </w:p>
        </w:tc>
      </w:tr>
      <w:tr>
        <w:trPr/>
        <w:tc>
          <w:tcPr>
            <w:tcW w:w="10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1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7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71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shc_20210630xexhibitx31x1.htm">
              <w:r>
                <w:rPr>
                  <w:rStyle w:val="InternetLink"/>
                  <w:rFonts w:ascii="Times New Roman;sans-serif" w:hAnsi="Times New Roman;sans-serif"/>
                  <w:b w:val="false"/>
                  <w:color w:val="0000FF"/>
                  <w:sz w:val="20"/>
                  <w:u w:val="single"/>
                </w:rPr>
                <w:t xml:space="preserve">Certification of Principal Executive Officer pursuant to Exchange Act Rules 13a-14(a) and 15d-14(a), as adopted pursuant to Section 302 of the Sarbanes-Oxley Act of 2002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shc20210630_exhibitx31x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shc20210630_exhibitx32x1.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46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51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3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1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86" w:before="0" w:after="0"/>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86" w:before="0" w:after="0"/>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354" w:type="dxa"/>
        <w:jc w:val="left"/>
        <w:tblInd w:w="0" w:type="dxa"/>
        <w:tblCellMar>
          <w:top w:w="28" w:type="dxa"/>
          <w:left w:w="28" w:type="dxa"/>
          <w:bottom w:w="28" w:type="dxa"/>
          <w:right w:w="28" w:type="dxa"/>
        </w:tblCellMar>
      </w:tblPr>
      <w:tblGrid>
        <w:gridCol w:w="124"/>
        <w:gridCol w:w="109"/>
        <w:gridCol w:w="109"/>
        <w:gridCol w:w="288"/>
        <w:gridCol w:w="288"/>
        <w:gridCol w:w="288"/>
        <w:gridCol w:w="636"/>
        <w:gridCol w:w="636"/>
        <w:gridCol w:w="636"/>
        <w:gridCol w:w="363"/>
        <w:gridCol w:w="363"/>
        <w:gridCol w:w="51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2"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c>
          <w:tcPr>
            <w:tcW w:w="1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J. Leffler</w:t>
            </w:r>
          </w:p>
        </w:tc>
        <w:tc>
          <w:tcPr>
            <w:tcW w:w="12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4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OF PRINCIPAL EXECUTIVE OFFICER</w:t>
      </w:r>
    </w:p>
    <w:p>
      <w:pPr>
        <w:pStyle w:val="TextBody"/>
        <w:spacing w:before="0" w:after="0"/>
        <w:ind w:left="0" w:right="0" w:firstLine="144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302 OF THE SARBANES-OXLEY ACT OF 2002</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I, Michael B. Petras, Jr., certify that:</w:t>
      </w:r>
    </w:p>
    <w:p>
      <w:pPr>
        <w:pStyle w:val="TextBody"/>
        <w:spacing w:lineRule="auto" w:line="288"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Sotera Health Company;</w:t>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lineRule="auto" w:line="288" w:before="240" w:after="120"/>
        <w:rPr>
          <w:rFonts w:ascii="Times New Roman;sans-serif" w:hAnsi="Times New Roman;sans-serif"/>
          <w:b w:val="false"/>
          <w:color w:val="000000"/>
          <w:sz w:val="22"/>
        </w:rPr>
      </w:pPr>
      <w:r>
        <w:rPr>
          <w:rFonts w:ascii="Times New Roman;sans-serif" w:hAnsi="Times New Roman;sans-serif"/>
          <w:b w:val="false"/>
          <w:color w:val="000000"/>
          <w:sz w:val="22"/>
        </w:rPr>
        <w:t>Date:    August 12, 2021    </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Michael B. Petras, Jr.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Michael B. Petras, Jr.</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p>
      <w:pPr>
        <w:pStyle w:val="TextBody"/>
        <w:spacing w:lineRule="auto" w:line="288"/>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Executive Officer)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OF PRINCIPAL FINANCIAL OFFICER</w:t>
      </w:r>
    </w:p>
    <w:p>
      <w:pPr>
        <w:pStyle w:val="TextBody"/>
        <w:spacing w:before="0" w:after="0"/>
        <w:ind w:left="0" w:right="0" w:firstLine="144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302 OF THE SARBANES-OXLEY ACT OF 2002</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I, Scott J. Leffler, certify that:</w:t>
      </w:r>
    </w:p>
    <w:p>
      <w:pPr>
        <w:pStyle w:val="TextBody"/>
        <w:spacing w:lineRule="auto" w:line="288"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Sotera Health Company;</w:t>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lineRule="auto" w:line="288" w:before="240" w:after="180"/>
        <w:rPr>
          <w:rFonts w:ascii="Times New Roman;sans-serif" w:hAnsi="Times New Roman;sans-serif"/>
          <w:b w:val="false"/>
          <w:color w:val="000000"/>
          <w:sz w:val="22"/>
        </w:rPr>
      </w:pPr>
      <w:r>
        <w:rPr>
          <w:rFonts w:ascii="Times New Roman;sans-serif" w:hAnsi="Times New Roman;sans-serif"/>
          <w:b w:val="false"/>
          <w:color w:val="000000"/>
          <w:sz w:val="22"/>
        </w:rPr>
        <w:t>Date:    August 12, 2021</w:t>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Scott J. Leffler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Scott J. Leffler</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and Treasurer</w:t>
      </w:r>
    </w:p>
    <w:p>
      <w:pPr>
        <w:pStyle w:val="TextBody"/>
        <w:spacing w:lineRule="auto" w:line="288"/>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(Principal Financial Officer)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24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CERTIFICATIONS OF PRINCIPAL EXECUTIVE OFFICER AND PRINCIPAL FINANCIAL OFFICER</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906 OF THE SARBANES-OXLEY ACT OF 2002</w:t>
      </w:r>
    </w:p>
    <w:p>
      <w:pPr>
        <w:pStyle w:val="TextBody"/>
        <w:spacing w:before="0" w:after="0"/>
        <w:rPr/>
      </w:pPr>
      <w:r>
        <w:rPr/>
      </w:r>
    </w:p>
    <w:p>
      <w:pPr>
        <w:pStyle w:val="TextBody"/>
        <w:spacing w:lineRule="auto" w:line="288" w:before="0" w:after="240"/>
        <w:ind w:left="0" w:right="0" w:firstLine="720"/>
        <w:rPr/>
      </w:pPr>
      <w:r>
        <w:rPr>
          <w:rFonts w:ascii="Times New Roman;sans-serif" w:hAnsi="Times New Roman;sans-serif"/>
          <w:b w:val="false"/>
          <w:color w:val="000000"/>
          <w:sz w:val="22"/>
        </w:rPr>
        <w:t>Pursuant to section 906 of the Sarbanes-Oxley Act of 2002 (subsections (a) and (b) of Section 1350, Chapter 63 of Title 18, United States Code), each of the undersigned officers of Sotera Health Company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do hereby certify, to each such officer’s knowledge, that the Company’s Quarterly Report on Form 10-Q for the quarter ended June 30, 2021 fully complies with the requirements of Section 13(a) or 15(d) of the Securities Exchange Act of 1934 and information contained in the Form 10-Q fairly presents, in all material respects, the financial condition and results of operations of the Company.</w:t>
      </w:r>
    </w:p>
    <w:tbl>
      <w:tblPr>
        <w:tblW w:w="6658" w:type="dxa"/>
        <w:jc w:val="left"/>
        <w:tblInd w:w="0" w:type="dxa"/>
        <w:tblCellMar>
          <w:top w:w="28" w:type="dxa"/>
          <w:left w:w="28" w:type="dxa"/>
          <w:bottom w:w="28" w:type="dxa"/>
          <w:right w:w="28" w:type="dxa"/>
        </w:tblCellMar>
      </w:tblPr>
      <w:tblGrid>
        <w:gridCol w:w="856"/>
        <w:gridCol w:w="753"/>
        <w:gridCol w:w="760"/>
        <w:gridCol w:w="1256"/>
        <w:gridCol w:w="1256"/>
        <w:gridCol w:w="1777"/>
      </w:tblGrid>
      <w:tr>
        <w:trPr/>
        <w:tc>
          <w:tcPr>
            <w:tcW w:w="85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 August 12, 2021</w:t>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Michael B. Petras, Jr.     </w:t>
            </w:r>
          </w:p>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Michael B. Petras, Jr.</w:t>
            </w:r>
          </w:p>
          <w:p>
            <w:pPr>
              <w:pStyle w:val="TableContents"/>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Chairman and Chief Executive Officer</w:t>
            </w:r>
          </w:p>
          <w:p>
            <w:pPr>
              <w:pStyle w:val="TableContents"/>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 August 12, 2021</w:t>
            </w:r>
          </w:p>
        </w:tc>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 xml:space="preserve">/s/ Scott J. Leffler </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Scott J. Leffler</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 and Treasurer</w:t>
            </w:r>
          </w:p>
          <w:p>
            <w:pPr>
              <w:pStyle w:val="TableContents"/>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spacing w:lineRule="auto" w:line="288"/>
        <w:rPr>
          <w:rFonts w:ascii="Times New Roman;sans-serif" w:hAnsi="Times New Roman;sans-serif"/>
          <w:b w:val="false"/>
          <w:color w:val="000000"/>
          <w:sz w:val="22"/>
        </w:rPr>
      </w:pPr>
      <w:r>
        <w:rPr>
          <w:rFonts w:ascii="Times New Roman;sans-serif" w:hAnsi="Times New Roman;sans-serif"/>
          <w:b w:val="false"/>
          <w:color w:val="000000"/>
          <w:sz w:val="22"/>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27311</Words>
  <CharactersWithSpaces>177782</CharactersWithSpaces>
  <Paragraphs>3336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