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001-39729</w:t>
      </w:r>
    </w:p>
    <w:p>
      <w:pPr>
        <w:pStyle w:val="TextBody"/>
        <w:bidi w:val="0"/>
        <w:spacing w:before="120" w:after="283"/>
        <w:jc w:val="center"/>
        <w:rPr/>
      </w:pPr>
      <w:r>
        <w:rPr/>
        <w:drawing>
          <wp:inline distT="0" distB="0" distL="0" distR="0">
            <wp:extent cx="14192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466725"/>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34"/>
        </w:rPr>
      </w:pPr>
      <w:r>
        <w:rPr>
          <w:rFonts w:ascii="Times New Roman;serif" w:hAnsi="Times New Roman;serif"/>
          <w:b/>
          <w:color w:val="000000"/>
          <w:sz w:val="34"/>
        </w:rPr>
        <w:t>SOTERA HEALTH COMPANY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362"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47-3531161</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9100 South Hills Blvd,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Broadview Heights, 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44147</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(Zip Code)</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262-1410</w:t>
            </w:r>
          </w:p>
        </w:tc>
      </w:tr>
      <w:tr>
        <w:trPr/>
        <w:tc>
          <w:tcPr>
            <w:tcW w:w="73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82" w:type="dxa"/>
        <w:jc w:val="left"/>
        <w:tblInd w:w="0" w:type="dxa"/>
        <w:tblLayout w:type="fixed"/>
        <w:tblCellMar>
          <w:top w:w="28" w:type="dxa"/>
          <w:left w:w="28" w:type="dxa"/>
          <w:bottom w:w="28" w:type="dxa"/>
          <w:right w:w="28" w:type="dxa"/>
        </w:tblCellMar>
      </w:tblPr>
      <w:tblGrid>
        <w:gridCol w:w="1209"/>
        <w:gridCol w:w="1064"/>
        <w:gridCol w:w="1071"/>
        <w:gridCol w:w="519"/>
        <w:gridCol w:w="519"/>
        <w:gridCol w:w="521"/>
        <w:gridCol w:w="1019"/>
        <w:gridCol w:w="1019"/>
        <w:gridCol w:w="1441"/>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SHC</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20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20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erif" w:hAnsi="Times New Roman;serif"/>
          <w:b w:val="false"/>
          <w:color w:val="000000"/>
          <w:sz w:val="18"/>
        </w:rPr>
        <w:t>Indicate by check mark whether the registrant is a shell company (as defined in Rule 12b-2 of the Exchange Act).  </w:t>
      </w:r>
      <w:r>
        <w:rPr>
          <w:color w:val="000000"/>
        </w:rPr>
        <w:t>☐ </w:t>
      </w:r>
      <w:r>
        <w:rPr>
          <w:rFonts w:ascii="Times New Roman;serif" w:hAnsi="Times New Roman;serif"/>
          <w:b w:val="false"/>
          <w:color w:val="000000"/>
          <w:sz w:val="18"/>
        </w:rPr>
        <w:t xml:space="preserve">Yes   </w:t>
      </w:r>
      <w:r>
        <w:rPr>
          <w:color w:val="000000"/>
        </w:rPr>
        <w:t>☒ </w:t>
      </w:r>
      <w:r>
        <w:rPr>
          <w:rFonts w:ascii="Times New Roman;serif" w:hAnsi="Times New Roman;serif"/>
          <w:b w:val="false"/>
          <w:color w:val="000000"/>
          <w:sz w:val="18"/>
        </w:rPr>
        <w:t>No</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As of October 28, 2025, there were 284,093,929 shares of the registrant’s common stock, $0.01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SOTERA HEALTH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TABLE OF CONTENTS -</w:t>
      </w:r>
    </w:p>
    <w:tbl>
      <w:tblPr>
        <w:tblW w:w="8351" w:type="dxa"/>
        <w:jc w:val="left"/>
        <w:tblInd w:w="0" w:type="dxa"/>
        <w:tblLayout w:type="fixed"/>
        <w:tblCellMar>
          <w:top w:w="28" w:type="dxa"/>
          <w:left w:w="28" w:type="dxa"/>
          <w:bottom w:w="28" w:type="dxa"/>
          <w:right w:w="28" w:type="dxa"/>
        </w:tblCellMar>
      </w:tblPr>
      <w:tblGrid>
        <w:gridCol w:w="2891"/>
        <w:gridCol w:w="2539"/>
        <w:gridCol w:w="2549"/>
        <w:gridCol w:w="109"/>
        <w:gridCol w:w="109"/>
        <w:gridCol w:w="154"/>
      </w:tblGrid>
      <w:tr>
        <w:trPr/>
        <w:tc>
          <w:tcPr>
            <w:tcW w:w="289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e6a6792e74a4661b1908a6b7481c5d9_13">
              <w:r>
                <w:rPr>
                  <w:rStyle w:val="InternetLink"/>
                  <w:rFonts w:ascii="Times New Roman;serif" w:hAnsi="Times New Roman;serif"/>
                  <w:b/>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e6a6792e74a4661b1908a6b7481c5d9_13">
              <w:r>
                <w:rPr>
                  <w:rStyle w:val="InternetLink"/>
                  <w:rFonts w:ascii="Times New Roman;serif" w:hAnsi="Times New Roman;serif"/>
                  <w:b w:val="false"/>
                  <w:color w:val="0000FF"/>
                  <w:sz w:val="20"/>
                  <w:u w:val="single"/>
                </w:rPr>
                <w:t>5</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e6a6792e74a4661b1908a6b7481c5d9_16">
              <w:r>
                <w:rPr>
                  <w:rStyle w:val="InternetLink"/>
                  <w:rFonts w:ascii="Times New Roman;serif" w:hAnsi="Times New Roman;serif"/>
                  <w:b w:val="false"/>
                  <w:color w:val="0000FF"/>
                  <w:sz w:val="20"/>
                  <w:u w:val="single"/>
                </w:rPr>
                <w:t>Item 1.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e6a6792e74a4661b1908a6b7481c5d9_16">
              <w:r>
                <w:rPr>
                  <w:rStyle w:val="InternetLink"/>
                  <w:rFonts w:ascii="Times New Roman;serif" w:hAnsi="Times New Roman;serif"/>
                  <w:b w:val="false"/>
                  <w:color w:val="0000FF"/>
                  <w:sz w:val="20"/>
                  <w:u w:val="single"/>
                </w:rPr>
                <w:t>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e6a6792e74a4661b1908a6b7481c5d9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e6a6792e74a4661b1908a6b7481c5d9_85">
              <w:r>
                <w:rPr>
                  <w:rStyle w:val="InternetLink"/>
                  <w:rFonts w:ascii="Times New Roman;serif" w:hAnsi="Times New Roman;serif"/>
                  <w:b w:val="false"/>
                  <w:color w:val="0000FF"/>
                  <w:sz w:val="20"/>
                  <w:u w:val="single"/>
                </w:rPr>
                <w:t>33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e6a6792e74a4661b1908a6b7481c5d9_112">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e6a6792e74a4661b1908a6b7481c5d9_112">
              <w:r>
                <w:rPr>
                  <w:rStyle w:val="InternetLink"/>
                  <w:rFonts w:ascii="Times New Roman;serif" w:hAnsi="Times New Roman;serif"/>
                  <w:b w:val="false"/>
                  <w:color w:val="0000FF"/>
                  <w:sz w:val="20"/>
                  <w:u w:val="single"/>
                </w:rPr>
                <w:t>45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e6a6792e74a4661b1908a6b7481c5d9_115">
              <w:r>
                <w:rPr>
                  <w:rStyle w:val="InternetLink"/>
                  <w:rFonts w:ascii="Times New Roman;serif" w:hAnsi="Times New Roman;serif"/>
                  <w:b w:val="false"/>
                  <w:color w:val="0000FF"/>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e6a6792e74a4661b1908a6b7481c5d9_115">
              <w:r>
                <w:rPr>
                  <w:rStyle w:val="InternetLink"/>
                  <w:rFonts w:ascii="Times New Roman;serif" w:hAnsi="Times New Roman;serif"/>
                  <w:b w:val="false"/>
                  <w:color w:val="0000FF"/>
                  <w:sz w:val="20"/>
                  <w:u w:val="single"/>
                </w:rPr>
                <w:t>46</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e6a6792e74a4661b1908a6b7481c5d9_118">
              <w:r>
                <w:rPr>
                  <w:rStyle w:val="InternetLink"/>
                  <w:rFonts w:ascii="Times New Roman;serif" w:hAnsi="Times New Roman;serif"/>
                  <w:b/>
                  <w:color w:val="0000FF"/>
                  <w:sz w:val="20"/>
                  <w:u w:val="single"/>
                </w:rPr>
                <w:t>Part II—OTHER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e6a6792e74a4661b1908a6b7481c5d9_118">
              <w:r>
                <w:rPr>
                  <w:rStyle w:val="InternetLink"/>
                  <w:rFonts w:ascii="Times New Roman;serif" w:hAnsi="Times New Roman;serif"/>
                  <w:b w:val="false"/>
                  <w:color w:val="0000FF"/>
                  <w:sz w:val="20"/>
                  <w:u w:val="single"/>
                </w:rPr>
                <w:t>47</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e6a6792e74a4661b1908a6b7481c5d9_121">
              <w:r>
                <w:rPr>
                  <w:rStyle w:val="InternetLink"/>
                  <w:rFonts w:ascii="Times New Roman;serif" w:hAnsi="Times New Roman;serif"/>
                  <w:b w:val="false"/>
                  <w:color w:val="0000FF"/>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e6a6792e74a4661b1908a6b7481c5d9_121">
              <w:r>
                <w:rPr>
                  <w:rStyle w:val="InternetLink"/>
                  <w:rFonts w:ascii="Times New Roman;serif" w:hAnsi="Times New Roman;serif"/>
                  <w:b w:val="false"/>
                  <w:color w:val="0000FF"/>
                  <w:sz w:val="20"/>
                  <w:u w:val="single"/>
                </w:rPr>
                <w:t>47</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e6a6792e74a4661b1908a6b7481c5d9_124">
              <w:r>
                <w:rPr>
                  <w:rStyle w:val="InternetLink"/>
                  <w:rFonts w:ascii="Times New Roman;serif" w:hAnsi="Times New Roman;serif"/>
                  <w:b w:val="false"/>
                  <w:color w:val="0000FF"/>
                  <w:sz w:val="20"/>
                  <w:u w:val="single"/>
                </w:rPr>
                <w:t>Item 1A. 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e6a6792e74a4661b1908a6b7481c5d9_124">
              <w:r>
                <w:rPr>
                  <w:rStyle w:val="InternetLink"/>
                  <w:rFonts w:ascii="Times New Roman;serif" w:hAnsi="Times New Roman;serif"/>
                  <w:b w:val="false"/>
                  <w:color w:val="0000FF"/>
                  <w:sz w:val="20"/>
                  <w:u w:val="single"/>
                </w:rPr>
                <w:t>47</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e6a6792e74a4661b1908a6b7481c5d9_127">
              <w:r>
                <w:rPr>
                  <w:rStyle w:val="InternetLink"/>
                  <w:rFonts w:ascii="Times New Roman;serif" w:hAnsi="Times New Roman;serif"/>
                  <w:b w:val="false"/>
                  <w:color w:val="0000FF"/>
                  <w:sz w:val="20"/>
                  <w:u w:val="single"/>
                </w:rPr>
                <w:t>Item 5.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e6a6792e74a4661b1908a6b7481c5d9_127">
              <w:r>
                <w:rPr>
                  <w:rStyle w:val="InternetLink"/>
                  <w:rFonts w:ascii="Times New Roman;serif" w:hAnsi="Times New Roman;serif"/>
                  <w:b w:val="false"/>
                  <w:color w:val="0000FF"/>
                  <w:sz w:val="20"/>
                  <w:u w:val="single"/>
                </w:rPr>
                <w:t>47</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e6a6792e74a4661b1908a6b7481c5d9_130">
              <w:r>
                <w:rPr>
                  <w:rStyle w:val="InternetLink"/>
                  <w:rFonts w:ascii="Times New Roman;serif" w:hAnsi="Times New Roman;serif"/>
                  <w:b w:val="false"/>
                  <w:color w:val="0000FF"/>
                  <w:sz w:val="20"/>
                  <w:u w:val="single"/>
                </w:rPr>
                <w:t>Item 6. 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e6a6792e74a4661b1908a6b7481c5d9_130">
              <w:r>
                <w:rPr>
                  <w:rStyle w:val="InternetLink"/>
                  <w:rFonts w:ascii="Times New Roman;serif" w:hAnsi="Times New Roman;serif"/>
                  <w:b w:val="false"/>
                  <w:color w:val="0000FF"/>
                  <w:sz w:val="20"/>
                  <w:u w:val="single"/>
                </w:rPr>
                <w:t>48</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e6a6792e74a4661b1908a6b7481c5d9_133">
              <w:r>
                <w:rPr>
                  <w:rStyle w:val="InternetLink"/>
                  <w:rFonts w:ascii="Times New Roman;serif" w:hAnsi="Times New Roman;serif"/>
                  <w:b/>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e6a6792e74a4661b1908a6b7481c5d9_133">
              <w:r>
                <w:rPr>
                  <w:rStyle w:val="InternetLink"/>
                  <w:rFonts w:ascii="Times New Roman;serif" w:hAnsi="Times New Roman;serif"/>
                  <w:b w:val="false"/>
                  <w:color w:val="0000FF"/>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and/or the European Union;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evolving changes in environmental, health and safety regulations or preferences, and general economic, social and business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health and safety risks associated with the use, storage, transportation and disposal of potentially hazardous materials such as EO and Co-60;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satisfy the conditions for settlement of the EO claims related to our former facility in Willowbrook, Illinois;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allegations of our failure to properly perform services and potential product liability claims, recalls, penalties and reputational harm;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the extensive regulatory requirements to which we are subject, the related costs, and any failures to receive or maintain, or delays in receiving, required clearances or approvals;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changes in industry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 we face;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conditions and changes, including inflationary trends and the impact of tariffs, that impact our long-term supply contracts with variable price clauses and increase our cost of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business continuity hazards, including supply chain disruptions, the impact of the U.S. federal government shutdown, and other risks associated with our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risks of doing business internationally, including global and regional economic and political instability and compliance with various applicable laws and potentially inconsistent laws and regulations in multiple jurisdictions;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increase capacity at existing facilities, build new facilities in a timely and cost-effective manner and renew leases for our leased facilities;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and retain qualified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severe health events or environmental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cybersecurity incidents, unauthorized data disclosures, and our dependence on information technology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inability to pursue strategic transactions, find suitable acquisition targets, or integrate strategic acquisitions into our business successfully;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effective internal control over financial reporting;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reliance on intellectual property to maintain our competitive position and the risk of claims from third parties that we have infringed or misappropriated, or are infringing or misappropriating, their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rapidly evolving data privacy and security laws and regulations in various jurisdictions and any ineffective compliance efforts with such laws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profitability in future periods;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impairment charges on our goodwill and other intangible assets with indefinite lives, as well as other long-lived assets and intangible assets with definite lives;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unionization efforts and labor regulations in countries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changes to our tax positions in U.S. or non-U.S. jurisdictions or the interpretation and application of U.S. tax legislation or other changes in U.S. or non-U.S. taxation of our operations;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2024 (the “2024 Form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requires otherwise, the terms “Sotera Health,” “Company,” “we,” “us,” and “our” in this Quarterly Report on Form 10-Q refer to Sotera Health Company, a Delaware corporation, and, where appropriate,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86"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604"/>
        <w:gridCol w:w="2197"/>
        <w:gridCol w:w="2201"/>
        <w:gridCol w:w="235"/>
        <w:gridCol w:w="1066"/>
        <w:gridCol w:w="130"/>
        <w:gridCol w:w="109"/>
        <w:gridCol w:w="109"/>
        <w:gridCol w:w="109"/>
        <w:gridCol w:w="231"/>
        <w:gridCol w:w="1028"/>
        <w:gridCol w:w="186"/>
      </w:tblGrid>
      <w:tr>
        <w:trPr/>
        <w:tc>
          <w:tcPr>
            <w:tcW w:w="260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299,192</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277,242 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short-term</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1,834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uncollectible accounts of $2,120 and $2,532, respectively</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142,390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140,327 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49,865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72,351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12,183</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577,815</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526,037 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1,093,972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1,036,892 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34,427</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27,551 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3,224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Post-retirement assets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49,287</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42,524 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37,606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290,856</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317,653 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1,098,975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1,081,073 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3,186,162</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3,071,648 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61,388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139,733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14,060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13,964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3,347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5,589</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4,318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242,399</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191,002 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2,128,996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2,208,100 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 less current portion</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94,506</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95,286 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 less current portion</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30,975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 retirement obligations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52,411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lease income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16,933</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Post-retirement obligations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8,124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7,031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54,316</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69,500 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2,635,691</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2,666,737 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See Commitments and contingencies note</w:t>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with $0.01 par value, 1,200,000 shares authorized; 286,037 shares issued at September 30, 2025 and December 31, 2024</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with $0.01 par value, 120,000 authorized; no shares issued at September 30, 2025 and December 31, 2024</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(1,947 and 2,571 shares at September 30, 2025 and December 31, 2024, respectively)</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(18,657)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(23,434)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1,258,715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1,243,778 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deficit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(566,940)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(610,042)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(125,507)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(208,251)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550,471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404,911 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3,186,162</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3,071,648 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86"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and Comprehensive Income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56"/>
        <w:gridCol w:w="1501"/>
        <w:gridCol w:w="1514"/>
        <w:gridCol w:w="196"/>
        <w:gridCol w:w="751"/>
        <w:gridCol w:w="109"/>
        <w:gridCol w:w="109"/>
        <w:gridCol w:w="109"/>
        <w:gridCol w:w="109"/>
        <w:gridCol w:w="196"/>
        <w:gridCol w:w="736"/>
        <w:gridCol w:w="109"/>
        <w:gridCol w:w="109"/>
        <w:gridCol w:w="109"/>
        <w:gridCol w:w="109"/>
        <w:gridCol w:w="204"/>
        <w:gridCol w:w="786"/>
        <w:gridCol w:w="113"/>
        <w:gridCol w:w="113"/>
        <w:gridCol w:w="113"/>
        <w:gridCol w:w="113"/>
        <w:gridCol w:w="204"/>
        <w:gridCol w:w="770"/>
        <w:gridCol w:w="167"/>
      </w:tblGrid>
      <w:tr>
        <w:trPr/>
        <w:tc>
          <w:tcPr>
            <w:tcW w:w="185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2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2424"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255,529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736,713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703,027 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55,783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123,463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107,211 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net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311,312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860,176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810,238 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 of revenues: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335,259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19,414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45,303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cost of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133,751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380,562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372,308 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177,561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479,614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437,930 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195,248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180,793 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27,715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Illinois EO litigation settlements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64,943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120,674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123,731 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refinancing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1,167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gain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(612)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(6,530)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72,935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77,009</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68,910 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33,907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48,400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43,102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32,075 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 net of tax:</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Pension and post-retirement benefits (net of taxes of $(4), $(45), $23, and $2,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Interest rate derivatives (net of taxes of $(10), $(1,399), $(662) and $(2,110),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(1,924)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84,599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(25,885)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31,181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125,846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outstanding:</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284,067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283,855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282,624 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286,745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286,019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284,660 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i/>
          <w:color w:val="000000"/>
          <w:sz w:val="18"/>
        </w:rPr>
        <w:t>See notes to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86"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8351" w:type="dxa"/>
        <w:jc w:val="left"/>
        <w:tblInd w:w="0" w:type="dxa"/>
        <w:tblLayout w:type="fixed"/>
        <w:tblCellMar>
          <w:top w:w="28" w:type="dxa"/>
          <w:left w:w="28" w:type="dxa"/>
          <w:bottom w:w="28" w:type="dxa"/>
          <w:right w:w="28" w:type="dxa"/>
        </w:tblCellMar>
      </w:tblPr>
      <w:tblGrid>
        <w:gridCol w:w="2067"/>
        <w:gridCol w:w="1817"/>
        <w:gridCol w:w="1831"/>
        <w:gridCol w:w="209"/>
        <w:gridCol w:w="803"/>
        <w:gridCol w:w="116"/>
        <w:gridCol w:w="116"/>
        <w:gridCol w:w="116"/>
        <w:gridCol w:w="116"/>
        <w:gridCol w:w="209"/>
        <w:gridCol w:w="787"/>
        <w:gridCol w:w="164"/>
      </w:tblGrid>
      <w:tr>
        <w:trPr/>
        <w:tc>
          <w:tcPr>
            <w:tcW w:w="206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43,102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67,934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63,588 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36,246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refinancing of debt</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1,167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(16,913)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23,310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1,737</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exchange loss (gain)</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8,378</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derivatives not designated as hedging instruments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(605)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3,950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(3,749)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2,656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1,377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(18,948)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13,279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Illinois EO litigation settlement</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34,000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Georgia EO litigation settlement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 / receivable, net</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(9,544)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184,091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168,447 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(87,319)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(113,200)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2,874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(84,445)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(113,126)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borrowings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2,259,350 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long-term borrowings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(82,547)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(2,260,600)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 and debt discount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(3,919)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(32,054)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Buyout of leased facility</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 on equity awards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(92,359)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(44,016)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14,874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 including restricted cash</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22,161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6,828 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restricted cash, at beginning of period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278,865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301,654 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restricted cash, at end of period</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301,026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308,482 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interest</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129,600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142,779 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income taxes, net of tax refunds received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47,607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 included in accounts payable</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17,215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86"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311" w:type="dxa"/>
        <w:jc w:val="left"/>
        <w:tblInd w:w="0" w:type="dxa"/>
        <w:tblLayout w:type="fixed"/>
        <w:tblCellMar>
          <w:top w:w="28" w:type="dxa"/>
          <w:left w:w="28" w:type="dxa"/>
          <w:bottom w:w="28" w:type="dxa"/>
          <w:right w:w="28" w:type="dxa"/>
        </w:tblCellMar>
      </w:tblPr>
      <w:tblGrid>
        <w:gridCol w:w="760"/>
        <w:gridCol w:w="220"/>
        <w:gridCol w:w="221"/>
        <w:gridCol w:w="375"/>
        <w:gridCol w:w="376"/>
        <w:gridCol w:w="151"/>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Retained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Earnings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 xml:space="preserve">Total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284,047</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(19,038)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1,251,089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(615,340)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(108,288)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511,283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8,007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48,400</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284,090</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(18,657)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1,258,715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(566,940)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(125,507)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550,471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11" w:type="dxa"/>
        <w:jc w:val="left"/>
        <w:tblInd w:w="0" w:type="dxa"/>
        <w:tblLayout w:type="fixed"/>
        <w:tblCellMar>
          <w:top w:w="28" w:type="dxa"/>
          <w:left w:w="28" w:type="dxa"/>
          <w:bottom w:w="28" w:type="dxa"/>
          <w:right w:w="28" w:type="dxa"/>
        </w:tblCellMar>
      </w:tblPr>
      <w:tblGrid>
        <w:gridCol w:w="664"/>
        <w:gridCol w:w="268"/>
        <w:gridCol w:w="269"/>
        <w:gridCol w:w="375"/>
        <w:gridCol w:w="376"/>
        <w:gridCol w:w="151"/>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53" w:after="30"/>
              <w:jc w:val="center"/>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Retained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Earnings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 xml:space="preserve">Total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283,466</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1,243,778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(610,042)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(208,251)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404,911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19,714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84,599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43,102</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284,090</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(18,657)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1,258,715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(566,940)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(125,507)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550,471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86"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Equity (continued)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51" w:type="dxa"/>
        <w:jc w:val="left"/>
        <w:tblInd w:w="0" w:type="dxa"/>
        <w:tblLayout w:type="fixed"/>
        <w:tblCellMar>
          <w:top w:w="28" w:type="dxa"/>
          <w:left w:w="28" w:type="dxa"/>
          <w:bottom w:w="28" w:type="dxa"/>
          <w:right w:w="28" w:type="dxa"/>
        </w:tblCellMar>
      </w:tblPr>
      <w:tblGrid>
        <w:gridCol w:w="760"/>
        <w:gridCol w:w="220"/>
        <w:gridCol w:w="221"/>
        <w:gridCol w:w="368"/>
        <w:gridCol w:w="368"/>
        <w:gridCol w:w="151"/>
        <w:gridCol w:w="109"/>
        <w:gridCol w:w="109"/>
        <w:gridCol w:w="109"/>
        <w:gridCol w:w="196"/>
        <w:gridCol w:w="556"/>
        <w:gridCol w:w="109"/>
        <w:gridCol w:w="109"/>
        <w:gridCol w:w="109"/>
        <w:gridCol w:w="109"/>
        <w:gridCol w:w="196"/>
        <w:gridCol w:w="661"/>
        <w:gridCol w:w="109"/>
        <w:gridCol w:w="109"/>
        <w:gridCol w:w="109"/>
        <w:gridCol w:w="109"/>
        <w:gridCol w:w="196"/>
        <w:gridCol w:w="871"/>
        <w:gridCol w:w="109"/>
        <w:gridCol w:w="109"/>
        <w:gridCol w:w="109"/>
        <w:gridCol w:w="109"/>
        <w:gridCol w:w="196"/>
        <w:gridCol w:w="751"/>
        <w:gridCol w:w="109"/>
        <w:gridCol w:w="109"/>
        <w:gridCol w:w="109"/>
        <w:gridCol w:w="109"/>
        <w:gridCol w:w="196"/>
        <w:gridCol w:w="751"/>
        <w:gridCol w:w="109"/>
        <w:gridCol w:w="109"/>
        <w:gridCol w:w="109"/>
        <w:gridCol w:w="109"/>
        <w:gridCol w:w="196"/>
        <w:gridCol w:w="73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53" w:after="30"/>
              <w:jc w:val="center"/>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Retained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Earnings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 xml:space="preserve">Total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283,214 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1,229,428 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422,764 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283,239 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1,238,899 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(622,365)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(124,619)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470,163 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51" w:type="dxa"/>
        <w:jc w:val="left"/>
        <w:tblInd w:w="0" w:type="dxa"/>
        <w:tblLayout w:type="fixed"/>
        <w:tblCellMar>
          <w:top w:w="28" w:type="dxa"/>
          <w:left w:w="28" w:type="dxa"/>
          <w:bottom w:w="28" w:type="dxa"/>
          <w:right w:w="28" w:type="dxa"/>
        </w:tblCellMar>
      </w:tblPr>
      <w:tblGrid>
        <w:gridCol w:w="664"/>
        <w:gridCol w:w="268"/>
        <w:gridCol w:w="269"/>
        <w:gridCol w:w="368"/>
        <w:gridCol w:w="368"/>
        <w:gridCol w:w="151"/>
        <w:gridCol w:w="109"/>
        <w:gridCol w:w="109"/>
        <w:gridCol w:w="109"/>
        <w:gridCol w:w="196"/>
        <w:gridCol w:w="556"/>
        <w:gridCol w:w="109"/>
        <w:gridCol w:w="109"/>
        <w:gridCol w:w="109"/>
        <w:gridCol w:w="109"/>
        <w:gridCol w:w="196"/>
        <w:gridCol w:w="661"/>
        <w:gridCol w:w="109"/>
        <w:gridCol w:w="109"/>
        <w:gridCol w:w="109"/>
        <w:gridCol w:w="109"/>
        <w:gridCol w:w="196"/>
        <w:gridCol w:w="871"/>
        <w:gridCol w:w="109"/>
        <w:gridCol w:w="109"/>
        <w:gridCol w:w="109"/>
        <w:gridCol w:w="109"/>
        <w:gridCol w:w="196"/>
        <w:gridCol w:w="751"/>
        <w:gridCol w:w="109"/>
        <w:gridCol w:w="109"/>
        <w:gridCol w:w="109"/>
        <w:gridCol w:w="109"/>
        <w:gridCol w:w="196"/>
        <w:gridCol w:w="751"/>
        <w:gridCol w:w="109"/>
        <w:gridCol w:w="109"/>
        <w:gridCol w:w="109"/>
        <w:gridCol w:w="109"/>
        <w:gridCol w:w="196"/>
        <w:gridCol w:w="736"/>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53" w:after="30"/>
              <w:jc w:val="center"/>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Retained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Earnings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 xml:space="preserve">Total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282,830 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1,215,178 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32,075</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283,239 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1,238,899 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(622,365)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(124,619)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470,163 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1.Basis of Presentation</w:t>
      </w:r>
    </w:p>
    <w:p>
      <w:pPr>
        <w:pStyle w:val="TextBody"/>
        <w:bidi w:val="0"/>
        <w:spacing w:lineRule="auto" w:line="288" w:before="120" w:after="283"/>
        <w:jc w:val="left"/>
        <w:rPr/>
      </w:pPr>
      <w:r>
        <w:rPr>
          <w:rFonts w:ascii="Times New Roman;serif" w:hAnsi="Times New Roman;serif"/>
          <w:b w:val="false"/>
          <w:i/>
          <w:color w:val="000000"/>
          <w:sz w:val="20"/>
        </w:rPr>
        <w:t>Principles of Consolidation</w:t>
      </w:r>
      <w:r>
        <w:rPr>
          <w:color w:val="000000"/>
        </w:rPr>
        <w:t xml:space="preserve"> – </w:t>
      </w:r>
      <w:r>
        <w:rPr>
          <w:rFonts w:ascii="Times New Roman;serif" w:hAnsi="Times New Roman;serif"/>
          <w:b w:val="false"/>
          <w:color w:val="000000"/>
          <w:sz w:val="20"/>
        </w:rPr>
        <w:t xml:space="preserve">Sotera Health Company (also referred to herein as the “Company,” “we,” “our,” “us” or “its”) is a leading global provider of mission-critical end-to-end sterilization solutions, lab testing and advisory services for the healthcare industry with operations primarily in the Americas, Europe and Asia.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and report in three segments: Sterigenics, Nordion and Nelson Labs. We describe our reportable segments in Note 16, “Segment Information”. All intercompany balances and transactions have been eliminated in consolidation. </w:t>
      </w:r>
    </w:p>
    <w:p>
      <w:pPr>
        <w:pStyle w:val="TextBody"/>
        <w:bidi w:val="0"/>
        <w:spacing w:lineRule="auto" w:line="288" w:before="240" w:after="283"/>
        <w:jc w:val="left"/>
        <w:rPr/>
      </w:pPr>
      <w:r>
        <w:rPr>
          <w:rFonts w:ascii="Times New Roman;serif" w:hAnsi="Times New Roman;serif"/>
          <w:b w:val="false"/>
          <w:i/>
          <w:color w:val="000000"/>
          <w:sz w:val="20"/>
        </w:rPr>
        <w:t>Use of Estimates</w:t>
      </w:r>
      <w:r>
        <w:rPr>
          <w:color w:val="000000"/>
        </w:rPr>
        <w:t xml:space="preserve"> – </w:t>
      </w:r>
      <w:r>
        <w:rPr>
          <w:rFonts w:ascii="Times New Roman;serif" w:hAnsi="Times New Roman;serif"/>
          <w:b w:val="false"/>
          <w:color w:val="000000"/>
          <w:sz w:val="20"/>
        </w:rPr>
        <w:t xml:space="preserve">In preparing our consolidated financial statements in conformity with U.S. Generally Accepted Accounting Principles (“GAAP”), we make estimates and assumptions that affect the amounts reported and the accompanying notes. We regularly evaluate the estimates and assumptions used and revise them as new information becomes available. Actual results may vary from those estimates. </w:t>
      </w:r>
    </w:p>
    <w:p>
      <w:pPr>
        <w:pStyle w:val="TextBody"/>
        <w:bidi w:val="0"/>
        <w:spacing w:lineRule="auto" w:line="288" w:before="240" w:after="283"/>
        <w:jc w:val="left"/>
        <w:rPr/>
      </w:pPr>
      <w:r>
        <w:rPr>
          <w:rFonts w:ascii="Times New Roman;serif" w:hAnsi="Times New Roman;serif"/>
          <w:b w:val="false"/>
          <w:i/>
          <w:color w:val="000000"/>
          <w:sz w:val="20"/>
        </w:rPr>
        <w:t xml:space="preserve">Interim Financial Statements </w:t>
      </w:r>
      <w:r>
        <w:rPr>
          <w:color w:val="000000"/>
        </w:rPr>
        <w:t xml:space="preserve">– </w:t>
      </w:r>
      <w:r>
        <w:rPr>
          <w:rFonts w:ascii="Times New Roman;serif" w:hAnsi="Times New Roman;serif"/>
          <w:b w:val="false"/>
          <w:color w:val="000000"/>
          <w:sz w:val="20"/>
        </w:rPr>
        <w:t>The accompanying consolidated financial statements include the assets, liabilities, operating results, and cash flows of the Company and its wholly owned subsidiaries. These financial statements are prepared in accordance with GAAP for interim financial information and the instructions to the Quarterly Report on Form 10-Q and Rule 10-01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2.Recent Accounting Standards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Adoption of Accounting Standards Updates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 the year ended December 31, 2024, we adopted Accounting Standards Update (“ASU”) 2023-07, Segment Reporting (Topic 280): Improvements to Reportable Segment Disclosures. </w:t>
      </w:r>
      <w:r>
        <w:rPr>
          <w:rFonts w:ascii="Times New Roman;serif" w:hAnsi="Times New Roman;serif"/>
          <w:b w:val="false"/>
          <w:color w:val="000000"/>
          <w:sz w:val="20"/>
        </w:rPr>
        <w:t xml:space="preserve">The amendments in ASU 2023-07 require an entity to provide enhanced disclosures about significant segment expenses. These interim financial statements reflect these amendments. </w:t>
      </w:r>
      <w:r>
        <w:rPr>
          <w:rFonts w:ascii="Times New Roman;serif" w:hAnsi="Times New Roman;serif"/>
          <w:b w:val="false"/>
          <w:color w:val="000000"/>
          <w:sz w:val="20"/>
          <w:shd w:fill="FFFFFF" w:val="clear"/>
        </w:rPr>
        <w:t>The adoption of this standard did not have a material impact on our consolidated financial statements and disclosures.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Accounting Standards Updates (“ASU”) Issued But Not Yet Adopted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The amendments in this ASU require entities to disclose, on an annual basis, specific categories in the reconciliation of the provision (benefit) for income taxes to the statutory rate and provide additional information for reconciling items that meet a quantitative threshold. Additionally, the update requires entities to disclose a disaggregation of taxes paid by category (federal, state and foreign taxes) as well as individual jurisdictions. For public business entities, the amendments in this ASU are effective for annual periods beginning after December 15, 2024 and will be reflected in our Annual Report on Form 10-K for the year ending December 31, 2025. This ASU will increase the tax disclosures in the Company’s Annual Report on Form 10-K, but will not impact reported income tax expense or related tax assets and liabilities.</w:t>
      </w:r>
    </w:p>
    <w:p>
      <w:pPr>
        <w:pStyle w:val="TextBody"/>
        <w:bidi w:val="0"/>
        <w:spacing w:lineRule="auto" w:line="288" w:before="200" w:after="283"/>
        <w:jc w:val="left"/>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The amendments in this ASU require entities to disaggregate certain expense captions into specified categories in disclosures within the footnotes to the financial statements. In January 2025, the FASB issued ASU 2025-01, which revises the effective date of ASU 2024-03 and clarifies that entities are required to adopt the guidance in annual reporting periods beginning after December 15, 2026, and interim periods within annual reporting periods beginning after December 15, 2027. The Company is in the process of assessing the impact of this ASU on</w:t>
      </w:r>
      <w:r>
        <w:rPr>
          <w:color w:val="000000"/>
          <w:shd w:fill="FFFFFF" w:val="clear"/>
        </w:rPr>
        <w:t xml:space="preserve"> </w:t>
      </w:r>
      <w:r>
        <w:rPr>
          <w:rFonts w:ascii="Times New Roman;serif" w:hAnsi="Times New Roman;serif"/>
          <w:b w:val="false"/>
          <w:color w:val="000000"/>
          <w:sz w:val="20"/>
          <w:shd w:fill="FFFFFF" w:val="clear"/>
        </w:rPr>
        <w:t>our disclosures and expects that this ASU will increase disclosures in the annual and interim periods when adopted</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0"/>
        <w:jc w:val="left"/>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The amendments in this update change the capitalization criteria for internally developed software by removing all references to prescriptive and sequential software development stages. The amendments in this update are effective for annual reporting periods beginning after December 15, 2027, and interim reporting periods within those annual reporting periods. The Company is in the process of assessing the impact of this ASU on</w:t>
      </w:r>
      <w:r>
        <w:rPr>
          <w:color w:val="000000"/>
          <w:shd w:fill="FFFFFF" w:val="clear"/>
        </w:rPr>
        <w:t xml:space="preserve"> </w:t>
      </w:r>
      <w:r>
        <w:rPr>
          <w:rFonts w:ascii="Times New Roman;serif" w:hAnsi="Times New Roman;serif"/>
          <w:b w:val="false"/>
          <w:color w:val="000000"/>
          <w:sz w:val="20"/>
          <w:shd w:fill="FFFFFF" w:val="clear"/>
        </w:rPr>
        <w:t>our financial statements and disclosures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3.Revenue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disaggregated net revenues from contracts with external customers by timing of revenue and by segment for the three and nine months ended September 30, 2025 and 2024:</w:t>
      </w:r>
    </w:p>
    <w:tbl>
      <w:tblPr>
        <w:tblW w:w="745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5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192,845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61,308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254,153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55,662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57,159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192,845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62,805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55,662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311,312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95" w:type="dxa"/>
        <w:jc w:val="left"/>
        <w:tblInd w:w="0" w:type="dxa"/>
        <w:tblLayout w:type="fixed"/>
        <w:tblCellMar>
          <w:top w:w="28" w:type="dxa"/>
          <w:left w:w="28" w:type="dxa"/>
          <w:bottom w:w="28" w:type="dxa"/>
          <w:right w:w="28" w:type="dxa"/>
        </w:tblCellMar>
      </w:tblPr>
      <w:tblGrid>
        <w:gridCol w:w="723"/>
        <w:gridCol w:w="635"/>
        <w:gridCol w:w="637"/>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6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56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557,368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134,979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692,347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167,829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557,368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137,793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165,015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860,176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05" w:type="dxa"/>
        <w:jc w:val="left"/>
        <w:tblInd w:w="0" w:type="dxa"/>
        <w:tblLayout w:type="fixed"/>
        <w:tblCellMar>
          <w:top w:w="28" w:type="dxa"/>
          <w:left w:w="28" w:type="dxa"/>
          <w:bottom w:w="28" w:type="dxa"/>
          <w:right w:w="28" w:type="dxa"/>
        </w:tblCellMar>
      </w:tblPr>
      <w:tblGrid>
        <w:gridCol w:w="723"/>
        <w:gridCol w:w="635"/>
        <w:gridCol w:w="63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56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810,238 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When we receive consideration from a customer prior to transferring goods or services under the terms of a sales contract, we record deferred revenue, which represents a contract liability. Deferred revenue totaled $14.1 million and $15.1 million at September 30, 2025 and December 31, 2024, respectively. We recognize deferred revenue after we have transferred control of the goods or services to the customer and all revenue recognition criteria are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4.Inventories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6940" w:type="dxa"/>
        <w:jc w:val="left"/>
        <w:tblInd w:w="0" w:type="dxa"/>
        <w:tblLayout w:type="fixed"/>
        <w:tblCellMar>
          <w:top w:w="28" w:type="dxa"/>
          <w:left w:w="28" w:type="dxa"/>
          <w:bottom w:w="28" w:type="dxa"/>
          <w:right w:w="28" w:type="dxa"/>
        </w:tblCellMar>
      </w:tblPr>
      <w:tblGrid>
        <w:gridCol w:w="1277"/>
        <w:gridCol w:w="1122"/>
        <w:gridCol w:w="1125"/>
        <w:gridCol w:w="308"/>
        <w:gridCol w:w="1077"/>
        <w:gridCol w:w="159"/>
        <w:gridCol w:w="109"/>
        <w:gridCol w:w="109"/>
        <w:gridCol w:w="109"/>
        <w:gridCol w:w="300"/>
        <w:gridCol w:w="1026"/>
        <w:gridCol w:w="219"/>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41,366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42,408 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790</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7,934</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50,090</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49,376 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excess and obsolete inventory</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49,865</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49,158 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5.Prepaid Expenses and Other 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7045" w:type="dxa"/>
        <w:jc w:val="left"/>
        <w:tblInd w:w="0" w:type="dxa"/>
        <w:tblLayout w:type="fixed"/>
        <w:tblCellMar>
          <w:top w:w="28" w:type="dxa"/>
          <w:left w:w="28" w:type="dxa"/>
          <w:bottom w:w="28" w:type="dxa"/>
          <w:right w:w="28" w:type="dxa"/>
        </w:tblCellMar>
      </w:tblPr>
      <w:tblGrid>
        <w:gridCol w:w="1316"/>
        <w:gridCol w:w="1154"/>
        <w:gridCol w:w="1159"/>
        <w:gridCol w:w="308"/>
        <w:gridCol w:w="1077"/>
        <w:gridCol w:w="159"/>
        <w:gridCol w:w="109"/>
        <w:gridCol w:w="109"/>
        <w:gridCol w:w="109"/>
        <w:gridCol w:w="300"/>
        <w:gridCol w:w="1026"/>
        <w:gridCol w:w="219"/>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34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5,478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business insurance</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1,234</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rent</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5,623</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 assets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37,275</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deposits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215</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maintenance contracts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702</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tax receivable</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3,321</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 licensing</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2,674</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supplies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5,109</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2,253</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8,467</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72,351</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51,031 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6.Goodwill and Other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Changes to goodwill during the nine months ended September 30, 2025 were as follows:</w:t>
      </w:r>
    </w:p>
    <w:tbl>
      <w:tblPr>
        <w:tblW w:w="10043" w:type="dxa"/>
        <w:jc w:val="left"/>
        <w:tblInd w:w="0" w:type="dxa"/>
        <w:tblLayout w:type="fixed"/>
        <w:tblCellMar>
          <w:top w:w="28" w:type="dxa"/>
          <w:left w:w="28" w:type="dxa"/>
          <w:bottom w:w="28" w:type="dxa"/>
          <w:right w:w="28" w:type="dxa"/>
        </w:tblCellMar>
      </w:tblPr>
      <w:tblGrid>
        <w:gridCol w:w="1452"/>
        <w:gridCol w:w="1274"/>
        <w:gridCol w:w="127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109"/>
        <w:gridCol w:w="109"/>
        <w:gridCol w:w="211"/>
        <w:gridCol w:w="991"/>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at December 31, 2024</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653,222 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255,485 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1,081,073 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due to foreign currency exchange rates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at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658,677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263,767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176,531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1,098,975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consisted of the following: </w:t>
      </w:r>
    </w:p>
    <w:tbl>
      <w:tblPr>
        <w:tblW w:w="6108" w:type="dxa"/>
        <w:jc w:val="left"/>
        <w:tblInd w:w="0" w:type="dxa"/>
        <w:tblLayout w:type="fixed"/>
        <w:tblCellMar>
          <w:top w:w="28" w:type="dxa"/>
          <w:left w:w="28" w:type="dxa"/>
          <w:bottom w:w="28" w:type="dxa"/>
          <w:right w:w="28" w:type="dxa"/>
        </w:tblCellMar>
      </w:tblPr>
      <w:tblGrid>
        <w:gridCol w:w="1207"/>
        <w:gridCol w:w="1060"/>
        <w:gridCol w:w="1062"/>
        <w:gridCol w:w="226"/>
        <w:gridCol w:w="902"/>
        <w:gridCol w:w="118"/>
        <w:gridCol w:w="109"/>
        <w:gridCol w:w="109"/>
        <w:gridCol w:w="109"/>
        <w:gridCol w:w="211"/>
        <w:gridCol w:w="84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September 30, 2025</w:t>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Finite-lived intangible assets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166,899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81,207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37,337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18,543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1,880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Land-use rights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8,706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2,219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Sealed source and supply agreements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198,921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120,633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3,011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2,856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finite-lived intangible assets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417,274</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227,338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Indefinite-lived intangible assets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Regulatory licenses and other</w:t>
            </w:r>
            <w:r>
              <w:rPr>
                <w:rFonts w:ascii="Times New Roman;serif" w:hAnsi="Times New Roman;serif"/>
                <w:b w:val="false"/>
                <w:color w:val="000000"/>
                <w:sz w:val="13"/>
              </w:rPr>
              <w:t>(a)</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74,918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 trademarks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26,002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indefinite-lived intangible assets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100,920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518,194</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227,338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43" w:type="dxa"/>
        <w:jc w:val="left"/>
        <w:tblInd w:w="0" w:type="dxa"/>
        <w:tblLayout w:type="fixed"/>
        <w:tblCellMar>
          <w:top w:w="28" w:type="dxa"/>
          <w:left w:w="28" w:type="dxa"/>
          <w:bottom w:w="28" w:type="dxa"/>
          <w:right w:w="28" w:type="dxa"/>
        </w:tblCellMar>
      </w:tblPr>
      <w:tblGrid>
        <w:gridCol w:w="1204"/>
        <w:gridCol w:w="1060"/>
        <w:gridCol w:w="1065"/>
        <w:gridCol w:w="211"/>
        <w:gridCol w:w="976"/>
        <w:gridCol w:w="109"/>
        <w:gridCol w:w="109"/>
        <w:gridCol w:w="109"/>
        <w:gridCol w:w="109"/>
        <w:gridCol w:w="211"/>
        <w:gridCol w:w="82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2024</w:t>
            </w:r>
          </w:p>
        </w:tc>
        <w:tc>
          <w:tcPr>
            <w:tcW w:w="129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Finite-lived intangible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Land-use rights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Sealed source and supply agreements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finite-lived intangible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708,829 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Indefinite-lived intangible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Regulatory licenses and other</w:t>
            </w:r>
            <w:r>
              <w:rPr>
                <w:rFonts w:ascii="Times New Roman;serif" w:hAnsi="Times New Roman;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 trademarks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indefinite-lived intangible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708,829 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Includes certain transportation certifications, a class 1B nuclear license and other intangible assets related to obtaining such licensure. These assets are considered indefinite-lived as the decision for renewal by the Canadian Nuclear Safety Commission (“CNSC”) is highly based on a licensee’s previous assessments, reported incidents, and annual compliance and inspection results. New applications for a license can take a significant amount of time and cost; whereas an existing licensee with a historical record of compliance and current operating conditions is generally expected to obtain renewal, as Nordion has demonstrated over its 75 years of history. In September 2025, the CNSC renewed Nordion’s Class 1B nuclear license for a 25-year term.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include the impact of foreign currency translation. Fully amortized amounts are written off.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finite-lived intangible assets was $5.7 million and $19.9 million for the three months ended September 30, 2025 and 2024, respectively. $3.1 million and $15.5 million was included in “Amortization of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Consolidated Statements of Operations and Comprehensive Income for the three months ended September 30, 2025 and 2024, respectively, whereas the remainder was included in “Cost of revenues.”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finite-lived intangible assets was $36.2 million and $59.7 million for the nine months ended September 30, 2025 and 2024, respectively. $27.7 million and $46.7 million was included in “Amortization of intangible assets” in the Consolidated Statements of Operations and Comprehensive Income for the nine months ended September 30, 2025 and 2024, respectively, whereas the remainder was included in “Cost of revenues.”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estimated aggregate amortization expense for finite-lived intangible assets for each of the next five years and thereafter is as follows:</w:t>
      </w:r>
    </w:p>
    <w:tbl>
      <w:tblPr>
        <w:tblW w:w="3425" w:type="dxa"/>
        <w:jc w:val="left"/>
        <w:tblInd w:w="0" w:type="dxa"/>
        <w:tblLayout w:type="fixed"/>
        <w:tblCellMar>
          <w:top w:w="28" w:type="dxa"/>
          <w:left w:w="28" w:type="dxa"/>
          <w:bottom w:w="28" w:type="dxa"/>
          <w:right w:w="28" w:type="dxa"/>
        </w:tblCellMar>
      </w:tblPr>
      <w:tblGrid>
        <w:gridCol w:w="804"/>
        <w:gridCol w:w="706"/>
        <w:gridCol w:w="709"/>
        <w:gridCol w:w="211"/>
        <w:gridCol w:w="841"/>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5,490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21,977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20,901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20,353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20,243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100,972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189,936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amortization periods of the finite-lived intangible assets by major intangible asset class as of September 30, 2025 were as follows:</w:t>
      </w:r>
    </w:p>
    <w:tbl>
      <w:tblPr>
        <w:tblW w:w="7514" w:type="dxa"/>
        <w:jc w:val="left"/>
        <w:tblInd w:w="0" w:type="dxa"/>
        <w:tblLayout w:type="fixed"/>
        <w:tblCellMar>
          <w:top w:w="28" w:type="dxa"/>
          <w:left w:w="28" w:type="dxa"/>
          <w:bottom w:w="28" w:type="dxa"/>
          <w:right w:w="28" w:type="dxa"/>
        </w:tblCellMar>
      </w:tblPr>
      <w:tblGrid>
        <w:gridCol w:w="1133"/>
        <w:gridCol w:w="996"/>
        <w:gridCol w:w="1006"/>
        <w:gridCol w:w="1281"/>
        <w:gridCol w:w="1281"/>
        <w:gridCol w:w="1817"/>
      </w:tblGrid>
      <w:tr>
        <w:trPr/>
        <w:tc>
          <w:tcPr>
            <w:tcW w:w="113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 years)</w:t>
            </w:r>
          </w:p>
        </w:tc>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amortization period</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4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Land-use rights</w:t>
            </w:r>
          </w:p>
        </w:tc>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Sealed source and supply agreements</w:t>
            </w:r>
          </w:p>
        </w:tc>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7.Accrued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consisted of the following: </w:t>
      </w:r>
    </w:p>
    <w:tbl>
      <w:tblPr>
        <w:tblW w:w="7150" w:type="dxa"/>
        <w:jc w:val="left"/>
        <w:tblInd w:w="0" w:type="dxa"/>
        <w:tblLayout w:type="fixed"/>
        <w:tblCellMar>
          <w:top w:w="28" w:type="dxa"/>
          <w:left w:w="28" w:type="dxa"/>
          <w:bottom w:w="28" w:type="dxa"/>
          <w:right w:w="28" w:type="dxa"/>
        </w:tblCellMar>
      </w:tblPr>
      <w:tblGrid>
        <w:gridCol w:w="1354"/>
        <w:gridCol w:w="1188"/>
        <w:gridCol w:w="1192"/>
        <w:gridCol w:w="280"/>
        <w:gridCol w:w="1119"/>
        <w:gridCol w:w="145"/>
        <w:gridCol w:w="109"/>
        <w:gridCol w:w="109"/>
        <w:gridCol w:w="109"/>
        <w:gridCol w:w="300"/>
        <w:gridCol w:w="1026"/>
        <w:gridCol w:w="219"/>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34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36,292</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37,018 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Illinois EO litigation settlements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34,000</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expense</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19,168</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3,208</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30,871</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utilities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1,835</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accrual</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2,456</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5,669</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6,234</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liabilities</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139,733</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90,463 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8.Long-Term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10205" w:type="dxa"/>
        <w:jc w:val="left"/>
        <w:tblInd w:w="0" w:type="dxa"/>
        <w:tblLayout w:type="fixed"/>
        <w:tblCellMar>
          <w:top w:w="28" w:type="dxa"/>
          <w:left w:w="28" w:type="dxa"/>
          <w:bottom w:w="28" w:type="dxa"/>
          <w:right w:w="28" w:type="dxa"/>
        </w:tblCellMar>
      </w:tblPr>
      <w:tblGrid>
        <w:gridCol w:w="734"/>
        <w:gridCol w:w="640"/>
        <w:gridCol w:w="641"/>
        <w:gridCol w:w="211"/>
        <w:gridCol w:w="991"/>
        <w:gridCol w:w="109"/>
        <w:gridCol w:w="109"/>
        <w:gridCol w:w="109"/>
        <w:gridCol w:w="109"/>
        <w:gridCol w:w="466"/>
        <w:gridCol w:w="1758"/>
        <w:gridCol w:w="240"/>
        <w:gridCol w:w="109"/>
        <w:gridCol w:w="109"/>
        <w:gridCol w:w="109"/>
        <w:gridCol w:w="392"/>
        <w:gridCol w:w="1479"/>
        <w:gridCol w:w="202"/>
        <w:gridCol w:w="109"/>
        <w:gridCol w:w="109"/>
        <w:gridCol w:w="109"/>
        <w:gridCol w:w="211"/>
        <w:gridCol w:w="991"/>
        <w:gridCol w:w="159"/>
      </w:tblGrid>
      <w:tr>
        <w:trPr/>
        <w:tc>
          <w:tcPr>
            <w:tcW w:w="7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41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September 30, 2025</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(3,274)</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746,726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1,423,030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(7,045)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(19,751)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1,396,234</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2,173,030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(10,319)</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(19,751)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2,142,960</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13,964</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2,158,800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(10,250)</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(19,554)</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2,128,996</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37"/>
        <w:gridCol w:w="643"/>
        <w:gridCol w:w="645"/>
        <w:gridCol w:w="211"/>
        <w:gridCol w:w="976"/>
        <w:gridCol w:w="109"/>
        <w:gridCol w:w="109"/>
        <w:gridCol w:w="109"/>
        <w:gridCol w:w="109"/>
        <w:gridCol w:w="468"/>
        <w:gridCol w:w="1767"/>
        <w:gridCol w:w="242"/>
        <w:gridCol w:w="109"/>
        <w:gridCol w:w="109"/>
        <w:gridCol w:w="109"/>
        <w:gridCol w:w="394"/>
        <w:gridCol w:w="1486"/>
        <w:gridCol w:w="203"/>
        <w:gridCol w:w="109"/>
        <w:gridCol w:w="109"/>
        <w:gridCol w:w="109"/>
        <w:gridCol w:w="211"/>
        <w:gridCol w:w="976"/>
        <w:gridCol w:w="156"/>
      </w:tblGrid>
      <w:tr>
        <w:trPr/>
        <w:tc>
          <w:tcPr>
            <w:tcW w:w="7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41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746,293 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(22,459)</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2,222,903 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2,240,483 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(10,150)</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(22,233)</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2,208,100 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Debt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debt agreements summarized below, at September 30, 2025 we and Sotera Health Holdings, LLC (“SHH”), our wholly owned subsidiary, have debt payment obligations under (a) a term loan in the amount of $1,423.0 million, (b) a revolving credit facility, which supported operationally-related letters of credit but was otherwise undrawn, and which provides to us capacity up to $600.0 million for future potential borrowings, and (c) $750.0 million of senior notes. Our debt agreements also include additional covenants, conditions and rights to request additional debt, as summarized below.</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Senior Secured Credit Facilities and Indenture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13, 2019, SHH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(as amended through Amendment No. 6 (as defined below), the “Credit Agreement”). Amendment No. 6 reduced the applicable interest rate margin under the Term Loan by 0.50%. The Senior Secured Credit Facilities also provide SHH the right at any time and under certain conditions to request incremental term loans or incremental revolving credit commitments based on a formula defined in the Senior Secured Credit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September 17, 2025, the Company and SHH entered into Amendment No. 6 (“Amendment No. 6”) to the Credit Agreement. Among other changes, Amendment No. 6 provides for refinancing lenders to provide term loans (the “Repriced Term Loans”) to SHH in an aggregate principal amount of $1,423.0 million, which reflects the balance after the Company’s application of $75.0 million of available cash to repay outstanding borrowings under its term loan facility. Amendment No. 6 also reduces the interest rate spread by 0.50% across term loans under the facility, such that the Repriced Term Loans have an applicable interest rate margin equal to the Adjusted Term SOFR (as defined in the Credit Agreement) plus 2.50%, with a 0.00% floor (with optionality for the Company to elect Alternate Base Rate plus 1.50% or Adjusted Daily Simple SOFR plus 2.50% (each as defined in the Credit Agreement)). This pricing reflects both the 0.50% reduction implemented through Amendment No. 6 and a 0.25% contractual pricing step-down that was triggered in August 2025. The Repriced Term Loans are also subject to a “soft call” premium of 1.00% for certain repricing transactions with respect to the Repriced Term Loans that occur within the six-month period after the effective date of Amendment No. 6. The Repriced Term Loans amortize at a rate of 1.00% per annum and matures on May 30, 2031.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April 30, 2025, the Company and SHH entered into Amendment No. 5 (“Amendment No. 5”) to the Credit Agreement. Among other changes, Amendment No. 5 provides (i) for an increase in the commitments under the existing Revolving Credit Facility in an aggregate principal amount of $176.2 million, (ii) that certain lenders providing revolving credit commitments shall also provide additional commitments for the issuance of letters of credit under the Revolving Credit Facility in an aggregate principal amount of $186.3 million and (iii) for the extension of the maturity date of the Revolving Credit Facility to April 30, 2030. Amendment No. 5 does not give effect to any other material changes to the terms and conditions of the Credit Agreement, including with respect to the representations and warranties, events of default and the affirmative or negative covenants.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May 30, 2024, the Company and SHH entered into Amendment No. 4 (“Amendment No. 4”) to the Senior Secured Credit Facilities. Among other changes, Amendment No. 4 provides for term loans (the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Secured Overnight Financing Rate (“SOFR”) plus 3.25% for RFR Loans (as defined in the Credit Agreement) and (iii) Term SOFR plus 3.25% for Term Benchmark Loans (as defined in the Credit Agreement), in each case with a 0.00% applicable floor and the applicable interest rate margin shall be subject to a pricing step-down of 0.25% when the Senior Secured Leverage Ratio (as defined in the Credit Agreement) is less than or equal to 3.30:1.00. The Refinancing Term Loans amortize at a rate of 1.00% per annum and mature on May 30, 2031.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interest rates on borrowings under the Term Loan for the three months ended September 30, 2025 and 2024 was 7.22% and 8.56%, respectively, and 7.50% and 8.56% for the nine months ended September 30, 2025 and 2024,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30, 2024, SHH, the Company,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 The Secured Notes pay interest semiannually in arrears on June 1 and December 1 of each year, which began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 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ending after the issue date, at a redemption price equal to 103% of the aggregate principal amount thereof, plus accrued and unpaid interest, if any, thereon to, but excluding, the redemption date.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obligations under the Indenture are secured on a first-lien basis by security interests in substantially all of the assets of SHH, the Company and the Guarantors (other than any excluded assets) that secure the Credit Agreement on a pari passu basis, subject to certain limitations, exceptions and permitted liens. These obligations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used the combined net proceeds from the Refinancing Term Loans and Secured Notes, along with cash on hand, to refinance its previously outstanding $1,763.1 million Term Loan due 2026 and $496.3 million Term Loan B due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 (i) $162.6 million or (ii) 30.0% of consolidated EBITDA or LTM EBITDA (as defined in the Credit Agreement and the Indenture, respectively) and the judgments were not stayed or remained undischarged for a period of 60 consecutive days. As of September 30, 2025, we were in compliance with all of the covenants under the Senior Secured Credit Facilities and the Indenture.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All of SHH’s obligations under the Senior Secured Credit Facilities and the Indenture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SHH and the guarantors, subject to permitted liens and other exceptions and exclusions, as outlined in the Senior Secured Credit Facilities, the Indenture and the Security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Outstanding letters of credit are collateralized by encumbrances against the Revolving Credit Facility and the collateral pledged thereunder, or by cash placed on deposit with the issuing bank. As of September 30, 2025, the Company had $8.1 million of letters of credit issued against the Revolving Credit Facility, resulting in total availability under the Revolving Credit Facility of $591.9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Term Loan Interest Rate Risk Management</w:t>
      </w:r>
    </w:p>
    <w:p>
      <w:pPr>
        <w:pStyle w:val="TextBody"/>
        <w:bidi w:val="0"/>
        <w:spacing w:lineRule="auto" w:line="288" w:before="120" w:after="283"/>
        <w:jc w:val="left"/>
        <w:rPr/>
      </w:pPr>
      <w:r>
        <w:rPr>
          <w:rFonts w:ascii="Times New Roman;serif" w:hAnsi="Times New Roman;serif"/>
          <w:b w:val="false"/>
          <w:color w:val="000000"/>
          <w:sz w:val="20"/>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15, “Financial Instruments and Financial Risk”— </w:t>
      </w:r>
      <w:r>
        <w:rPr>
          <w:color w:val="000000"/>
        </w:rPr>
        <w:t>“</w:t>
      </w:r>
      <w:r>
        <w:rPr>
          <w:rFonts w:ascii="Times New Roman;serif" w:hAnsi="Times New Roman;serif"/>
          <w:b w:val="false"/>
          <w:i/>
          <w:color w:val="000000"/>
          <w:sz w:val="20"/>
        </w:rPr>
        <w:t>Derivative Instruments.”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Debt Maturities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maturities of the Company’s long-term debt, excluding debt issuance costs and discounts, as of September 30, 2025, were as follows:</w:t>
      </w:r>
    </w:p>
    <w:tbl>
      <w:tblPr>
        <w:tblW w:w="3351" w:type="dxa"/>
        <w:jc w:val="left"/>
        <w:tblInd w:w="0" w:type="dxa"/>
        <w:tblLayout w:type="fixed"/>
        <w:tblCellMar>
          <w:top w:w="28" w:type="dxa"/>
          <w:left w:w="28" w:type="dxa"/>
          <w:bottom w:w="28" w:type="dxa"/>
          <w:right w:w="28" w:type="dxa"/>
        </w:tblCellMar>
      </w:tblPr>
      <w:tblGrid>
        <w:gridCol w:w="723"/>
        <w:gridCol w:w="635"/>
        <w:gridCol w:w="637"/>
        <w:gridCol w:w="211"/>
        <w:gridCol w:w="99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3,558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2,112,552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2,173,030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9.Income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 Our effective tax rates were 33.6% and 44.0% for the three and nine months ended September 30, 2025, respectively. For the three and nine months ended September 30, 2024, our effective tax rates were 60.2% and 53.5%,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for the three and nine months ended September 30, 2025 differed from the statutory rate primarily due to recognition of the cumulative tax effects of the change in U.S. income tax laws under the One Big Beautiful Bill Act ("OBBBA") in the period of enactment associated with the accounting for the valuation allowance attributable to the limitation on the deductibility of interest expense. This was offset by the tax effects for a change in our indefinite reinvestment assertion with respect to a portion of our foreign earnings, the impact of the foreign rate differential and current year permanent differences.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for the three and nine months ended September 30, 2024 differed from the statutory rate primarily due to a net increase in the valuation allowance attributable to the limitation on the deductibility of interest expense, the impact of the foreign rate differential and GILTI, partially offset by a benefit for state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10.Employee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 The interest cost, expected return on plan assets and amortization of net actuarial gain are recorded in “Other income, net” and the service cost component is included in the same financial statement line item as the applicable employee’s wages in the Consolidated Statements of Operations and Comprehensive Income.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Defined benefit pension plan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defined benefit pension plan disclosure relates to Nordion. Certain immaterial foreign defined benefit pension plans have been excluded from the table below. The components of net periodic pension benefit for the defined benefit plans for the three and nine months ended September 30, 2025 and 2024 were as follows:</w:t>
      </w:r>
    </w:p>
    <w:tbl>
      <w:tblPr>
        <w:tblW w:w="8226" w:type="dxa"/>
        <w:jc w:val="left"/>
        <w:tblInd w:w="0" w:type="dxa"/>
        <w:tblLayout w:type="fixed"/>
        <w:tblCellMar>
          <w:top w:w="28" w:type="dxa"/>
          <w:left w:w="28" w:type="dxa"/>
          <w:bottom w:w="28" w:type="dxa"/>
          <w:right w:w="28" w:type="dxa"/>
        </w:tblCellMar>
      </w:tblPr>
      <w:tblGrid>
        <w:gridCol w:w="935"/>
        <w:gridCol w:w="821"/>
        <w:gridCol w:w="824"/>
        <w:gridCol w:w="241"/>
        <w:gridCol w:w="790"/>
        <w:gridCol w:w="124"/>
        <w:gridCol w:w="124"/>
        <w:gridCol w:w="124"/>
        <w:gridCol w:w="124"/>
        <w:gridCol w:w="241"/>
        <w:gridCol w:w="790"/>
        <w:gridCol w:w="124"/>
        <w:gridCol w:w="109"/>
        <w:gridCol w:w="109"/>
        <w:gridCol w:w="109"/>
        <w:gridCol w:w="232"/>
        <w:gridCol w:w="762"/>
        <w:gridCol w:w="120"/>
        <w:gridCol w:w="120"/>
        <w:gridCol w:w="120"/>
        <w:gridCol w:w="120"/>
        <w:gridCol w:w="232"/>
        <w:gridCol w:w="762"/>
        <w:gridCol w:w="169"/>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126</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7,105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(11,864)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periodic benefit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(1,484)</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(4,388)</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(3,640)</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currently has no funding requirements as the Nordion pension plan has a going concern surplus as defined by Canadian federal regulation, which requires solvency testing on defined benefit pension plans on an annual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may obtain a qualifying letter of credit for solvency payments, up to 15% of the market value of solvency liabilities as determined on the valuation date, instead of paying cash into the pension fund. As of September 30, 2025, we had no letters of credit outstanding relating to the defined benefit plans as none were required based on the most recent actuarial valuation. As of December 31, 2024, we had $6.4 million letters of credit outstanding relating to the defined benefit plans.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benefit plans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1"/>
        <w:jc w:val="left"/>
        <w:rPr>
          <w:rFonts w:ascii="Times New Roman;serif" w:hAnsi="Times New Roman;serif"/>
          <w:b w:val="false"/>
          <w:color w:val="000000"/>
          <w:sz w:val="20"/>
        </w:rPr>
      </w:pPr>
      <w:r>
        <w:rPr>
          <w:rFonts w:ascii="Times New Roman;serif" w:hAnsi="Times New Roman;serif"/>
          <w:b w:val="false"/>
          <w:color w:val="000000"/>
          <w:sz w:val="20"/>
        </w:rPr>
        <w:t>All non-pension post-employment benefit plans are unfunded. The components of net periodic pension cost for the other benefit plans for the three and nine months ended September 30, 2025 and 2024 were as follows:</w:t>
      </w:r>
    </w:p>
    <w:tbl>
      <w:tblPr>
        <w:tblW w:w="8507" w:type="dxa"/>
        <w:jc w:val="left"/>
        <w:tblInd w:w="0" w:type="dxa"/>
        <w:tblLayout w:type="fixed"/>
        <w:tblCellMar>
          <w:top w:w="28" w:type="dxa"/>
          <w:left w:w="28" w:type="dxa"/>
          <w:bottom w:w="28" w:type="dxa"/>
          <w:right w:w="28" w:type="dxa"/>
        </w:tblCellMar>
      </w:tblPr>
      <w:tblGrid>
        <w:gridCol w:w="1038"/>
        <w:gridCol w:w="912"/>
        <w:gridCol w:w="915"/>
        <w:gridCol w:w="332"/>
        <w:gridCol w:w="592"/>
        <w:gridCol w:w="171"/>
        <w:gridCol w:w="171"/>
        <w:gridCol w:w="171"/>
        <w:gridCol w:w="171"/>
        <w:gridCol w:w="332"/>
        <w:gridCol w:w="569"/>
        <w:gridCol w:w="171"/>
        <w:gridCol w:w="109"/>
        <w:gridCol w:w="109"/>
        <w:gridCol w:w="109"/>
        <w:gridCol w:w="284"/>
        <w:gridCol w:w="648"/>
        <w:gridCol w:w="146"/>
        <w:gridCol w:w="146"/>
        <w:gridCol w:w="146"/>
        <w:gridCol w:w="146"/>
        <w:gridCol w:w="284"/>
        <w:gridCol w:w="628"/>
        <w:gridCol w:w="207"/>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234</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gain</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periodic cost</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184</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11.    Other Comprehensive Income (Loss)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in accumulated other comprehensive income (loss) are presented net of the related tax. Foreign currency translation is not adjusted for income taxes.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our accumulated other comprehensive income (loss) balances, net of applicable tax, were as follows: </w:t>
      </w:r>
    </w:p>
    <w:tbl>
      <w:tblPr>
        <w:tblW w:w="10080" w:type="dxa"/>
        <w:jc w:val="left"/>
        <w:tblInd w:w="0" w:type="dxa"/>
        <w:tblLayout w:type="fixed"/>
        <w:tblCellMar>
          <w:top w:w="28" w:type="dxa"/>
          <w:left w:w="28" w:type="dxa"/>
          <w:bottom w:w="28" w:type="dxa"/>
          <w:right w:w="28" w:type="dxa"/>
        </w:tblCellMar>
      </w:tblPr>
      <w:tblGrid>
        <w:gridCol w:w="1685"/>
        <w:gridCol w:w="1480"/>
        <w:gridCol w:w="1485"/>
        <w:gridCol w:w="211"/>
        <w:gridCol w:w="631"/>
        <w:gridCol w:w="109"/>
        <w:gridCol w:w="109"/>
        <w:gridCol w:w="109"/>
        <w:gridCol w:w="109"/>
        <w:gridCol w:w="211"/>
        <w:gridCol w:w="901"/>
        <w:gridCol w:w="109"/>
        <w:gridCol w:w="109"/>
        <w:gridCol w:w="109"/>
        <w:gridCol w:w="109"/>
        <w:gridCol w:w="211"/>
        <w:gridCol w:w="691"/>
        <w:gridCol w:w="109"/>
        <w:gridCol w:w="109"/>
        <w:gridCol w:w="109"/>
        <w:gridCol w:w="109"/>
        <w:gridCol w:w="211"/>
        <w:gridCol w:w="901"/>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Defined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Benefit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Foreign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Rate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 July 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(108,288)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13"/>
              </w:rPr>
            </w:pPr>
            <w:r>
              <w:rPr>
                <w:rFonts w:ascii="Times New Roman;serif" w:hAnsi="Times New Roman;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(17,219)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September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(125,507)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 January 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(209,666)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(208,251)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83,636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13"/>
              </w:rPr>
            </w:pPr>
            <w:r>
              <w:rPr>
                <w:rFonts w:ascii="Times New Roman;serif" w:hAnsi="Times New Roman;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84,599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82,744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(125,067)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(125,507)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10090" w:type="dxa"/>
        <w:jc w:val="left"/>
        <w:tblInd w:w="0" w:type="dxa"/>
        <w:tblLayout w:type="fixed"/>
        <w:tblCellMar>
          <w:top w:w="28" w:type="dxa"/>
          <w:left w:w="28" w:type="dxa"/>
          <w:bottom w:w="28" w:type="dxa"/>
          <w:right w:w="28" w:type="dxa"/>
        </w:tblCellMar>
      </w:tblPr>
      <w:tblGrid>
        <w:gridCol w:w="1685"/>
        <w:gridCol w:w="1480"/>
        <w:gridCol w:w="1485"/>
        <w:gridCol w:w="211"/>
        <w:gridCol w:w="691"/>
        <w:gridCol w:w="109"/>
        <w:gridCol w:w="109"/>
        <w:gridCol w:w="109"/>
        <w:gridCol w:w="109"/>
        <w:gridCol w:w="211"/>
        <w:gridCol w:w="901"/>
        <w:gridCol w:w="109"/>
        <w:gridCol w:w="109"/>
        <w:gridCol w:w="109"/>
        <w:gridCol w:w="109"/>
        <w:gridCol w:w="216"/>
        <w:gridCol w:w="632"/>
        <w:gridCol w:w="113"/>
        <w:gridCol w:w="109"/>
        <w:gridCol w:w="109"/>
        <w:gridCol w:w="109"/>
        <w:gridCol w:w="211"/>
        <w:gridCol w:w="901"/>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Defined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Benefit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Foreign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Rate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 July 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September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 January 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(124,619)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(a)For defined benefit pension plans, amounts reclassified from accumulated other comprehensive income (loss) are recorded to “Other income, net” within the Consolidated Statements of Operations and Comprehensive Income.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(b)For interest rate derivatives, amounts reclassified from accumulated other comprehensive income (loss) are recorded to “Interest expense, net” within the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12. Share-Based Compensation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Pre-IPO Awards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vest as of the date of consummation of such change in control, subject to the grantee’s continued services through the consummation of the change in control. All pre-IPO Class B-1 time vesting units were fully vested as of September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recognized an immaterial amount and $0.4 million of share-based compensation expense related to the pre-IPO Class B-1 awards for the three months ended September 30, 2025 and 2024, respectively, and $0.5 million and $1.3 million for the nine months ended September 30, 2025 and 2024,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activity for the nine months ended September 30, 2025 related to the restricted stock awards distributed in respect of the pre-IPO awards (Class B-1) is presented below:</w:t>
      </w:r>
    </w:p>
    <w:tbl>
      <w:tblPr>
        <w:tblW w:w="4155" w:type="dxa"/>
        <w:jc w:val="left"/>
        <w:tblInd w:w="0" w:type="dxa"/>
        <w:tblLayout w:type="fixed"/>
        <w:tblCellMar>
          <w:top w:w="28" w:type="dxa"/>
          <w:left w:w="28" w:type="dxa"/>
          <w:bottom w:w="28" w:type="dxa"/>
          <w:right w:w="28" w:type="dxa"/>
        </w:tblCellMar>
      </w:tblPr>
      <w:tblGrid>
        <w:gridCol w:w="1015"/>
        <w:gridCol w:w="892"/>
        <w:gridCol w:w="898"/>
        <w:gridCol w:w="398"/>
        <w:gridCol w:w="398"/>
        <w:gridCol w:w="5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Restricted 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Pre-IPO B-1</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71,451 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(71,451)</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Unvested at September 30, 2025</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2020 Omnibus Incentive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long-term incentive plan (the “2020 Omnibus Incentive Plan”) that allows for grants of incentive stock options to employees (including employees of any of our subsidiaries), nonstatutory stock options, restricted stock awards,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stock units (“RSUs”), performance stock units (“PSUs”) and other cash-based, equity-based or equity-related awards to employees, directors, and consultants, including employees or consultants of our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recognized $8.0 million ($1.7 million for stock options, $5.6 million for RSUs and $0.7 million for PSUs) and $9.4 million ($4.5 million for stock options and $4.9 million for RSUs) of share-based compensation expense for these awards for the three months ended September 30, 2025 and 2024, respectively. We recognized $23.0 million ($5.7 million for stock options, $15.5 million for RSUs and $1.8 million for PSUs) and $27.5 million ($13.1 million for stock options and $14.4 million for RSUs) for the nine months ended September 30, 2025 and 2024, respectively, in our Consolidated Statements of Operations and Comprehensive Income, in “Selling, general and administrative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nine months ended September 30, 2025:</w:t>
      </w:r>
    </w:p>
    <w:tbl>
      <w:tblPr>
        <w:tblW w:w="5199" w:type="dxa"/>
        <w:jc w:val="left"/>
        <w:tblInd w:w="0" w:type="dxa"/>
        <w:tblLayout w:type="fixed"/>
        <w:tblCellMar>
          <w:top w:w="28" w:type="dxa"/>
          <w:left w:w="28" w:type="dxa"/>
          <w:bottom w:w="28" w:type="dxa"/>
          <w:right w:w="28" w:type="dxa"/>
        </w:tblCellMar>
      </w:tblPr>
      <w:tblGrid>
        <w:gridCol w:w="733"/>
        <w:gridCol w:w="644"/>
        <w:gridCol w:w="648"/>
        <w:gridCol w:w="495"/>
        <w:gridCol w:w="496"/>
        <w:gridCol w:w="311"/>
        <w:gridCol w:w="109"/>
        <w:gridCol w:w="109"/>
        <w:gridCol w:w="109"/>
        <w:gridCol w:w="327"/>
        <w:gridCol w:w="979"/>
        <w:gridCol w:w="239"/>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Number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Weighted Average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Exercise Price</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2024</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8,328,051 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September 30, 2025</w:t>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8,237,662</w:t>
            </w:r>
            <w:r>
              <w:rPr>
                <w:color w:val="000000"/>
              </w:rPr>
              <w:t>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14.91</w:t>
            </w:r>
            <w:r>
              <w:rPr>
                <w:color w:val="000000"/>
              </w:rPr>
              <w:t>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were 6.9 million vested and exercisable stock options.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RSUs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Time-based RSUs generally vest ratably over a period of one to three years and are valued based on our market price on the date of grant. For RSUs with performance modifiers, management estimated the fair value using a Monte Carlo simulation valuation model. The following table summarizes our unvested RSU activity for the nine months ended September 30, 2025:</w:t>
      </w:r>
    </w:p>
    <w:tbl>
      <w:tblPr>
        <w:tblW w:w="7628" w:type="dxa"/>
        <w:jc w:val="left"/>
        <w:tblInd w:w="0" w:type="dxa"/>
        <w:tblLayout w:type="fixed"/>
        <w:tblCellMar>
          <w:top w:w="28" w:type="dxa"/>
          <w:left w:w="28" w:type="dxa"/>
          <w:bottom w:w="28" w:type="dxa"/>
          <w:right w:w="28" w:type="dxa"/>
        </w:tblCellMar>
      </w:tblPr>
      <w:tblGrid>
        <w:gridCol w:w="1015"/>
        <w:gridCol w:w="892"/>
        <w:gridCol w:w="898"/>
        <w:gridCol w:w="495"/>
        <w:gridCol w:w="496"/>
        <w:gridCol w:w="311"/>
        <w:gridCol w:w="109"/>
        <w:gridCol w:w="109"/>
        <w:gridCol w:w="109"/>
        <w:gridCol w:w="675"/>
        <w:gridCol w:w="2023"/>
        <w:gridCol w:w="496"/>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Number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2,278,537 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1,577,225 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(62,854)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(920,421)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Unvested at September 30, 2025</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2,872,487</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13.01</w:t>
            </w:r>
            <w:r>
              <w:rPr>
                <w:color w:val="000000"/>
              </w:rPr>
              <w:t>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PSUs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PSUs vest at the end of a three year service period and are valued based on our market price on the date of grant. PSUs awarded to our CEO with vesting conditions dependent upon the achievement of stock price increases were valued using a Monte Carlo simulation valuation model. The following table summarizes our unvested PSUs for the nine months ended September 30, 2025:</w:t>
      </w:r>
    </w:p>
    <w:p>
      <w:pPr>
        <w:pStyle w:val="TextBody"/>
        <w:bidi w:val="0"/>
        <w:spacing w:before="0" w:after="0"/>
        <w:jc w:val="left"/>
        <w:rPr/>
      </w:pPr>
      <w:r>
        <w:rPr/>
      </w:r>
    </w:p>
    <w:tbl>
      <w:tblPr>
        <w:tblW w:w="6308" w:type="dxa"/>
        <w:jc w:val="left"/>
        <w:tblInd w:w="0" w:type="dxa"/>
        <w:tblLayout w:type="fixed"/>
        <w:tblCellMar>
          <w:top w:w="28" w:type="dxa"/>
          <w:left w:w="28" w:type="dxa"/>
          <w:bottom w:w="28" w:type="dxa"/>
          <w:right w:w="28" w:type="dxa"/>
        </w:tblCellMar>
      </w:tblPr>
      <w:tblGrid>
        <w:gridCol w:w="1015"/>
        <w:gridCol w:w="892"/>
        <w:gridCol w:w="898"/>
        <w:gridCol w:w="420"/>
        <w:gridCol w:w="421"/>
        <w:gridCol w:w="311"/>
        <w:gridCol w:w="109"/>
        <w:gridCol w:w="109"/>
        <w:gridCol w:w="109"/>
        <w:gridCol w:w="428"/>
        <w:gridCol w:w="1282"/>
        <w:gridCol w:w="31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Number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Weighted-average Grant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 Fair Value</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865,256 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Unvested at September 30, 2025</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862,454</w:t>
            </w:r>
            <w:r>
              <w:rPr>
                <w:color w:val="000000"/>
              </w:rPr>
              <w:t>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10.86</w:t>
            </w:r>
            <w:r>
              <w:rPr>
                <w:color w:val="000000"/>
              </w:rPr>
              <w:t>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13. Earnings Per Share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periods in which the Company has net income, earnings per share is calculated using the two-class method. This method is required as unvested pre-IPO restricted stock awards have the right to receive non-forfeitable dividends or dividend equivalents if the Company were to declare dividends on its common stock. Pursuant to the two-class method, earnings for each period are allocated on a pro-rata basis to common stockholders and unvested pre-IPO restricted stock awards. Diluted earnings per share is computed using the more dilutive of the (a) two-class method and (b) treasury stock method, as applicable, to the potentially dilutive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periods in which the Company has a net loss, the two-class method is not applicable because the unvested pre-IPO restricted stock awards do not participate in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basic and diluted earnings per common share are calculated as follows:</w:t>
      </w:r>
    </w:p>
    <w:tbl>
      <w:tblPr>
        <w:tblW w:w="10205" w:type="dxa"/>
        <w:jc w:val="left"/>
        <w:tblInd w:w="0" w:type="dxa"/>
        <w:tblLayout w:type="fixed"/>
        <w:tblCellMar>
          <w:top w:w="28" w:type="dxa"/>
          <w:left w:w="28" w:type="dxa"/>
          <w:bottom w:w="28" w:type="dxa"/>
          <w:right w:w="28" w:type="dxa"/>
        </w:tblCellMar>
      </w:tblPr>
      <w:tblGrid>
        <w:gridCol w:w="1993"/>
        <w:gridCol w:w="1392"/>
        <w:gridCol w:w="1398"/>
        <w:gridCol w:w="221"/>
        <w:gridCol w:w="773"/>
        <w:gridCol w:w="114"/>
        <w:gridCol w:w="114"/>
        <w:gridCol w:w="114"/>
        <w:gridCol w:w="114"/>
        <w:gridCol w:w="221"/>
        <w:gridCol w:w="757"/>
        <w:gridCol w:w="114"/>
        <w:gridCol w:w="109"/>
        <w:gridCol w:w="109"/>
        <w:gridCol w:w="109"/>
        <w:gridCol w:w="217"/>
        <w:gridCol w:w="760"/>
        <w:gridCol w:w="112"/>
        <w:gridCol w:w="112"/>
        <w:gridCol w:w="112"/>
        <w:gridCol w:w="112"/>
        <w:gridCol w:w="217"/>
        <w:gridCol w:w="744"/>
        <w:gridCol w:w="167"/>
      </w:tblGrid>
      <w:tr>
        <w:trPr/>
        <w:tc>
          <w:tcPr>
            <w:tcW w:w="199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 of U.S. dollars and share amounts (except per share amounts)</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w:t>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48,400</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43,102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Allocation to participating securities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Sotera Health Company common shareholders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48,400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43,099</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32,022 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w:t>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284,067</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283,855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potential common shares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2,678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2,164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286,745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285,564 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286,019</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284,660 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attributable to Sotera Health Company common shareholders - basic</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0.17</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attributable to Sotera Health Company common shareholders - diluted</w:t>
            </w:r>
          </w:p>
        </w:tc>
        <w:tc>
          <w:tcPr>
            <w:tcW w:w="99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0.17</w:t>
            </w:r>
            <w:r>
              <w:rPr>
                <w:color w:val="000000"/>
              </w:rPr>
              <w:t> </w:t>
            </w:r>
          </w:p>
        </w:tc>
        <w:tc>
          <w:tcPr>
            <w:tcW w:w="1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0.15</w:t>
            </w:r>
            <w:r>
              <w:rPr>
                <w:color w:val="000000"/>
              </w:rPr>
              <w:t> </w:t>
            </w:r>
          </w:p>
        </w:tc>
        <w:tc>
          <w:tcPr>
            <w:tcW w:w="1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Diluted earnings </w:t>
      </w:r>
      <w:r>
        <w:rPr>
          <w:rFonts w:ascii="Times New Roman;serif" w:hAnsi="Times New Roman;serif"/>
          <w:b w:val="false"/>
          <w:color w:val="000000"/>
          <w:sz w:val="20"/>
        </w:rPr>
        <w:t>per share does not consider the following potential common shares as the effect would be anti-dilutive:</w:t>
      </w:r>
    </w:p>
    <w:tbl>
      <w:tblPr>
        <w:tblW w:w="8723" w:type="dxa"/>
        <w:jc w:val="left"/>
        <w:tblInd w:w="0" w:type="dxa"/>
        <w:tblLayout w:type="fixed"/>
        <w:tblCellMar>
          <w:top w:w="28" w:type="dxa"/>
          <w:left w:w="28" w:type="dxa"/>
          <w:bottom w:w="28" w:type="dxa"/>
          <w:right w:w="28" w:type="dxa"/>
        </w:tblCellMar>
      </w:tblPr>
      <w:tblGrid>
        <w:gridCol w:w="907"/>
        <w:gridCol w:w="797"/>
        <w:gridCol w:w="800"/>
        <w:gridCol w:w="438"/>
        <w:gridCol w:w="298"/>
        <w:gridCol w:w="298"/>
        <w:gridCol w:w="298"/>
        <w:gridCol w:w="298"/>
        <w:gridCol w:w="298"/>
        <w:gridCol w:w="427"/>
        <w:gridCol w:w="298"/>
        <w:gridCol w:w="298"/>
        <w:gridCol w:w="109"/>
        <w:gridCol w:w="109"/>
        <w:gridCol w:w="109"/>
        <w:gridCol w:w="438"/>
        <w:gridCol w:w="280"/>
        <w:gridCol w:w="280"/>
        <w:gridCol w:w="280"/>
        <w:gridCol w:w="280"/>
        <w:gridCol w:w="280"/>
        <w:gridCol w:w="427"/>
        <w:gridCol w:w="280"/>
        <w:gridCol w:w="396"/>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 of share amounts</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5,543</w:t>
            </w:r>
            <w:r>
              <w:rPr>
                <w:color w:val="000000"/>
              </w:rPr>
              <w:t>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5,570</w:t>
            </w: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w:t>
            </w: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512</w:t>
            </w: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anti-dilutive securities</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5,544</w:t>
            </w:r>
            <w:r>
              <w:rPr>
                <w:color w:val="000000"/>
              </w:rPr>
              <w:t>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6,082</w:t>
            </w:r>
            <w:r>
              <w:rPr>
                <w:color w:val="000000"/>
              </w:rPr>
              <w:t>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5,883 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or are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determinations, we may, depending on the nature of the matter, consult with internal and external legal counsel and technical experts.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regarding those lawsuits set forth below, including the number of claims, is as of September 30, 2025, except as otherwise indicated.</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Ethylene Oxide Tort Litigation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Sterigenics U.S., LLC (“Sterigenics”) and other medical supply sterilization companies have been subjected to tort lawsuits alleging various injuries caused by low-level environmental exposure to EO used at or emitted from sterilization facilities. Those lawsuits, as detailed further below, are individual claims, as opposed to class actions.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California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October 31, 2025, subsidiaries of the Company and other parties are defendants in 11 lawsuits in Los Angeles County Superior Court in which the plaintiffs are asserting approximately 83 claims for personal injury or wrongful death allegedly resulting from use, emissions and releases of EO from Sterigenics’ Vernon facilities (the “Vernon Cases”). The Vernon Cases have been assigned to one judge, with initial trials scheduled for January and April 2027. Eight individual claims have been selected as the “First Plaintiff Group” and are being prioritized for discovery.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Georgia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 and other parties are defendants in lawsuits in Georgia in which plaintiffs allege personal injuries, wrongful death and property devaluation resulting from use, emissions and releases of EO from or at Sterigenics’ Atlanta facility (the “Atlanta Cases”).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October 31, 2025, approximately 425 personal injury and wrongful death claims pending in the State Court of Cobb County (the “Georgia Trial Court”) are assigned to a single judge (the “Georgia Personal Injury Cases”). The Georgia Personal Injury Cases are governed by case management orders pursuant to which general causation issues in a pool of eight cases are to be adjudicated in Phase 1 and specific causation issues in those pool cases are to be adjudicated in Phase 2; the remaining Georgia Personal Injury Cases (including 15 cases that include both personal injury and property claims) and one personal injury lawsuit that is pending before a different judge, are stayed.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22, 2024, the Georgia Trial Court issued a Phase 1 ruling on general causation issues granting in part and denying in part defendants’ motions to exclude certain Phase 1 expert testimony and defendants’ motions for summary judgment on Phase 1 issues (the “Phase 1 Ruling”). Plaintiffs and defendants appealed the Phase 1 Ruling to the Court of Appeals of Georgia (the “Phase 1 Appeals”).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the Phase 1 Appeals were pending, three of the pool cases selected by plaintiffs’ counsel proceeded to Phase 2. On October 17, 2025, the Georgia Trial Court issued its Phase 2 rulings granting Sterigenics’ motions to exclude three of plaintiffs’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Phase 2 expert witnesses and granting Sterigenics’ motions for summary judgment in all three cases. On October 28, 2025, the Georgia Trial Court entered an order adopting its Phase 2 rulings with respect to Sotera Health LLC.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October 31, 2025 the Court of Appeals of Georgia ruled on the Phase 1 Appeals, finding that, as Sterigenics contended on appeal, the Phase 1 Ruling failed to apply the proper standard for determining the admissibility of expert testimony on general causation, vacating the Phase 1 Ruling and remanding the pool cases to the Georgia Trial Court with instructions to apply the proper standard in ruling on general causation issues. The Court of Appeals also instructed the Georgia Trial Court to consider whether plaintiffs can prove general causation through epidemiological evidence and background risks of the diseases at issue.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 and other parties are also defendants in a lawsuit by employees of a sterilization customer of Sterigenics who allege they were injured while working at the customer’s distribution facility by exposure to residual EO allegedly emanating from products of the customer that had been sterilized by Sterigenics. The case has been transferred from the Georgia Trial Court to the Superior Court of Cobb County and is proceeding on plaintiffs’ Fifth Amended Complaint. Pursuant to the customer’s contract with Sterigenics, the customer is indemnifying Sterigenics against this lawsuit.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Approximately 305 property devaluation lawsuits pending in the Georgia Trial Court have been consolidated for pretrial purposes (the “Consolidated Property Cases”). A pool of nine of the Consolidated Property Cases are proceeding under case management orders and are currently in discovery. The remaining cases are stayed.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Illinois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 and other parties are defendants in lawsuits in the Circuit Court of Cook County, Illinois, in which plaintiffs allege personal injury or wrongful death resulting from purported use, emissions and releases of EO from Sterigenics’ former Willowbrook facility (the “Willowbrook Cases”). The Willowbrook Cases have been assigned to a single judge for coordinated discovery and pretrial proceedings.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3, 2025, Sterigenics agreed to settle the seven cases previously set for trials in April and June 2025 and all of the other claims being pursued by the same plaintiffs’ counsel, including those of the individual plaintiffs in 61 Willowbrook Cases and 29 claimants who asserted claims but had yet to file lawsuits (collectively, the “Eligible April Claimants”) subject to several conditions (the “April 2025 Settlement”). All conditions to the April 2025 Settlement were satisfied, including participation by 100 percent of the Eligible April Claimants, a determination by the Circuit Court of Cook County that the settlement was entered in good faith under the Illinois Contribution Among Joint Tortfeasors Act, and execution of a Confidential General Release, Settlement Agreement and Covenant Not To Sue by each Eligible April Claimant. In September 2025, Sterigenics made the $30.9 million settlement payment, and the April 2025 Settlement was completed.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23, 2025, Sterigenics entered into a binding term sheet (the “July Term Sheet”) to resolve ten Willowbrook Cases set for trials in October 2025 and March 2026, and 119 other claims being pursued by the same plaintiffs’ counsel, including those of the individual plaintiffs in 56 Willowbrook Cases and 63 claimants who asserted claims but had yet to file lawsuits (collectively, the “Eligible July Claimants”). The settlement is subject to the satisfaction of several conditions, including participation by 100 percent of the Eligible July Claimants, stays of the trials scheduled to begin in October 2025 and March 2026 and a determination by the Circuit Court of Cook County that the settlement was entered in good faith under the Illinois Contribution Among Joint Tortfeasors Act. Pursuant to the July Term Sheet, Sterigenics will pay a total of $34.0 million, each Eligible July Claimant participating in the settlement will execute a Confidential General Release, Settlement Agreement and Covenant Not to Sue and the cases will be dismissed with prejudice.If the settlement is finalized one Willowbrook Case will remain pending in the Circuit Court of Cook County.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New Mexico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certain subsidiaries are defendants in a lawsuit in the Third Judicial District Court, Doña Ana County, New Mexico (the “Trial Court”) in which the New Mexico Attorney General (“NMAG”) alleges that use, emissions and releases of EO from Sterigenics’ facility in Santa Teresa have deteriorated the air quality in surrounding communities and materially contributed to increased health risks for residents of those communities. In April 2024, the Court of Appeals of the State of New Mexico denied the NMAG’s petition for leave to file an interlocutory appeal of the Trial Court’s August 2023 order granting Sterigenics’ motion for summary judgment on strict liability, the Unfair Practices Act claim, and the claims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decreased property values, increased healthcare costs and medical monitoring costs, and remanded the case to the District Court of Doña Ana County for further proceedings on the remaining claims. Subsequently, in April 2025, the NMAG filed a motion pursuant to Rule 1-054(B) seeking to modify the Trial Court’s August 2023 summary judgment order to reinstate the NMAG’s claim for recovery of healthcare cost damages. That motion remains pending. The case is set for trial in July 2026.</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EO lawsuits have been threatened relating to Sterigenics’ facilities in the United States and may be filed in the future; these threats of additional EO lawsuits are comparable to threats that have similarly been made against other companies within our industry. Based on our view of the strength of the science and related evidence that emissions of EO from Sterigenics’ operations have not caused and could not have caused the harms alleged in such lawsuits, we believe that losses in the remaining or future EO cases through trials and any appeals that may prove necessary are not probable. Although the Company is vigorously defending against the EO tort claims, future settlements of EO tort claims are reasonably possible. The previously disclosed settlements of certain cases related to our facilities in Willowbrook and Atlanta and the resolution of the tort lawsuit pending in the United States District Court for the District of New Mexico were driven by dynamics unique to the claims that were settled and thus should not give rise to presumptions that the Company will settle additional EO tort claims and/or that any such settlements will be for comparable amounts.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Potential trial and settlement outcomes can vary widely based on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 We are vigorously defending the EO tort lawsuits.</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Insurance Coverage for Environmental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 environmental liability insurance policy under which we have received coverage for the EO tort lawsuits in Georgia, Illinois and New Mexico described above had limits of $10.0 million per occurrence and $20.0 million in the aggregate. Those per occurrence and aggregate limits were fully utilized in the defense of the Georgia, Illinois and New Mexico litigation. Our insurance for future alleged environmental liabilities excludes coverage for EO claims.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pursuing additional insurance coverage for our legal expenses related to EO tort lawsuits. In 2021, Sterigenics filed an insurance coverage lawsuit in the U.S. District Court for the Northern District of Illinois (the “Illinois District Court”) relating to two commercial general liability policies issued in the 1980s (the “Northern District of Illinois Coverage Lawsuit”). The Illinois District Court issued an order declaring that the defendant insurer owes a duty to Sterigenics and another insured party to defend the Willowbrook Cases (the “Duty to Defend Order”) and entered judgment for Sterigenics in January 2024 in the amount of $110.2 million for certain defense costs incurred in the Willowbrook Cases as of August 2022 (the “Defense Costs Judgment”). The defendant insurer appealed the Duty to Defend Order and Defense Costs Judgment to the United States Court of Appeals for the Seventh Circuit. On April 11, 2025, the Seventh Circuit Court of Appeals issued a decision certifying a question of Illinois law to the Illinois Supreme Court.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Sterigenics is also a party in insurance coverage lawsuits pending in the Circuit Court of Cook County, the Delaware Superior Court and the Los Angeles County Superior Court relating to insurance coverage from various historical commercial general liability policies for certain EO litigation settlement amounts and defense costs that the insurer against which a judgment has been secured in the Northern District of Illinois Coverage Lawsuit may fail to fund. The Delaware Superior Court case has been stayed pending resolution of the coverage lawsuit in the Circuit Court of Cook County. The Cook County Circuit Court lawsuit and the Los Angeles County Superior Court lawsuit have now been stayed pending resolution of the certified question currently pending before the Illinois Supreme Court. It is not possible to predict how much, if any, of the insurance proceeds sought will ultimately be recovered.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Sotera Health Company Securities Litigation and Related Matters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In January 2023, a stockholder class action was filed in the U.S. District Court for the Northern District of Ohio </w:t>
      </w:r>
      <w:r>
        <w:rPr>
          <w:rFonts w:ascii="Times New Roman;serif" w:hAnsi="Times New Roman;serif"/>
          <w:b w:val="false"/>
          <w:color w:val="000000"/>
          <w:sz w:val="20"/>
        </w:rPr>
        <w:t xml:space="preserve">(the “Ohio District Court”) </w:t>
      </w:r>
      <w:r>
        <w:rPr>
          <w:rFonts w:ascii="Times New Roman;serif" w:hAnsi="Times New Roman;serif"/>
          <w:b w:val="false"/>
          <w:color w:val="000000"/>
          <w:sz w:val="20"/>
          <w:shd w:fill="FFFFFF" w:val="clear"/>
        </w:rPr>
        <w:t xml:space="preserve">against the Company, certain past and present directors and senior executives, the Company’s private equity stockholders and the underwriters of the Company’s initial public offering (“IPO”) in November 2020 and the Company’s secondary public offering (“SPO”) in March 2021 (the “Michigan Funds Litigation”). In April 2023, the </w:t>
      </w:r>
      <w:r>
        <w:rPr>
          <w:rFonts w:ascii="Times New Roman;serif" w:hAnsi="Times New Roman;serif"/>
          <w:b w:val="false"/>
          <w:color w:val="000000"/>
          <w:sz w:val="20"/>
        </w:rPr>
        <w:t>Ohio District Court</w:t>
      </w:r>
      <w:r>
        <w:rPr>
          <w:color w:val="000000"/>
          <w:shd w:fill="FFFFFF" w:val="clear"/>
        </w:rPr>
        <w:t xml:space="preserve"> </w:t>
      </w:r>
      <w:r>
        <w:rPr>
          <w:rFonts w:ascii="Times New Roman;serif" w:hAnsi="Times New Roman;serif"/>
          <w:b w:val="false"/>
          <w:color w:val="000000"/>
          <w:sz w:val="20"/>
          <w:shd w:fill="FFFFFF" w:val="clear"/>
        </w:rPr>
        <w:t xml:space="preserve">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between November 20, 2020 and September 19, 2022 (the “Proposed Class”). The Michigan Funds allege that certain statements made regarding the safety of the Company’s use of EO and/or the EO tort lawsuits and other risks of its EO operations violated Sections 11, 12(a)(2) and 15 of the Securities Act of 1933 (when made in the registration statements for the IPO and SPO) and Sections 10(b), Section 20(a) and Rule 10b-5 of the Securities Exchange Act of 1934 (when made in subsequent securities filings and other contexts). On March 19, 2025, the Ohio District Court issued a Memorandum Opinion and Order granting the Company’s motion to dismiss the Amended Complaint and entered judgment dismissing the Michigan Funds Litigation with </w:t>
      </w:r>
      <w:r>
        <w:rPr>
          <w:rFonts w:ascii="Times New Roman;serif" w:hAnsi="Times New Roman;serif"/>
          <w:b w:val="false"/>
          <w:color w:val="000000"/>
          <w:sz w:val="20"/>
        </w:rPr>
        <w:t>prejudice</w:t>
      </w:r>
      <w:r>
        <w:rPr>
          <w:color w:val="000000"/>
          <w:shd w:fill="FFFFFF" w:val="clear"/>
        </w:rPr>
        <w:t xml:space="preserve"> </w:t>
      </w:r>
      <w:r>
        <w:rPr>
          <w:rFonts w:ascii="Times New Roman;serif" w:hAnsi="Times New Roman;serif"/>
          <w:b w:val="false"/>
          <w:color w:val="000000"/>
          <w:sz w:val="20"/>
          <w:shd w:fill="FFFFFF" w:val="clear"/>
        </w:rPr>
        <w:t>(the “Dismissal Order and Judgment”). The Michigan Funds have appealed the Dismissal Order and Judgment to the United States Court of Appeals for the Sixth Circuit.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2024, a stockholder derivative lawsuit was filed in the Court of Chancery of the State of Delaware (the “Delaware Chancery Court”) for the benefit of the Company as the nominal defendant (the “May 2024 Derivative Litigation”). The plaintiffs allege breaches of fiduciary duties, insider trading, unjust enrichment and other violations by certain past and present directors and senior executives of the Company and the Company’s private equity stockholders. On June 25, 2024, the Delaware Chancery Court stayed the May 2024 Derivative Litigation pending a ruling on the merits on the motion to dismiss the Amended Complaint in the Michigan Funds Litigation.</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is vigorously defending the Michigan Funds Litigation and, if necessary, plans to vigorously defend the May 2024 Derivative Litigation</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also received demands pursuant to 8 Del. C. §220 for inspections of its books and records (“220 Demands”) from shareholders purporting to investigate potential wrongdoing by Company fiduciaries and other issues relating to the Company’s statements regarding the safety of its use of EO and/or the EO tort lawsuits and other risks of its EO operations. The Company has produced documents in response to the 220 Demands and may produce additional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15. Financial Instruments and Financial Risk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Derivative Instruments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use derivatives for trading or speculative purposes and are not a party to leveraged derivatives.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Designated in Hedge Relationships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2025, we entered into an interest rate swap agreement with a notional amount of $400.0 million. The interest rate swap became effective on August 31, 2025 and expires on August 31, 2027. We have designated the interest swap as a cash flow hedge designed to hedge the variability of cash flows attributable to changes in the SOFR benchmark interest rate of our Term Loan (or any successor thereto). We receive interest at the one-month Term SOFR rate and pay a fixed interest rate under the terms of the swap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2023, we entered into an interest rate swap agreement with a notional amount of $400.0 million. The interest rate swap was effective on August 23, 2023 and expired on August 23, 2025. We designated the interest swap as a cash flow hedge designed to hedge the variability of cash flows attributable to changes in the SOFR benchmark interest rate of our Term Loan (or any successor thereto). We receive interest at the one-month Term SOFR rate and pay a fixed interest rate under the terms of the swap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May 2022, we entered into two interest rate cap agreements with a combined notional amount of $1,000.0 million for a total option premium of $4.1 million. The interest rate caps were effective on July 31, 2023 and expired on July 31, 2024. We designated these interest rate caps as cash flow hedges designed to hedge the variability of cash flows attributable to changes in the benchmark interest rate of our Term Loan (or any successor thereto). Under the current terms of the Credit Agreement, the benchmark interest rate index transitioned from LIBOR to Term SOFR on June 30, 2023. Accordingly, the interest rate cap agreements hedged the variability of cash flows attributable to changes in SOFR by limiting our cash flow exposure related to Term SOFR under a portion of our variable rate borrowings to 3.5%.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Not Designated in Hedge Relationships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These foreign currency derivatives are not designated in hedge relationships.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Embedded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the notional and fair values of our derivative instruments: </w:t>
      </w:r>
    </w:p>
    <w:tbl>
      <w:tblPr>
        <w:tblW w:w="10205" w:type="dxa"/>
        <w:jc w:val="left"/>
        <w:tblInd w:w="0" w:type="dxa"/>
        <w:tblLayout w:type="fixed"/>
        <w:tblCellMar>
          <w:top w:w="28" w:type="dxa"/>
          <w:left w:w="28" w:type="dxa"/>
          <w:bottom w:w="28" w:type="dxa"/>
          <w:right w:w="28" w:type="dxa"/>
        </w:tblCellMar>
      </w:tblPr>
      <w:tblGrid>
        <w:gridCol w:w="1107"/>
        <w:gridCol w:w="876"/>
        <w:gridCol w:w="87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10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U.S. Dollars; notional in millions, fair value 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Liabilities</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40"/>
              <w:jc w:val="left"/>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(a)Represents the total notional amounts for certain of the Company’s supply and sales contracts accounted for as embedded derivatives.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assets/liabilities and foreign currency forward contracts are included in “Prepaid expenses and other current assets” and “Accrued liabilities” on our Consolidated Balance Sheets depending upon their position at period end. Interest rate swaps are included in “Other assets” and “Noncurrent liabilities” on the Consolidated Balance Sheets depending upon their position at period 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activities of our derivative instruments for the periods presented, and the line item they are recorded in the Consolidated Statements of Operations and Comprehensive Income: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03"/>
        <w:gridCol w:w="1532"/>
        <w:gridCol w:w="1537"/>
        <w:gridCol w:w="390"/>
        <w:gridCol w:w="273"/>
        <w:gridCol w:w="216"/>
        <w:gridCol w:w="216"/>
        <w:gridCol w:w="216"/>
        <w:gridCol w:w="216"/>
        <w:gridCol w:w="438"/>
        <w:gridCol w:w="252"/>
        <w:gridCol w:w="216"/>
        <w:gridCol w:w="109"/>
        <w:gridCol w:w="109"/>
        <w:gridCol w:w="109"/>
        <w:gridCol w:w="438"/>
        <w:gridCol w:w="242"/>
        <w:gridCol w:w="206"/>
        <w:gridCol w:w="206"/>
        <w:gridCol w:w="206"/>
        <w:gridCol w:w="206"/>
        <w:gridCol w:w="512"/>
        <w:gridCol w:w="256"/>
        <w:gridCol w:w="301"/>
      </w:tblGrid>
      <w:tr>
        <w:trPr/>
        <w:tc>
          <w:tcPr>
            <w:tcW w:w="180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Realized gain on interest rate derivatives recorded in interest expense, net</w:t>
            </w:r>
            <w:r>
              <w:rPr>
                <w:rFonts w:ascii="Times New Roman;serif" w:hAnsi="Times New Roman;serif"/>
                <w:b w:val="false"/>
                <w:color w:val="000000"/>
                <w:sz w:val="13"/>
              </w:rPr>
              <w:t>(a)</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(453)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(1,126)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embedded derivatives recorded in other income, net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1,389</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(605)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foreign currency forward contracts recorded in foreign exchange gain</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1,488</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(6,683)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Unrealized loss (gain) on foreign currency forward contracts recorded in foreign exchange gain</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685</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For the three and nine months ended September 30, 2025 and 2024, amounts represent quarterly settlement of interest rate derivatives.</w:t>
      </w:r>
    </w:p>
    <w:p>
      <w:pPr>
        <w:pStyle w:val="TextBody"/>
        <w:bidi w:val="0"/>
        <w:spacing w:lineRule="auto" w:line="288" w:before="240" w:after="283"/>
        <w:jc w:val="left"/>
        <w:rPr/>
      </w:pPr>
      <w:r>
        <w:rPr>
          <w:rFonts w:ascii="Times New Roman;serif" w:hAnsi="Times New Roman;serif"/>
          <w:b w:val="false"/>
          <w:color w:val="000000"/>
          <w:sz w:val="20"/>
        </w:rPr>
        <w:t>We expect to reclassify approximately $0.3 million of pre-tax ne</w:t>
      </w:r>
      <w:r>
        <w:rPr>
          <w:rFonts w:ascii="Times New Roman;serif" w:hAnsi="Times New Roman;serif"/>
          <w:b w:val="false"/>
          <w:color w:val="000000"/>
          <w:sz w:val="20"/>
          <w:shd w:fill="FFFFFF" w:val="clear"/>
        </w:rPr>
        <w:t xml:space="preserve">t losses </w:t>
      </w:r>
      <w:r>
        <w:rPr>
          <w:rFonts w:ascii="Times New Roman;serif" w:hAnsi="Times New Roman;serif"/>
          <w:b w:val="false"/>
          <w:color w:val="000000"/>
          <w:sz w:val="20"/>
        </w:rPr>
        <w:t>on derivative instruments from accumulated other comprehensive income (loss) to income during the next 12 months associated with our cash flow hedges. Refer to Note 11,“Other Comprehensive Income (Loss)” for unrealized gains and losses on interest rate derivatives, net of applicable tax, recorded in other comprehensive income (loss) and amounts reclassified from accumulated other comprehensive income to interest expense, net of applicable tax, during the three and nine months ended September 30, 2025</w:t>
      </w:r>
      <w:r>
        <w:rPr>
          <w:rFonts w:ascii="Times New Roman;serif" w:hAnsi="Times New Roman;serif"/>
          <w:b w:val="false"/>
          <w:color w:val="000000"/>
          <w:sz w:val="18"/>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financial assets, including cash and cash equivalents, are exposed to credit risk.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exposed, in our normal course of business, to credit risk from our customers. As of September 30, 2025 and December 31, 2024, accounts receivable was net of an allowance for uncollectible accounts of $2.1 million and $2.5 million, respectively.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discloses the fair value of our financial assets and liabilities: </w:t>
      </w:r>
    </w:p>
    <w:tbl>
      <w:tblPr>
        <w:tblW w:w="9223" w:type="dxa"/>
        <w:jc w:val="left"/>
        <w:tblInd w:w="0" w:type="dxa"/>
        <w:tblLayout w:type="fixed"/>
        <w:tblCellMar>
          <w:top w:w="28" w:type="dxa"/>
          <w:left w:w="28" w:type="dxa"/>
          <w:bottom w:w="28" w:type="dxa"/>
          <w:right w:w="28" w:type="dxa"/>
        </w:tblCellMar>
      </w:tblPr>
      <w:tblGrid>
        <w:gridCol w:w="1587"/>
        <w:gridCol w:w="1394"/>
        <w:gridCol w:w="1398"/>
        <w:gridCol w:w="493"/>
        <w:gridCol w:w="498"/>
        <w:gridCol w:w="261"/>
        <w:gridCol w:w="109"/>
        <w:gridCol w:w="109"/>
        <w:gridCol w:w="109"/>
        <w:gridCol w:w="224"/>
        <w:gridCol w:w="224"/>
        <w:gridCol w:w="226"/>
        <w:gridCol w:w="109"/>
        <w:gridCol w:w="109"/>
        <w:gridCol w:w="109"/>
        <w:gridCol w:w="493"/>
        <w:gridCol w:w="498"/>
        <w:gridCol w:w="226"/>
        <w:gridCol w:w="109"/>
        <w:gridCol w:w="109"/>
        <w:gridCol w:w="109"/>
        <w:gridCol w:w="211"/>
        <w:gridCol w:w="211"/>
        <w:gridCol w:w="298"/>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September 30, 2025</w:t>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3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designated as hedging instruments</w:t>
            </w:r>
            <w:r>
              <w:rPr>
                <w:rFonts w:ascii="Times New Roman;serif" w:hAnsi="Times New Roman;serif"/>
                <w:b w:val="false"/>
                <w:color w:val="000000"/>
                <w:sz w:val="13"/>
              </w:rPr>
              <w:t>(a)</w:t>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liability</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2,128</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2,128</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not designated as hedging instruments</w:t>
            </w:r>
            <w:r>
              <w:rPr>
                <w:rFonts w:ascii="Times New Roman;serif" w:hAnsi="Times New Roman;serif"/>
                <w:b w:val="false"/>
                <w:color w:val="000000"/>
                <w:sz w:val="13"/>
              </w:rPr>
              <w:t>(b)</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155</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2,253</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2,253</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3,208</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3,208</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Current portion of long-term debt</w:t>
            </w:r>
            <w:r>
              <w:rPr>
                <w:rFonts w:ascii="Times New Roman;serif" w:hAnsi="Times New Roman;serif"/>
                <w:b w:val="false"/>
                <w:color w:val="000000"/>
                <w:sz w:val="13"/>
              </w:rPr>
              <w:t>(c)</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13,964</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14,327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Long-Term Debt</w:t>
            </w:r>
            <w:r>
              <w:rPr>
                <w:rFonts w:ascii="Times New Roman;serif" w:hAnsi="Times New Roman;serif"/>
                <w:b w:val="false"/>
                <w:color w:val="000000"/>
                <w:sz w:val="13"/>
              </w:rPr>
              <w:t>(c)</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2031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746,726</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785,625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1,382,270</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1,414,110</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Finance Lease Obligations (with current portion)</w:t>
            </w:r>
            <w:r>
              <w:rPr>
                <w:rFonts w:ascii="Times New Roman;serif" w:hAnsi="Times New Roman;serif"/>
                <w:b w:val="false"/>
                <w:color w:val="000000"/>
                <w:sz w:val="13"/>
              </w:rPr>
              <w:t>(d)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97,853</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97,853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93" w:type="dxa"/>
        <w:jc w:val="left"/>
        <w:tblInd w:w="0" w:type="dxa"/>
        <w:tblLayout w:type="fixed"/>
        <w:tblCellMar>
          <w:top w:w="28" w:type="dxa"/>
          <w:left w:w="28" w:type="dxa"/>
          <w:bottom w:w="28" w:type="dxa"/>
          <w:right w:w="28" w:type="dxa"/>
        </w:tblCellMar>
      </w:tblPr>
      <w:tblGrid>
        <w:gridCol w:w="1583"/>
        <w:gridCol w:w="1395"/>
        <w:gridCol w:w="1401"/>
        <w:gridCol w:w="486"/>
        <w:gridCol w:w="490"/>
        <w:gridCol w:w="261"/>
        <w:gridCol w:w="109"/>
        <w:gridCol w:w="109"/>
        <w:gridCol w:w="109"/>
        <w:gridCol w:w="224"/>
        <w:gridCol w:w="224"/>
        <w:gridCol w:w="226"/>
        <w:gridCol w:w="109"/>
        <w:gridCol w:w="109"/>
        <w:gridCol w:w="109"/>
        <w:gridCol w:w="486"/>
        <w:gridCol w:w="490"/>
        <w:gridCol w:w="226"/>
        <w:gridCol w:w="109"/>
        <w:gridCol w:w="109"/>
        <w:gridCol w:w="109"/>
        <w:gridCol w:w="211"/>
        <w:gridCol w:w="211"/>
        <w:gridCol w:w="298"/>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2024</w:t>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3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designated as hedging instruments</w:t>
            </w:r>
            <w:r>
              <w:rPr>
                <w:rFonts w:ascii="Times New Roman;serif" w:hAnsi="Times New Roman;serif"/>
                <w:b w:val="false"/>
                <w:color w:val="000000"/>
                <w:sz w:val="13"/>
              </w:rPr>
              <w:t>(a)</w:t>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not designated as hedging instruments</w:t>
            </w:r>
            <w:r>
              <w:rPr>
                <w:rFonts w:ascii="Times New Roman;serif" w:hAnsi="Times New Roman;serif"/>
                <w:b w:val="false"/>
                <w:color w:val="000000"/>
                <w:sz w:val="13"/>
              </w:rPr>
              <w:t>(b)</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Current portion of long-term debt</w:t>
            </w:r>
            <w:r>
              <w:rPr>
                <w:rFonts w:ascii="Times New Roman;serif" w:hAnsi="Times New Roman;serif"/>
                <w:b w:val="false"/>
                <w:color w:val="000000"/>
                <w:sz w:val="13"/>
              </w:rPr>
              <w:t>(c)</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due 2031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Long-Term Debt</w:t>
            </w:r>
            <w:r>
              <w:rPr>
                <w:rFonts w:ascii="Times New Roman;serif" w:hAnsi="Times New Roman;serif"/>
                <w:b w:val="false"/>
                <w:color w:val="000000"/>
                <w:sz w:val="13"/>
              </w:rPr>
              <w:t>(c)</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746,293 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759,375 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due 2031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1,461,807 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1,493,314 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Finance Lease Obligations (with current portion)</w:t>
            </w:r>
            <w:r>
              <w:rPr>
                <w:rFonts w:ascii="Times New Roman;serif" w:hAnsi="Times New Roman;serif"/>
                <w:b w:val="false"/>
                <w:color w:val="000000"/>
                <w:sz w:val="13"/>
              </w:rPr>
              <w:t>(d)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98,209 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(a)Derivatives designated as hedging instruments are measured at fair value with changes in fair value recorded as a component of accumulated other comprehensive income (loss). Interest rate swaps are valued using pricing models that incorporate observable market inputs including interest rate and yield curves.</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(b)Derivatives that are not designated as hedging instruments are measured at fair value with gains or losses recognized immediately in the Consolidated Statements of Operations and Comprehensive Income. Embedded derivatives are valued using internally developed models that rely on observable market inputs, including foreign currency forward curves. Foreign currency forward contracts are valued by reference to changes in the forward foreign currency exchange rate over the life of the contract.</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(c)Carrying amounts of current portion of long-term debt and long-term debt instruments are reported net of discounts and debt issuance costs. The estimated fair values of these instruments are based upon quoted prices for the Term Loan and the Secured Notes in inactive markets as provided by an independent fixed income security pricing service.</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(d)Fair value approximates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16. Segment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the Chairman and Chief Executive Officer of Sotera Health Company (“CODM”), evaluates performance and allocates resources based on net revenues and segment income after the elimination of intercompany activities. The CODM uses these performance measures to inform decisions about the operations of the business and dedication of resources to selling and general administrative matters pertinent to the Company. The accounting policies of our reportable segments are the same as those described in Note 1, “Significant Accounting Policies” of the Company’s annual consolidated financial statements and accompanying notes in our 2024 10-K.</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Sterigenics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provides outsourced terminal sterilization and irradiation services for the medical device, pharmaceutical, food safety and advanced applications markets using three major technologies: gamma irradiation, EO processing and E-beam irradiation.</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Nordion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Nelson Labs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Nelson Labs provides outsourced microbiological and analytical chemistry testing and advisory services for the medical device and pharmaceutical industries. </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Segment Revenue Concentrations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two customers reported within the Nordion segment individually represented 10% or more of the segment’s total net revenues. These customers represented 29.5% and 10.0% of the total segment’s external net revenues for the three months ended September 30, 2025. For the three months ended September 30, 2024, three customers reported within the Nordion segment individually represented 10% or more of the segment’s total net revenues. These customers represented 27.4%, 13.8%, and 12.9% of the total segment’s external net revenues for the three months ended September 30,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two customers reported within the Nordion segment individually represented 10% or more of the segment’s total net revenues. These customers represented 32.4% and 10.7% of the total segment’s external net revenues for the nine months ended September 30, 2025. For the nine months ended September 30, 2024, two customers reported within the Nordion segment individually represented 10% or more of the segment’s total net revenues. These customers represented 30.2% and 11.7% of the total segment’s external net revenues for the nine months ended September 30,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 for each of our segments is presented in the following table:</w:t>
      </w:r>
    </w:p>
    <w:tbl>
      <w:tblPr>
        <w:tblW w:w="8198" w:type="dxa"/>
        <w:jc w:val="left"/>
        <w:tblInd w:w="0" w:type="dxa"/>
        <w:tblLayout w:type="fixed"/>
        <w:tblCellMar>
          <w:top w:w="28" w:type="dxa"/>
          <w:left w:w="28" w:type="dxa"/>
          <w:bottom w:w="28" w:type="dxa"/>
          <w:right w:w="28" w:type="dxa"/>
        </w:tblCellMar>
      </w:tblPr>
      <w:tblGrid>
        <w:gridCol w:w="962"/>
        <w:gridCol w:w="845"/>
        <w:gridCol w:w="848"/>
        <w:gridCol w:w="211"/>
        <w:gridCol w:w="841"/>
        <w:gridCol w:w="109"/>
        <w:gridCol w:w="109"/>
        <w:gridCol w:w="109"/>
        <w:gridCol w:w="109"/>
        <w:gridCol w:w="211"/>
        <w:gridCol w:w="736"/>
        <w:gridCol w:w="109"/>
        <w:gridCol w:w="109"/>
        <w:gridCol w:w="109"/>
        <w:gridCol w:w="109"/>
        <w:gridCol w:w="227"/>
        <w:gridCol w:w="795"/>
        <w:gridCol w:w="117"/>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107,155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38,048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18,987</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164,190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8183" w:type="dxa"/>
        <w:jc w:val="left"/>
        <w:tblInd w:w="0" w:type="dxa"/>
        <w:tblLayout w:type="fixed"/>
        <w:tblCellMar>
          <w:top w:w="28" w:type="dxa"/>
          <w:left w:w="28" w:type="dxa"/>
          <w:bottom w:w="28" w:type="dxa"/>
          <w:right w:w="28" w:type="dxa"/>
        </w:tblCellMar>
      </w:tblPr>
      <w:tblGrid>
        <w:gridCol w:w="962"/>
        <w:gridCol w:w="845"/>
        <w:gridCol w:w="848"/>
        <w:gridCol w:w="211"/>
        <w:gridCol w:w="826"/>
        <w:gridCol w:w="109"/>
        <w:gridCol w:w="109"/>
        <w:gridCol w:w="109"/>
        <w:gridCol w:w="109"/>
        <w:gridCol w:w="211"/>
        <w:gridCol w:w="736"/>
        <w:gridCol w:w="109"/>
        <w:gridCol w:w="109"/>
        <w:gridCol w:w="109"/>
        <w:gridCol w:w="109"/>
        <w:gridCol w:w="227"/>
        <w:gridCol w:w="795"/>
        <w:gridCol w:w="117"/>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95,989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31,733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18,639</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146,361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95" w:type="dxa"/>
        <w:jc w:val="left"/>
        <w:tblInd w:w="0" w:type="dxa"/>
        <w:tblLayout w:type="fixed"/>
        <w:tblCellMar>
          <w:top w:w="28" w:type="dxa"/>
          <w:left w:w="28" w:type="dxa"/>
          <w:bottom w:w="28" w:type="dxa"/>
          <w:right w:w="28" w:type="dxa"/>
        </w:tblCellMar>
      </w:tblPr>
      <w:tblGrid>
        <w:gridCol w:w="962"/>
        <w:gridCol w:w="845"/>
        <w:gridCol w:w="848"/>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302,904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78,947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54,913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436,764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8295" w:type="dxa"/>
        <w:jc w:val="left"/>
        <w:tblInd w:w="0" w:type="dxa"/>
        <w:tblLayout w:type="fixed"/>
        <w:tblCellMar>
          <w:top w:w="28" w:type="dxa"/>
          <w:left w:w="28" w:type="dxa"/>
          <w:bottom w:w="28" w:type="dxa"/>
          <w:right w:w="28" w:type="dxa"/>
        </w:tblCellMar>
      </w:tblPr>
      <w:tblGrid>
        <w:gridCol w:w="962"/>
        <w:gridCol w:w="845"/>
        <w:gridCol w:w="848"/>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278,585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65,938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51,117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395,640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(a)Revenues are reported net of intersegment sales. Our Nordion segment recognized $3.1 million and $15.1 million in revenues from sales to our Sterigenics segment for the three months ended September 30, 2025 and 2024, respectively, and $23.3 million and $43.0 million in revenues from sales to our Sterigenics segment for the nine months ended September 30, 2025 and 2024, respectively, that is not reflected in net revenues in the table above. Intersegment sales for Sterigenics and Nelson Labs are immaterial for both periods presented.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(b)Segment expenses are comprised of direct materials, labor, utilities, other costs of revenues, selling, general and administrative (“SG&amp;A”) expenses and other expenses (income) attributable to each segment.</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(c)Corporate expenses that are directly incurred by a segment are reflected in each segment’s income. The remaining Corporate expenses for executive management, accounting, information technology, legal, human resources, treasury, investor relations, corporate development, tax, purchasing, and marketing not directly incurred by a segment are allocated to the segments primarily based on total net revenue.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by segment for the nine months ended September 30, 2025 and 2024 were as follows:</w:t>
      </w:r>
    </w:p>
    <w:tbl>
      <w:tblPr>
        <w:tblW w:w="5185" w:type="dxa"/>
        <w:jc w:val="left"/>
        <w:tblInd w:w="0" w:type="dxa"/>
        <w:tblLayout w:type="fixed"/>
        <w:tblCellMar>
          <w:top w:w="28" w:type="dxa"/>
          <w:left w:w="28" w:type="dxa"/>
          <w:bottom w:w="28" w:type="dxa"/>
          <w:right w:w="28" w:type="dxa"/>
        </w:tblCellMar>
      </w:tblPr>
      <w:tblGrid>
        <w:gridCol w:w="848"/>
        <w:gridCol w:w="745"/>
        <w:gridCol w:w="747"/>
        <w:gridCol w:w="233"/>
        <w:gridCol w:w="815"/>
        <w:gridCol w:w="120"/>
        <w:gridCol w:w="120"/>
        <w:gridCol w:w="120"/>
        <w:gridCol w:w="120"/>
        <w:gridCol w:w="233"/>
        <w:gridCol w:w="914"/>
        <w:gridCol w:w="170"/>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64,871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83,975 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15,234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7,214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87,319</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113,200 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33" w:before="0" w:after="0"/>
        <w:jc w:val="left"/>
        <w:rPr/>
      </w:pPr>
      <w:hyperlink w:anchor="ide6a6792e74a4661b1908a6b7481c5d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and depreciation and amortization expense by segment are not readily available and are not reported separately to the CODM.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segment income to consolidated income before taxes is as follows: </w:t>
      </w:r>
    </w:p>
    <w:tbl>
      <w:tblPr>
        <w:tblW w:w="10205" w:type="dxa"/>
        <w:jc w:val="left"/>
        <w:tblInd w:w="0" w:type="dxa"/>
        <w:tblLayout w:type="fixed"/>
        <w:tblCellMar>
          <w:top w:w="28" w:type="dxa"/>
          <w:left w:w="28" w:type="dxa"/>
          <w:bottom w:w="28" w:type="dxa"/>
          <w:right w:w="28" w:type="dxa"/>
        </w:tblCellMar>
      </w:tblPr>
      <w:tblGrid>
        <w:gridCol w:w="1613"/>
        <w:gridCol w:w="1264"/>
        <w:gridCol w:w="1267"/>
        <w:gridCol w:w="230"/>
        <w:gridCol w:w="917"/>
        <w:gridCol w:w="118"/>
        <w:gridCol w:w="118"/>
        <w:gridCol w:w="118"/>
        <w:gridCol w:w="118"/>
        <w:gridCol w:w="230"/>
        <w:gridCol w:w="901"/>
        <w:gridCol w:w="118"/>
        <w:gridCol w:w="109"/>
        <w:gridCol w:w="109"/>
        <w:gridCol w:w="109"/>
        <w:gridCol w:w="224"/>
        <w:gridCol w:w="898"/>
        <w:gridCol w:w="115"/>
        <w:gridCol w:w="115"/>
        <w:gridCol w:w="115"/>
        <w:gridCol w:w="115"/>
        <w:gridCol w:w="224"/>
        <w:gridCol w:w="882"/>
        <w:gridCol w:w="178"/>
      </w:tblGrid>
      <w:tr>
        <w:trPr/>
        <w:tc>
          <w:tcPr>
            <w:tcW w:w="161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2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164,190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436,764</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395,640 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39,147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120,674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(a)</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28,290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103,972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(b)</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8,047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23,465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pPr>
            <w:r>
              <w:rPr>
                <w:rFonts w:ascii="Times New Roman;serif" w:hAnsi="Times New Roman;serif"/>
                <w:b w:val="false"/>
                <w:color w:val="000000"/>
                <w:sz w:val="20"/>
              </w:rPr>
              <w:t>Loss on refinancing of debt</w:t>
            </w:r>
            <w:r>
              <w:rPr>
                <w:rFonts w:ascii="Times New Roman;serif" w:hAnsi="Times New Roman;serif"/>
                <w:b w:val="false"/>
                <w:color w:val="000000"/>
                <w:sz w:val="13"/>
              </w:rPr>
              <w:t>(c)</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1,087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270"/>
              <w:jc w:val="left"/>
              <w:rPr/>
            </w:pPr>
            <w:r>
              <w:rPr>
                <w:rFonts w:ascii="Times New Roman;serif" w:hAnsi="Times New Roman;serif"/>
                <w:b w:val="false"/>
                <w:color w:val="000000"/>
                <w:sz w:val="20"/>
              </w:rPr>
              <w:t>Gain on foreign currency and derivatives not designated as hedging instruments, net</w:t>
            </w:r>
            <w:r>
              <w:rPr>
                <w:rFonts w:ascii="Times New Roman;serif" w:hAnsi="Times New Roman;serif"/>
                <w:b w:val="false"/>
                <w:color w:val="000000"/>
                <w:sz w:val="13"/>
              </w:rPr>
              <w:t>(d)</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(1,294)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Business optimization expenses</w:t>
            </w:r>
            <w:r>
              <w:rPr>
                <w:rFonts w:ascii="Times New Roman;serif" w:hAnsi="Times New Roman;serif"/>
                <w:b w:val="false"/>
                <w:color w:val="000000"/>
                <w:sz w:val="13"/>
              </w:rPr>
              <w:t>(e)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3,098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7,575</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Professional services relating to EO sterilization facilities</w:t>
            </w:r>
            <w:r>
              <w:rPr>
                <w:rFonts w:ascii="Times New Roman;serif" w:hAnsi="Times New Roman;serif"/>
                <w:b w:val="false"/>
                <w:color w:val="000000"/>
                <w:sz w:val="13"/>
              </w:rPr>
              <w:t>(f)</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11,152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37,515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333" w:before="0" w:after="0"/>
              <w:ind w:left="0" w:right="0" w:hanging="270"/>
              <w:jc w:val="left"/>
              <w:rPr/>
            </w:pPr>
            <w:r>
              <w:rPr>
                <w:rFonts w:ascii="Times New Roman;serif" w:hAnsi="Times New Roman;serif"/>
                <w:b w:val="false"/>
                <w:color w:val="000000"/>
                <w:sz w:val="20"/>
              </w:rPr>
              <w:t>Illinois EO litigation settlements</w:t>
            </w:r>
            <w:r>
              <w:rPr>
                <w:rFonts w:ascii="Times New Roman;serif" w:hAnsi="Times New Roman;serif"/>
                <w:b w:val="false"/>
                <w:color w:val="000000"/>
                <w:sz w:val="13"/>
              </w:rPr>
              <w:t>(g)</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64,943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Accretion of asset retirement obligation</w:t>
            </w:r>
            <w:r>
              <w:rPr>
                <w:rFonts w:ascii="Times New Roman;serif" w:hAnsi="Times New Roman;serif"/>
                <w:b w:val="false"/>
                <w:color w:val="000000"/>
                <w:sz w:val="13"/>
              </w:rPr>
              <w:t>(h)</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1,738</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 income before taxes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72,935</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42,754 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77,009</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(a)Includes depreciation of Co-60 held at gamma irradiation sites, and excludes accelerated depreciation associated with business optimization activities. </w:t>
      </w:r>
    </w:p>
    <w:p>
      <w:pPr>
        <w:pStyle w:val="TextBody"/>
        <w:bidi w:val="0"/>
        <w:spacing w:lineRule="auto" w:line="288" w:before="0" w:after="0"/>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(b)Represents share-based compensation expense related to employees and Non-Employee Directors.</w:t>
      </w:r>
    </w:p>
    <w:p>
      <w:pPr>
        <w:pStyle w:val="TextBody"/>
        <w:bidi w:val="0"/>
        <w:spacing w:lineRule="auto" w:line="288" w:before="0" w:after="0"/>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(c)Represents the write-off of unamortized debt issuance costs and discounts, as well as certain other costs incurred related to refinancing activity for the Term Loans, the Secured Notes and the Revolving Credit Facility. </w:t>
      </w:r>
    </w:p>
    <w:p>
      <w:pPr>
        <w:pStyle w:val="TextBody"/>
        <w:bidi w:val="0"/>
        <w:spacing w:lineRule="auto" w:line="288" w:before="0" w:after="0"/>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(d)Represents the effects of (i) fluctuations in foreign currency exchange rates and (ii) non-cash mark-to-fair value of embedded derivatives relating to certain customer and supply contracts at Nordion. </w:t>
      </w:r>
    </w:p>
    <w:p>
      <w:pPr>
        <w:pStyle w:val="TextBody"/>
        <w:bidi w:val="0"/>
        <w:spacing w:lineRule="auto" w:line="288" w:before="0" w:after="0"/>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pStyle w:val="TextBody"/>
        <w:bidi w:val="0"/>
        <w:spacing w:lineRule="auto" w:line="288" w:before="0" w:after="0"/>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(f)Represents litigation and other professional fees associated with our EO sterilization facilities.</w:t>
      </w:r>
    </w:p>
    <w:p>
      <w:pPr>
        <w:pStyle w:val="TextBody"/>
        <w:bidi w:val="0"/>
        <w:spacing w:lineRule="auto" w:line="288" w:before="0" w:after="0"/>
        <w:ind w:left="0" w:right="0" w:hanging="540"/>
        <w:jc w:val="left"/>
        <w:rPr/>
      </w:pPr>
      <w:r>
        <w:rPr>
          <w:rFonts w:ascii="Times New Roman;serif" w:hAnsi="Times New Roman;serif"/>
          <w:b w:val="false"/>
          <w:color w:val="000000"/>
          <w:sz w:val="20"/>
          <w:shd w:fill="FFFFFF" w:val="clear"/>
        </w:rPr>
        <w:t xml:space="preserve">(g)Represents (i) the cost to settle </w:t>
      </w:r>
      <w:r>
        <w:rPr>
          <w:rFonts w:ascii="Times New Roman;serif" w:hAnsi="Times New Roman;serif"/>
          <w:b w:val="false"/>
          <w:color w:val="000000"/>
          <w:sz w:val="20"/>
        </w:rPr>
        <w:t>97</w:t>
      </w:r>
      <w:r>
        <w:rPr>
          <w:color w:val="000000"/>
          <w:shd w:fill="FFFFFF" w:val="clear"/>
        </w:rPr>
        <w:t xml:space="preserve"> </w:t>
      </w:r>
      <w:r>
        <w:rPr>
          <w:rFonts w:ascii="Times New Roman;serif" w:hAnsi="Times New Roman;serif"/>
          <w:b w:val="false"/>
          <w:color w:val="000000"/>
          <w:sz w:val="20"/>
          <w:shd w:fill="FFFFFF" w:val="clear"/>
        </w:rPr>
        <w:t xml:space="preserve">pending and threatened EO claims against Sterigenics in Illinois pursuant to the term sheet entered into on April 3, 2025 and (ii) the cost to settle </w:t>
      </w:r>
      <w:r>
        <w:rPr>
          <w:rFonts w:ascii="Times New Roman;serif" w:hAnsi="Times New Roman;serif"/>
          <w:b w:val="false"/>
          <w:color w:val="000000"/>
          <w:sz w:val="20"/>
        </w:rPr>
        <w:t>129</w:t>
      </w:r>
      <w:r>
        <w:rPr>
          <w:color w:val="000000"/>
          <w:shd w:fill="FFFFFF" w:val="clear"/>
        </w:rPr>
        <w:t xml:space="preserve"> </w:t>
      </w:r>
      <w:r>
        <w:rPr>
          <w:rFonts w:ascii="Times New Roman;serif" w:hAnsi="Times New Roman;serif"/>
          <w:b w:val="false"/>
          <w:color w:val="000000"/>
          <w:sz w:val="20"/>
          <w:shd w:fill="FFFFFF" w:val="clear"/>
        </w:rPr>
        <w:t>pending and threatened EO claims against Sterigenics in Illinois pursuant to the term sheet entered into on July 23, 2025. See Note 14, “Commitments and Contingencies.”</w:t>
      </w:r>
    </w:p>
    <w:p>
      <w:pPr>
        <w:pStyle w:val="TextBody"/>
        <w:bidi w:val="0"/>
        <w:spacing w:lineRule="auto" w:line="288" w:before="0" w:after="0"/>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(h)Represents non-cash accretion of ARO related to Co-60 gamma and EO sterilization facilities, which are based on estimated site remediation costs for any future decommissioning of these facilities and are accreted over the life of the asset.</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2024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left"/>
        <w:rPr/>
      </w:pPr>
      <w:r>
        <w:rPr>
          <w:rFonts w:ascii="Times New Roman;serif" w:hAnsi="Times New Roman;serif"/>
          <w:b w:val="false"/>
          <w:color w:val="000000"/>
          <w:sz w:val="20"/>
        </w:rPr>
        <w:t>We are a leading global provider of mission-critical end-to-end sterilization solutions, lab testing and advisory services for the healthcare industry. We are driven by our mission: Safeguarding Global Health</w:t>
      </w:r>
      <w:r>
        <w:rPr>
          <w:rFonts w:ascii="Times New Roman;serif" w:hAnsi="Times New Roman;serif"/>
          <w:b w:val="false"/>
          <w:color w:val="000000"/>
          <w:sz w:val="10"/>
        </w:rPr>
        <w:t>®</w:t>
      </w:r>
      <w:r>
        <w:rPr>
          <w:rFonts w:ascii="Times New Roman;serif" w:hAnsi="Times New Roman;serif"/>
          <w:b w:val="false"/>
          <w:color w:val="000000"/>
          <w:sz w:val="20"/>
        </w:rPr>
        <w:t xml:space="preserve">.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processes and supply chains, helping to ensure sterilized medical products reach healthcare practitioners and patients. Most of these services are necessary for our customers to satisfy applicable government requirements.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is comprised of two reportable segments, Sterigenics and Nordion, and our lab services business constitutes a third reportable segment, Nelson Labs. </w:t>
      </w:r>
    </w:p>
    <w:p>
      <w:pPr>
        <w:pStyle w:val="TextBody"/>
        <w:bidi w:val="0"/>
        <w:spacing w:lineRule="auto" w:line="288" w:before="240" w:after="283"/>
        <w:jc w:val="left"/>
        <w:rPr/>
      </w:pPr>
      <w:r>
        <w:rPr>
          <w:rFonts w:ascii="Times New Roman;serif" w:hAnsi="Times New Roman;serif"/>
          <w:b w:val="false"/>
          <w:color w:val="000000"/>
          <w:sz w:val="20"/>
          <w:shd w:fill="FFFFFF" w:val="clear"/>
        </w:rPr>
        <w:t>For the</w:t>
      </w:r>
      <w:r>
        <w:rPr>
          <w:color w:val="000000"/>
        </w:rPr>
        <w:t xml:space="preserve"> </w:t>
      </w:r>
      <w:r>
        <w:rPr>
          <w:rFonts w:ascii="Times New Roman;serif" w:hAnsi="Times New Roman;serif"/>
          <w:b w:val="false"/>
          <w:color w:val="000000"/>
          <w:sz w:val="20"/>
        </w:rPr>
        <w:t xml:space="preserve">three and nine months ended September 30, 2025, respectively, we recorded net revenues of $311.3 million and $860.2 million, net income of $48.4 million and $43.1 million, Adjusted Net Income of $75.3 million and $170.4 million, and Adjusted EBITDA of $164.2 million and $436.8 million. Adjusted Net Income and Adjusted EBITDA are financial measures not based on any standardized methodology prescribed by GAAP. For the definition of Adjusted Net Income and Adjusted EBITDA and the reconciliation of these non-GAAP measures from net income, please see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CONSOLIDATED RESULTS OF OPERATIONS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Three Months Ended September 30, 2025 as compared to Three Months Ended September 30, 2024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our results of operations for the three months ended September 30, 2025 and 2024. </w:t>
      </w:r>
    </w:p>
    <w:tbl>
      <w:tblPr>
        <w:tblW w:w="7448"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308"/>
        <w:gridCol w:w="308"/>
        <w:gridCol w:w="508"/>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311,312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133,751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48,400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Adjusted Net Income</w:t>
            </w:r>
            <w:r>
              <w:rPr>
                <w:rFonts w:ascii="Times New Roman;serif" w:hAnsi="Times New Roman;serif"/>
                <w:b/>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Adjusted EBITDA</w:t>
            </w:r>
            <w:r>
              <w:rPr>
                <w:rFonts w:ascii="Times New Roman;serif" w:hAnsi="Times New Roman;serif"/>
                <w:b/>
                <w:color w:val="000000"/>
                <w:sz w:val="10"/>
              </w:rPr>
              <w:t>(a)</w:t>
            </w:r>
          </w:p>
        </w:tc>
        <w:tc>
          <w:tcPr>
            <w:tcW w:w="10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164,190</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146,361 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Total Net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our revenues by type for the three months ended September 30, 2025 to the three months ended September 30, 2024.</w:t>
      </w:r>
    </w:p>
    <w:tbl>
      <w:tblPr>
        <w:tblW w:w="9473" w:type="dxa"/>
        <w:jc w:val="left"/>
        <w:tblInd w:w="0" w:type="dxa"/>
        <w:tblLayout w:type="fixed"/>
        <w:tblCellMar>
          <w:top w:w="28" w:type="dxa"/>
          <w:left w:w="28" w:type="dxa"/>
          <w:bottom w:w="28" w:type="dxa"/>
          <w:right w:w="28" w:type="dxa"/>
        </w:tblCellMar>
      </w:tblPr>
      <w:tblGrid>
        <w:gridCol w:w="1495"/>
        <w:gridCol w:w="1313"/>
        <w:gridCol w:w="1317"/>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49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u w:val="single"/>
              </w:rPr>
            </w:pPr>
            <w:r>
              <w:rPr>
                <w:rFonts w:ascii="Times New Roman;serif" w:hAnsi="Times New Roman;serif"/>
                <w:b/>
                <w:color w:val="000000"/>
                <w:sz w:val="16"/>
                <w:u w:val="single"/>
              </w:rPr>
              <w:t>Net revenues for the three months ended September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255,529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55,783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311,312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pPr>
      <w:r>
        <w:rPr>
          <w:rFonts w:ascii="Times New Roman;serif" w:hAnsi="Times New Roman;serif"/>
          <w:b w:val="false"/>
          <w:color w:val="000000"/>
          <w:sz w:val="20"/>
        </w:rPr>
        <w:t>Net revenues were $311.3 million in the three months ended September 30, 2025, an increase of $25.8 million, or 9.1%, as compared with the three months ended September 30, 2024. Excluding the impact of foreign currency exchange rates, net revenues in the three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increased approximately 8.0% compared with the three months ended September 30, 2024.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Service revenues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Service revenues increased $16.7 million, or 7.0%, to $255.5 million in the three months ended September 30, 2025 as compared to $238.8 million in the three months ended September 30, 2024. The growth in net service revenues was driven by increases in volume/mix in the Sterigenics and Nordion segments and core lab testing service volume/mix in the Nelson Labs segment. In addition, favorable pricing and changes in foreign currency exchange rates contributed to the increase in net service revenues. Partially offsetting these factors was a decline in expert advisory services revenue in the Nelson Labs segment.</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Product revenues </w:t>
      </w:r>
    </w:p>
    <w:p>
      <w:pPr>
        <w:pStyle w:val="TextBody"/>
        <w:bidi w:val="0"/>
        <w:spacing w:lineRule="auto" w:line="288" w:before="120" w:after="283"/>
        <w:jc w:val="left"/>
        <w:rPr/>
      </w:pPr>
      <w:r>
        <w:rPr>
          <w:rFonts w:ascii="Times New Roman;serif" w:hAnsi="Times New Roman;serif"/>
          <w:b w:val="false"/>
          <w:color w:val="000000"/>
          <w:sz w:val="20"/>
        </w:rPr>
        <w:t>Product revenues increased $9.1 million, or 19.5%, to $55.8 million in the three months ended September 30, 2025 as compared to $46.7 million in the three months ended September 30, 2024.</w:t>
      </w:r>
      <w:r>
        <w:rPr>
          <w:color w:val="000000"/>
          <w:shd w:fill="FFFFFF" w:val="clear"/>
        </w:rPr>
        <w:t xml:space="preserve"> </w:t>
      </w:r>
      <w:r>
        <w:rPr>
          <w:rFonts w:ascii="Times New Roman;serif" w:hAnsi="Times New Roman;serif"/>
          <w:b w:val="false"/>
          <w:color w:val="000000"/>
          <w:sz w:val="20"/>
          <w:shd w:fill="FFFFFF" w:val="clear"/>
        </w:rPr>
        <w:t>The increase was driven by higher revenues from Co-60 in the Nordion segment due to the timing of reactor harvest schedules.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Total Cost of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compares our cost of revenues by type for the three months ended September 30, 2025 to the three months ended September 30, 2024. </w:t>
      </w:r>
    </w:p>
    <w:tbl>
      <w:tblPr>
        <w:tblW w:w="9638" w:type="dxa"/>
        <w:jc w:val="left"/>
        <w:tblInd w:w="0" w:type="dxa"/>
        <w:tblLayout w:type="fixed"/>
        <w:tblCellMar>
          <w:top w:w="28" w:type="dxa"/>
          <w:left w:w="28" w:type="dxa"/>
          <w:bottom w:w="28" w:type="dxa"/>
          <w:right w:w="28" w:type="dxa"/>
        </w:tblCellMar>
      </w:tblPr>
      <w:tblGrid>
        <w:gridCol w:w="1593"/>
        <w:gridCol w:w="1399"/>
        <w:gridCol w:w="1403"/>
        <w:gridCol w:w="211"/>
        <w:gridCol w:w="841"/>
        <w:gridCol w:w="109"/>
        <w:gridCol w:w="109"/>
        <w:gridCol w:w="109"/>
        <w:gridCol w:w="109"/>
        <w:gridCol w:w="211"/>
        <w:gridCol w:w="826"/>
        <w:gridCol w:w="109"/>
        <w:gridCol w:w="109"/>
        <w:gridCol w:w="109"/>
        <w:gridCol w:w="109"/>
        <w:gridCol w:w="211"/>
        <w:gridCol w:w="616"/>
        <w:gridCol w:w="109"/>
        <w:gridCol w:w="109"/>
        <w:gridCol w:w="109"/>
        <w:gridCol w:w="109"/>
        <w:gridCol w:w="255"/>
        <w:gridCol w:w="256"/>
        <w:gridCol w:w="508"/>
      </w:tblGrid>
      <w:tr>
        <w:trPr/>
        <w:tc>
          <w:tcPr>
            <w:tcW w:w="15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u w:val="single"/>
              </w:rPr>
            </w:pPr>
            <w:r>
              <w:rPr>
                <w:rFonts w:ascii="Times New Roman;serif" w:hAnsi="Times New Roman;serif"/>
                <w:b/>
                <w:color w:val="000000"/>
                <w:sz w:val="16"/>
                <w:u w:val="single"/>
              </w:rPr>
              <w:t>Cost of revenues for the three months ended September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114,337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133,751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revenues accounted for approximately 43.0% and 44.6% of our consolidated net revenues for the three months ended September 30, 2025 and 2024, respectively.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service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 revenues increased $3.3 million, or 2.9%, for the three months ended September 30, 2025 as compared to the three months ended September 30, 2024. The increase was attributable to inflation, which primarily impacted direct materials, energy and employee compensation costs. Partially offsetting these factors was a decrease in labor costs related to expert advisory services in the Nelson Labs segment.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Cost of product revenues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product revenues increased $3.1 million, or 18.6%, for the three months ended September 30, 2025 as compared to the three months ended September 30, 2024. The increase was attributable to a change in product revenue volume and mix, partially offset by a decline in amortization of intangible assets that were fully amortized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SG&amp;A Expenses</w:t>
      </w:r>
    </w:p>
    <w:p>
      <w:pPr>
        <w:pStyle w:val="TextBody"/>
        <w:bidi w:val="0"/>
        <w:spacing w:lineRule="auto" w:line="288" w:before="120" w:after="283"/>
        <w:jc w:val="left"/>
        <w:rPr/>
      </w:pPr>
      <w:r>
        <w:rPr>
          <w:rFonts w:ascii="Times New Roman;serif" w:hAnsi="Times New Roman;serif"/>
          <w:b w:val="false"/>
          <w:color w:val="000000"/>
          <w:sz w:val="20"/>
        </w:rPr>
        <w:t>SG&amp;</w:t>
      </w:r>
      <w:r>
        <w:rPr>
          <w:rFonts w:ascii="Times New Roman;serif" w:hAnsi="Times New Roman;serif"/>
          <w:b w:val="false"/>
          <w:color w:val="000000"/>
          <w:sz w:val="20"/>
          <w:shd w:fill="FFFFFF" w:val="clear"/>
        </w:rPr>
        <w:t>A expenses increased $1.3 million, or 2.1%, for the three months ended September 30, 2025 as compared to the three months ended September 30, 2024. The change was the result of an increase litigation and other professional services expense associated with EO sterilization facilities, partially offset by a decline in share-based compensation expense.</w:t>
      </w:r>
    </w:p>
    <w:p>
      <w:pPr>
        <w:pStyle w:val="TextBody"/>
        <w:bidi w:val="0"/>
        <w:spacing w:lineRule="auto" w:line="288" w:before="240" w:after="283"/>
        <w:jc w:val="left"/>
        <w:rPr/>
      </w:pPr>
      <w:r>
        <w:rPr>
          <w:color w:val="000000"/>
          <w:shd w:fill="FFFFFF" w:val="clear"/>
        </w:rPr>
        <w:t xml:space="preserve">  </w:t>
      </w:r>
      <w:r>
        <w:rPr>
          <w:rFonts w:ascii="Times New Roman;serif" w:hAnsi="Times New Roman;serif"/>
          <w:b/>
          <w:i/>
          <w:color w:val="000000"/>
          <w:sz w:val="20"/>
          <w:shd w:fill="FFFFFF" w:val="clear"/>
        </w:rPr>
        <w:t>Amortization of intangible assets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Amortization of intangible assets decreased $12.4 million, or 80.1%, to $3.1 million for the three months ended September 30, 2025 as compared to the three months ended September 30, 2024. The decline was primarily due to certain intangible assets that were fully amortized in May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Interest Expense, Net </w:t>
      </w:r>
    </w:p>
    <w:p>
      <w:pPr>
        <w:pStyle w:val="TextBody"/>
        <w:bidi w:val="0"/>
        <w:spacing w:lineRule="auto" w:line="288" w:before="120" w:after="283"/>
        <w:jc w:val="left"/>
        <w:rPr/>
      </w:pPr>
      <w:r>
        <w:rPr>
          <w:rFonts w:ascii="Times New Roman;serif" w:hAnsi="Times New Roman;serif"/>
          <w:b w:val="false"/>
          <w:color w:val="000000"/>
          <w:sz w:val="20"/>
        </w:rPr>
        <w:t>Interest expense, net decreased $2.4 million, or 5.8%, for the three months ended September 30, 2025 as compared to the three months ended September 30, 2024, primarily due to a lower interest rate on our Term Loan, partially offset by a decreased benefit from interest rate derivatives.</w:t>
      </w:r>
      <w:r>
        <w:rPr>
          <w:color w:val="000000"/>
          <w:shd w:fill="FFFFFF" w:val="clear"/>
        </w:rPr>
        <w:t xml:space="preserve"> </w:t>
      </w:r>
      <w:r>
        <w:rPr>
          <w:rFonts w:ascii="Times New Roman;serif" w:hAnsi="Times New Roman;serif"/>
          <w:b w:val="false"/>
          <w:color w:val="000000"/>
          <w:sz w:val="20"/>
          <w:shd w:fill="FFFFFF" w:val="clear"/>
        </w:rPr>
        <w:t xml:space="preserve">The weighted average interest rate on our outstanding debt was </w:t>
      </w:r>
      <w:r>
        <w:rPr>
          <w:rFonts w:ascii="Times New Roman;serif" w:hAnsi="Times New Roman;serif"/>
          <w:b w:val="false"/>
          <w:color w:val="000000"/>
          <w:sz w:val="20"/>
        </w:rPr>
        <w:t>6.91% and 7.86% as of September 30, 2025 and 2024,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Loss on Refinancing of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Loss on refinancing of debt for the three months ended September 30, 2025 was $1.1 million relating to the write-off of certain unamortized debt issuance costs and discounts on the Term Loan in connection with Amendment No. 6 to the Credit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Foreign Exchange Gain</w:t>
      </w:r>
    </w:p>
    <w:p>
      <w:pPr>
        <w:pStyle w:val="TextBody"/>
        <w:bidi w:val="0"/>
        <w:spacing w:lineRule="auto" w:line="288" w:before="120" w:after="283"/>
        <w:jc w:val="left"/>
        <w:rPr/>
      </w:pPr>
      <w:r>
        <w:rPr>
          <w:rFonts w:ascii="Times New Roman;serif" w:hAnsi="Times New Roman;serif"/>
          <w:b w:val="false"/>
          <w:color w:val="000000"/>
          <w:sz w:val="20"/>
        </w:rPr>
        <w:t>Foreign exchange gain was $1.5 million for the three months ended September 30, 2025 as compared to $1.1 million in the three months ended September 30, 2024. The change in foreign exchange gain in our Consolidated Statements of Operations and Comprehensive Income</w:t>
      </w:r>
      <w:r>
        <w:rPr>
          <w:color w:val="000000"/>
          <w:shd w:fill="FFFFFF" w:val="clear"/>
        </w:rPr>
        <w:t xml:space="preserve"> </w:t>
      </w:r>
      <w:r>
        <w:rPr>
          <w:rFonts w:ascii="Times New Roman;serif" w:hAnsi="Times New Roman;serif"/>
          <w:b w:val="false"/>
          <w:color w:val="000000"/>
          <w:sz w:val="20"/>
          <w:shd w:fill="FFFFFF" w:val="clear"/>
        </w:rPr>
        <w:t>mainly relates to short-term gains and losses on transactions denominated in currencies other than the functional currency of our operating entities. As describ</w:t>
      </w:r>
      <w:r>
        <w:rPr>
          <w:rFonts w:ascii="Times New Roman;serif" w:hAnsi="Times New Roman;serif"/>
          <w:b w:val="false"/>
          <w:color w:val="000000"/>
          <w:sz w:val="20"/>
        </w:rPr>
        <w:t xml:space="preserve">ed in Note 15, “Financial Instruments and Financial Risk” to our consolidated financial statements, we enter into monthly U.S. dollar-denominated foreign currency forward contracts to manage foreign currency exchange rate risk related to our international subsidiaries.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Income, Net </w:t>
      </w:r>
    </w:p>
    <w:p>
      <w:pPr>
        <w:pStyle w:val="TextBody"/>
        <w:bidi w:val="0"/>
        <w:spacing w:lineRule="auto" w:line="288" w:before="120" w:after="283"/>
        <w:jc w:val="left"/>
        <w:rPr/>
      </w:pPr>
      <w:r>
        <w:rPr>
          <w:rFonts w:ascii="Times New Roman;serif" w:hAnsi="Times New Roman;serif"/>
          <w:b w:val="false"/>
          <w:color w:val="000000"/>
          <w:sz w:val="20"/>
        </w:rPr>
        <w:t xml:space="preserve">Other income, net decreased $2.4 million, or 83.6%, for the three months ended September 30, 2025 as compared to the three months ended September 30, 2024. </w:t>
      </w:r>
      <w:r>
        <w:rPr>
          <w:rFonts w:ascii="Times New Roman;serif" w:hAnsi="Times New Roman;serif"/>
          <w:b w:val="false"/>
          <w:color w:val="000000"/>
          <w:sz w:val="20"/>
          <w:shd w:fill="FFFFFF" w:val="clear"/>
        </w:rPr>
        <w:t xml:space="preserve">The fluctuation was mainly driven by unfavorable changes in the fair value of embedded derivatives in </w:t>
      </w:r>
      <w:r>
        <w:rPr>
          <w:rFonts w:ascii="Times New Roman;serif" w:hAnsi="Times New Roman;serif"/>
          <w:b w:val="false"/>
          <w:color w:val="000000"/>
          <w:sz w:val="20"/>
        </w:rPr>
        <w:t>certain of Nordion’s customer and supply contracts</w:t>
      </w:r>
      <w:r>
        <w:rPr>
          <w:rFonts w:ascii="Times New Roman;serif" w:hAnsi="Times New Roman;serif"/>
          <w:b w:val="false"/>
          <w:color w:val="000000"/>
          <w:sz w:val="20"/>
          <w:shd w:fill="FFFFFF" w:val="clear"/>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jc w:val="left"/>
        <w:rPr/>
      </w:pPr>
      <w:r>
        <w:rPr>
          <w:rFonts w:ascii="Times New Roman;serif" w:hAnsi="Times New Roman;serif"/>
          <w:b w:val="false"/>
          <w:color w:val="000000"/>
          <w:sz w:val="20"/>
          <w:shd w:fill="FFFFFF" w:val="clear"/>
        </w:rPr>
        <w:t>Provision for income tax decreased $1.2 million to a net provision of $24.5 million for the three months ended September 30, 2025 as compared to $25.8 million in the three months ended September 30, 2024. The change was attributable to r</w:t>
      </w:r>
      <w:r>
        <w:rPr>
          <w:rFonts w:ascii="Times New Roman;serif" w:hAnsi="Times New Roman;serif"/>
          <w:b w:val="false"/>
          <w:color w:val="000000"/>
          <w:sz w:val="20"/>
        </w:rPr>
        <w:t xml:space="preserve">ecognition of the cumulative tax effects of the change in U.S. income tax laws under the OBBBA in the period of enactment associated with the accounting for the valuation allowance attributable to the limitation on the deductibility of interest expense. This was offset by </w:t>
      </w:r>
      <w:r>
        <w:rPr>
          <w:rFonts w:ascii="Times New Roman;serif" w:hAnsi="Times New Roman;serif"/>
          <w:b w:val="false"/>
          <w:color w:val="000000"/>
          <w:sz w:val="20"/>
          <w:shd w:fill="FFFFFF" w:val="clear"/>
        </w:rPr>
        <w:t xml:space="preserve">higher pre-tax income, </w:t>
      </w:r>
      <w:r>
        <w:rPr>
          <w:rFonts w:ascii="Times New Roman;serif" w:hAnsi="Times New Roman;serif"/>
          <w:b w:val="false"/>
          <w:color w:val="000000"/>
          <w:sz w:val="20"/>
        </w:rPr>
        <w:t>the tax effects for a change in our indefinite reinvestment assertion with respect to a portion of our foreign earnings,</w:t>
      </w:r>
      <w:r>
        <w:rPr>
          <w:color w:val="000000"/>
          <w:shd w:fill="FFFFFF" w:val="clear"/>
        </w:rPr>
        <w:t xml:space="preserve"> </w:t>
      </w:r>
      <w:r>
        <w:rPr>
          <w:rFonts w:ascii="Times New Roman;serif" w:hAnsi="Times New Roman;serif"/>
          <w:b w:val="false"/>
          <w:color w:val="000000"/>
          <w:sz w:val="20"/>
          <w:shd w:fill="FFFFFF" w:val="clear"/>
        </w:rPr>
        <w:t>and an increase in current year permanent tax differences.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Provision for income taxes for the three months ended September 30, 2025 </w:t>
      </w:r>
      <w:r>
        <w:rPr>
          <w:rFonts w:ascii="Times New Roman;serif" w:hAnsi="Times New Roman;serif"/>
          <w:b w:val="false"/>
          <w:color w:val="000000"/>
          <w:sz w:val="20"/>
        </w:rPr>
        <w:t>differed from the statutory rate due to recognition of the cumulative tax effects of the change in U.S. income tax laws under the OBBBA in the period of enactment associated with the accounting for the valuation allowance attributable to the limitation on the deductibility of interest expense. This was offset by the tax effects for a change in our indefinite reinvestment assertion with respect to a portion of our foreign earnings,</w:t>
      </w:r>
      <w:r>
        <w:rPr>
          <w:color w:val="000000"/>
          <w:shd w:fill="FFFFFF" w:val="clear"/>
        </w:rPr>
        <w:t xml:space="preserve"> </w:t>
      </w:r>
      <w:r>
        <w:rPr>
          <w:rFonts w:ascii="Times New Roman;serif" w:hAnsi="Times New Roman;serif"/>
          <w:b w:val="false"/>
          <w:color w:val="000000"/>
          <w:sz w:val="20"/>
          <w:shd w:fill="FFFFFF" w:val="clear"/>
        </w:rPr>
        <w:t>the impact of the foreign rate differential and an increase in current year permanent tax differences. Provision for income taxes for the three months ended September 30, 2024 d</w:t>
      </w:r>
      <w:r>
        <w:rPr>
          <w:rFonts w:ascii="Times New Roman;serif" w:hAnsi="Times New Roman;serif"/>
          <w:b w:val="false"/>
          <w:color w:val="000000"/>
          <w:sz w:val="20"/>
        </w:rPr>
        <w:t>iffered from the statutory rate primarily due to a net increase in the valuation allowance attributable to the limitation on the deductibility of interest expense, the foreign rate differential, and GILTI, partially offset by a benefit for state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Income, Adjusted Net Income and Adjusted EBITDA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income for the three months ended September 30, 2025 was $48.4 million, as compared to net income of $17.0 million for the three months ended September 30, 2024 due to the factors described above. Adjusted Net Income was $75.3 million for the three months ended September 30, 2025, as compared to $48.9 million for the three months ended September 30, 2024. Adjusted EBITDA was $164.2 million for the three months ended September 30, 2025, as compared to $146.4 million for the three months ended September 30, 2024. Please see “Non-GAAP Financial Measures” below for a reconciliation of Adjusted Net Income and Adjusted EBITDA to their most directly comparable financial measure calculated and presented in accordance with GAAP.</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Nine Months Ended September 30, 2025 as compared to Nine Months Ended September 30, 2024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our results of operations for the nine months ended September 30, 2025 and 2024. </w:t>
      </w:r>
    </w:p>
    <w:tbl>
      <w:tblPr>
        <w:tblW w:w="7343"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860,176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380,562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Adjusted Net Income</w:t>
            </w:r>
            <w:r>
              <w:rPr>
                <w:rFonts w:ascii="Times New Roman;serif" w:hAnsi="Times New Roman;serif"/>
                <w:b/>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170,376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Adjusted EBITDA</w:t>
            </w:r>
            <w:r>
              <w:rPr>
                <w:rFonts w:ascii="Times New Roman;serif" w:hAnsi="Times New Roman;serif"/>
                <w:b/>
                <w:color w:val="000000"/>
                <w:sz w:val="10"/>
              </w:rPr>
              <w:t>(a)</w:t>
            </w:r>
          </w:p>
        </w:tc>
        <w:tc>
          <w:tcPr>
            <w:tcW w:w="10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436,764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395,640 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Total Net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our revenues by type for the nine months ended September 30, 2025 to the nine months ended September 30, 2024.</w:t>
      </w:r>
    </w:p>
    <w:tbl>
      <w:tblPr>
        <w:tblW w:w="9398" w:type="dxa"/>
        <w:jc w:val="left"/>
        <w:tblInd w:w="0" w:type="dxa"/>
        <w:tblLayout w:type="fixed"/>
        <w:tblCellMar>
          <w:top w:w="28" w:type="dxa"/>
          <w:left w:w="28" w:type="dxa"/>
          <w:bottom w:w="28" w:type="dxa"/>
          <w:right w:w="28" w:type="dxa"/>
        </w:tblCellMar>
      </w:tblPr>
      <w:tblGrid>
        <w:gridCol w:w="1468"/>
        <w:gridCol w:w="1289"/>
        <w:gridCol w:w="1293"/>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46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u w:val="single"/>
              </w:rPr>
            </w:pPr>
            <w:r>
              <w:rPr>
                <w:rFonts w:ascii="Times New Roman;serif" w:hAnsi="Times New Roman;serif"/>
                <w:b/>
                <w:color w:val="000000"/>
                <w:sz w:val="16"/>
                <w:u w:val="single"/>
              </w:rPr>
              <w:t>Net revenues for the nine months ended September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736,713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123,463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860,176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revenues were $860.2 million in the nine months ended September 30, 2025, an increase of $49.9 million, or 6.2%, as compared with the nine months ended September 30, 2024. Changes in foreign currency exchange rates had no material impact on consolidated net revenues in the nine months ended September 30, 2025 compared with the nine months ended September 30, 2024.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Service revenues</w:t>
      </w:r>
    </w:p>
    <w:p>
      <w:pPr>
        <w:pStyle w:val="TextBody"/>
        <w:bidi w:val="0"/>
        <w:spacing w:lineRule="auto" w:line="288" w:before="120" w:after="283"/>
        <w:jc w:val="left"/>
        <w:rPr/>
      </w:pPr>
      <w:r>
        <w:rPr>
          <w:rFonts w:ascii="Times New Roman;serif" w:hAnsi="Times New Roman;serif"/>
          <w:b w:val="false"/>
          <w:color w:val="000000"/>
          <w:sz w:val="20"/>
        </w:rPr>
        <w:t>Service revenues increased $33.7 million</w:t>
      </w:r>
      <w:r>
        <w:rPr>
          <w:rFonts w:ascii="Times New Roman;serif" w:hAnsi="Times New Roman;serif"/>
          <w:b w:val="false"/>
          <w:color w:val="000000"/>
          <w:sz w:val="20"/>
          <w:shd w:fill="FFFFFF" w:val="clear"/>
        </w:rPr>
        <w:t>, or 4.8%, to $736.7 million in the nine months ended September 30, 2025 as compared to $703.0 million in the nine months ended September 30, 2024. The growth in net service revenues was primarily driven by favorable pricing in the Sterigenics and Nelson Labs segments, favorable volume/mix in the Sterigenics and Nordion segments and improvements in volume/mix related to core lab testing services in the Nelson Labs segment. Further contributing to these growth factors was a favorable impact from foreign currency exchange rates. Partially offsetting these factors was a decline in expert advisory services revenue in the Nelson Labs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Product revenues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Product revenues increased $16.3 million, or 15.2%, to $123.5 million in the nine months ended September 30, 2025 as compared to $107.2 million in the nine months ended September 30, 2024. The increase was driven by favorable volume/mix and pricing in the Nordion segment, partially offset by an unfavorable impact from changes in foreign currency exchange rates.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compares our cost of revenues by type for the nine months ended September 30, 2025 to the nine months ended September 30, 2024. </w:t>
      </w:r>
    </w:p>
    <w:tbl>
      <w:tblPr>
        <w:tblW w:w="9457" w:type="dxa"/>
        <w:jc w:val="left"/>
        <w:tblInd w:w="0" w:type="dxa"/>
        <w:tblLayout w:type="fixed"/>
        <w:tblCellMar>
          <w:top w:w="28" w:type="dxa"/>
          <w:left w:w="28" w:type="dxa"/>
          <w:bottom w:w="28" w:type="dxa"/>
          <w:right w:w="28" w:type="dxa"/>
        </w:tblCellMar>
      </w:tblPr>
      <w:tblGrid>
        <w:gridCol w:w="1565"/>
        <w:gridCol w:w="1375"/>
        <w:gridCol w:w="1379"/>
        <w:gridCol w:w="211"/>
        <w:gridCol w:w="841"/>
        <w:gridCol w:w="109"/>
        <w:gridCol w:w="109"/>
        <w:gridCol w:w="109"/>
        <w:gridCol w:w="109"/>
        <w:gridCol w:w="211"/>
        <w:gridCol w:w="826"/>
        <w:gridCol w:w="109"/>
        <w:gridCol w:w="109"/>
        <w:gridCol w:w="109"/>
        <w:gridCol w:w="109"/>
        <w:gridCol w:w="211"/>
        <w:gridCol w:w="616"/>
        <w:gridCol w:w="109"/>
        <w:gridCol w:w="109"/>
        <w:gridCol w:w="109"/>
        <w:gridCol w:w="109"/>
        <w:gridCol w:w="203"/>
        <w:gridCol w:w="203"/>
        <w:gridCol w:w="508"/>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u w:val="single"/>
              </w:rPr>
            </w:pPr>
            <w:r>
              <w:rPr>
                <w:rFonts w:ascii="Times New Roman;serif" w:hAnsi="Times New Roman;serif"/>
                <w:b/>
                <w:color w:val="000000"/>
                <w:sz w:val="16"/>
                <w:u w:val="single"/>
              </w:rPr>
              <w:t>Cost of revenues for the nine months ended September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335,259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380,562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revenues accounted for approximately 44.2% and 46.0% of our consolidated net revenues for the nine months ended September 30, 2025 and 2024, respectively.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service revenues </w:t>
      </w:r>
    </w:p>
    <w:p>
      <w:pPr>
        <w:pStyle w:val="TextBody"/>
        <w:bidi w:val="0"/>
        <w:spacing w:lineRule="auto" w:line="288" w:before="120" w:after="283"/>
        <w:jc w:val="left"/>
        <w:rPr/>
      </w:pPr>
      <w:r>
        <w:rPr>
          <w:rFonts w:ascii="Times New Roman;serif" w:hAnsi="Times New Roman;serif"/>
          <w:b w:val="false"/>
          <w:color w:val="000000"/>
          <w:sz w:val="20"/>
        </w:rPr>
        <w:t>Cost of service revenues increased $4.2 million, or 1.3%, for the nine months ended September 30, 2025 as compared to the nine months ended September 30, 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was attributable to inflation, which primarily impacted energy, direct materials, and professional services costs. Partially offsetting these factors was a decrease in labor costs related to expert advisory services in the Nelson Labs segment.</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Cost of product revenues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product revenues increased $4.1 million, or 9.9%, for the nine months ended September 30, 2025 as compared to the nine months ended September 30, 2024. The increase was attributable to a change in product revenue volume and mix, partially offset by a decline in amortization of intangible assets that were fully amortized as of December 31,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SG&amp;A expenses</w:t>
      </w:r>
    </w:p>
    <w:p>
      <w:pPr>
        <w:pStyle w:val="TextBody"/>
        <w:bidi w:val="0"/>
        <w:spacing w:lineRule="auto" w:line="288" w:before="120" w:after="283"/>
        <w:jc w:val="left"/>
        <w:rPr/>
      </w:pPr>
      <w:r>
        <w:rPr>
          <w:rFonts w:ascii="Times New Roman;serif" w:hAnsi="Times New Roman;serif"/>
          <w:b w:val="false"/>
          <w:color w:val="000000"/>
          <w:sz w:val="20"/>
        </w:rPr>
        <w:t>SG&amp;A expenses increased $14.5 million, or 8.0%, for the nine months ended September 30, 2025 as compared to the nine months ended September 30, 2024. A $15.2 million</w:t>
      </w:r>
      <w:r>
        <w:rPr>
          <w:color w:val="000000"/>
          <w:shd w:fill="FFFFFF" w:val="clear"/>
        </w:rPr>
        <w:t xml:space="preserve"> </w:t>
      </w:r>
      <w:r>
        <w:rPr>
          <w:rFonts w:ascii="Times New Roman;serif" w:hAnsi="Times New Roman;serif"/>
          <w:b w:val="false"/>
          <w:color w:val="000000"/>
          <w:sz w:val="20"/>
          <w:shd w:fill="FFFFFF" w:val="clear"/>
        </w:rPr>
        <w:t>increase in litigation and other professional services expense associated with EO sterilization facilities was the main driver of the increase in SG&amp;A expenses, partially offset by a decline in share-based compensation expense.</w:t>
      </w:r>
      <w:r>
        <w:rPr>
          <w:color w:val="000000"/>
        </w:rPr>
        <w:t xml:space="preserve"> </w:t>
      </w:r>
    </w:p>
    <w:p>
      <w:pPr>
        <w:pStyle w:val="TextBody"/>
        <w:bidi w:val="0"/>
        <w:spacing w:lineRule="auto" w:line="288" w:before="240" w:after="283"/>
        <w:jc w:val="left"/>
        <w:rPr/>
      </w:pPr>
      <w:r>
        <w:rPr>
          <w:color w:val="000000"/>
          <w:shd w:fill="FFFFFF" w:val="clear"/>
        </w:rPr>
        <w:t xml:space="preserve">  </w:t>
      </w:r>
      <w:r>
        <w:rPr>
          <w:rFonts w:ascii="Times New Roman;serif" w:hAnsi="Times New Roman;serif"/>
          <w:b/>
          <w:i/>
          <w:color w:val="000000"/>
          <w:sz w:val="20"/>
          <w:shd w:fill="FFFFFF" w:val="clear"/>
        </w:rPr>
        <w:t>Amortization of intangible assets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Amortization of intangible assets decreased $18.9 million, or 40.6%, to $27.7 million for the nine months ended September 30, 2025 as compared to the nine months ended September 30, 2024. The decline was primarily due to certain intangible assets that were fully amortized in May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Illinois EO litigation settlements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23, 2025, the Company agreed to resolve 129 pending and threatened EO claims in the State of Illinois. Pursuant to the terms of the July Term Sheet, which is subject to the satisfaction of several conditions, the Company agreed to pay $34.0 million to settle the claims.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3, 2025, the Company agreed to resolve 97 pending and threatened EO claims in the State of Illinois. Pursuant to the terms of the April Term Sheet, which have been satisfied, the Company paid $30.9 million in September 2025 to settle the claims.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Interest Expense, Net </w:t>
      </w:r>
    </w:p>
    <w:p>
      <w:pPr>
        <w:pStyle w:val="TextBody"/>
        <w:bidi w:val="0"/>
        <w:spacing w:lineRule="auto" w:line="288" w:before="120" w:after="283"/>
        <w:jc w:val="left"/>
        <w:rPr/>
      </w:pPr>
      <w:r>
        <w:rPr>
          <w:rFonts w:ascii="Times New Roman;serif" w:hAnsi="Times New Roman;serif"/>
          <w:b w:val="false"/>
          <w:color w:val="000000"/>
          <w:sz w:val="20"/>
          <w:shd w:fill="FFFFFF" w:val="clear"/>
        </w:rPr>
        <w:t>Interest expense, net decreased $3.1 million, or 2.5%, for the nine months ended September 30, 2025 as compared to the nine months ended September 30, 2024</w:t>
      </w:r>
      <w:r>
        <w:rPr>
          <w:rFonts w:ascii="Times New Roman;serif" w:hAnsi="Times New Roman;serif"/>
          <w:b w:val="false"/>
          <w:color w:val="000000"/>
          <w:sz w:val="20"/>
        </w:rPr>
        <w:t>, primarily due to a lower interest rate on our Term Loan and a decrease in the amortization of debt issuance costs, partially offset by a lower benefit from interest rate derivatives.</w:t>
      </w:r>
      <w:r>
        <w:rPr>
          <w:color w:val="000000"/>
          <w:shd w:fill="FFFFFF" w:val="clear"/>
        </w:rPr>
        <w:t xml:space="preserve"> </w:t>
      </w:r>
      <w:r>
        <w:rPr>
          <w:rFonts w:ascii="Times New Roman;serif" w:hAnsi="Times New Roman;serif"/>
          <w:b w:val="false"/>
          <w:color w:val="000000"/>
          <w:sz w:val="20"/>
          <w:shd w:fill="FFFFFF" w:val="clear"/>
        </w:rPr>
        <w:t xml:space="preserve">The weighted average interest rate on our outstanding debt was </w:t>
      </w:r>
      <w:r>
        <w:rPr>
          <w:rFonts w:ascii="Times New Roman;serif" w:hAnsi="Times New Roman;serif"/>
          <w:b w:val="false"/>
          <w:color w:val="000000"/>
          <w:sz w:val="20"/>
        </w:rPr>
        <w:t>6.91% and 7.86% as of September 30, 2025 and 2024, respectively.</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Loss on Refinancing of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Loss on refinancing of debt for the nine months ended September 30, 2025 was $1.2 million relating to the write-off of certain unamortized debt issuance costs and discounts on the Term Loans in connection with Amendment No. 6 to the Credit Agreement. Loss on refinancing of debt for the nine months ended September 30, 2024 was $24.1 million and occurred in connection with the refinancing of our capital structure in May 2024. This refinancing activity resulted in the write off of certain unamortized debt issuance costs and discounts on the Term Loans due 2026 and the expensing of certain new debt issuance costs and discounts upon the issuance of the Refinancing Term Loans and Secured Notes.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Exchange Gain</w:t>
      </w:r>
    </w:p>
    <w:p>
      <w:pPr>
        <w:pStyle w:val="TextBody"/>
        <w:bidi w:val="0"/>
        <w:spacing w:lineRule="auto" w:line="288" w:before="120" w:after="283"/>
        <w:jc w:val="left"/>
        <w:rPr/>
      </w:pPr>
      <w:r>
        <w:rPr>
          <w:rFonts w:ascii="Times New Roman;serif" w:hAnsi="Times New Roman;serif"/>
          <w:b w:val="false"/>
          <w:color w:val="000000"/>
          <w:sz w:val="20"/>
        </w:rPr>
        <w:t xml:space="preserve">Foreign exchange gain was $0.6 million for the nine months ended September 30, 2025 as compared to $2.2 million in the nine months ended September 30, 2024. The change in foreign exchange gain in our Consolidated Statements of Operations and Comprehensive Income mainly </w:t>
      </w:r>
      <w:r>
        <w:rPr>
          <w:rFonts w:ascii="Times New Roman;serif" w:hAnsi="Times New Roman;serif"/>
          <w:b w:val="false"/>
          <w:color w:val="000000"/>
          <w:sz w:val="20"/>
          <w:shd w:fill="FFFFFF" w:val="clear"/>
        </w:rPr>
        <w:t xml:space="preserve">relates to short-term losses and gains on transactions denominated in currencies other than the functional currency of our operating entities. </w:t>
      </w:r>
      <w:r>
        <w:rPr>
          <w:rFonts w:ascii="Times New Roman;serif" w:hAnsi="Times New Roman;serif"/>
          <w:b w:val="false"/>
          <w:color w:val="000000"/>
          <w:sz w:val="20"/>
        </w:rPr>
        <w:t xml:space="preserve">As described in Note 15, “Financial Instruments and Financial Risk” to our consolidated financial statements, we enter into monthly U.S. dollar-denominated foreign currency forward contracts to manage foreign currency exchange rate risk related to our international subsidiaries.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Income, Net </w:t>
      </w:r>
    </w:p>
    <w:p>
      <w:pPr>
        <w:pStyle w:val="TextBody"/>
        <w:bidi w:val="0"/>
        <w:spacing w:lineRule="auto" w:line="288" w:before="120" w:after="283"/>
        <w:jc w:val="left"/>
        <w:rPr/>
      </w:pPr>
      <w:r>
        <w:rPr>
          <w:rFonts w:ascii="Times New Roman;serif" w:hAnsi="Times New Roman;serif"/>
          <w:b w:val="false"/>
          <w:color w:val="000000"/>
          <w:sz w:val="20"/>
        </w:rPr>
        <w:t>Other income, net increased $2.4 million, or 59.9%</w:t>
      </w:r>
      <w:r>
        <w:rPr>
          <w:rFonts w:ascii="Times New Roman;serif" w:hAnsi="Times New Roman;serif"/>
          <w:b w:val="false"/>
          <w:color w:val="000000"/>
          <w:sz w:val="20"/>
          <w:shd w:fill="FFFFFF" w:val="clear"/>
        </w:rPr>
        <w:t xml:space="preserve">, for the nine months ended September 30, 2025 compared to the nine months ended September 30, 2024. The primary driver of this increase was a favorable change in the fair value of embedded derivatives in </w:t>
      </w:r>
      <w:r>
        <w:rPr>
          <w:rFonts w:ascii="Times New Roman;serif" w:hAnsi="Times New Roman;serif"/>
          <w:b w:val="false"/>
          <w:color w:val="000000"/>
          <w:sz w:val="20"/>
        </w:rPr>
        <w:t>certain of Nordion’s customer and supply contracts</w:t>
      </w:r>
      <w:r>
        <w:rPr>
          <w:rFonts w:ascii="Times New Roman;serif" w:hAnsi="Times New Roman;serif"/>
          <w:b w:val="false"/>
          <w:color w:val="000000"/>
          <w:sz w:val="20"/>
          <w:shd w:fill="FFFFFF" w:val="clear"/>
        </w:rPr>
        <w:t>.</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Provision for Income Taxes</w:t>
      </w:r>
    </w:p>
    <w:p>
      <w:pPr>
        <w:pStyle w:val="TextBody"/>
        <w:bidi w:val="0"/>
        <w:spacing w:lineRule="auto" w:line="288" w:before="120" w:after="283"/>
        <w:jc w:val="left"/>
        <w:rPr/>
      </w:pPr>
      <w:r>
        <w:rPr>
          <w:rFonts w:ascii="Times New Roman;serif" w:hAnsi="Times New Roman;serif"/>
          <w:b w:val="false"/>
          <w:color w:val="000000"/>
          <w:sz w:val="20"/>
          <w:shd w:fill="FFFFFF" w:val="clear"/>
        </w:rPr>
        <w:t>Provision for income tax decreased $2.9 million to a net provision of $33.9 million for the nine months ended September 30, 2025 as compared to $36.8 million for the nine months ended September 30, 2024. The change was attributable to r</w:t>
      </w:r>
      <w:r>
        <w:rPr>
          <w:rFonts w:ascii="Times New Roman;serif" w:hAnsi="Times New Roman;serif"/>
          <w:b w:val="false"/>
          <w:color w:val="000000"/>
          <w:sz w:val="20"/>
        </w:rPr>
        <w:t xml:space="preserve">ecognition of the cumulative tax effects of the change in U.S. income tax laws under the OBBBA in the period of enactment associated with the accounting for the valuation allowance attributable to the limitation on the deductibility of interest expense. This was offset by </w:t>
      </w:r>
      <w:r>
        <w:rPr>
          <w:rFonts w:ascii="Times New Roman;serif" w:hAnsi="Times New Roman;serif"/>
          <w:b w:val="false"/>
          <w:color w:val="000000"/>
          <w:sz w:val="20"/>
          <w:shd w:fill="FFFFFF" w:val="clear"/>
        </w:rPr>
        <w:t xml:space="preserve">higher pre-tax income, </w:t>
      </w:r>
      <w:r>
        <w:rPr>
          <w:rFonts w:ascii="Times New Roman;serif" w:hAnsi="Times New Roman;serif"/>
          <w:b w:val="false"/>
          <w:color w:val="000000"/>
          <w:sz w:val="20"/>
        </w:rPr>
        <w:t>the tax effects for a change in our indefinite reinvestment assertion with respect to a portion of our foreign earnings</w:t>
      </w:r>
      <w:r>
        <w:rPr>
          <w:color w:val="000000"/>
          <w:shd w:fill="FFFFFF" w:val="clear"/>
        </w:rPr>
        <w:t xml:space="preserve"> </w:t>
      </w:r>
      <w:r>
        <w:rPr>
          <w:rFonts w:ascii="Times New Roman;serif" w:hAnsi="Times New Roman;serif"/>
          <w:b w:val="false"/>
          <w:color w:val="000000"/>
          <w:sz w:val="20"/>
          <w:shd w:fill="FFFFFF" w:val="clear"/>
        </w:rPr>
        <w:t>and an increase in current year permanent tax differences.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Provision for income taxes for the nine months ended September 30, 2025 </w:t>
      </w:r>
      <w:r>
        <w:rPr>
          <w:rFonts w:ascii="Times New Roman;serif" w:hAnsi="Times New Roman;serif"/>
          <w:b w:val="false"/>
          <w:color w:val="000000"/>
          <w:sz w:val="20"/>
        </w:rPr>
        <w:t xml:space="preserve">differed from the statutory rate due to recognition of the cumulative tax effects of the change in U.S. income tax laws under the OBBBA in the period of enactment associated with the accounting for the valuation allowance attributable to the limitation on the deductibility of interest expense. This was offset by the tax effects for a change in our indefinite reinvestment assertion with respect to a portion of our foreign earnings, </w:t>
      </w:r>
      <w:r>
        <w:rPr>
          <w:rFonts w:ascii="Times New Roman;serif" w:hAnsi="Times New Roman;serif"/>
          <w:b w:val="false"/>
          <w:color w:val="000000"/>
          <w:sz w:val="20"/>
          <w:shd w:fill="FFFFFF" w:val="clear"/>
        </w:rPr>
        <w:t>the impact of the foreign rate differential and an increase in current year permanent tax differences. Provision for income taxes for the nine months ended September 30, 2024 differed from the statutory rate primarily due to a net increase in the valuation allowance attributable to the limitation on the deductibility of interest expense, the foreign rate differential and GILTI, partially offset by a benefit for state income taxes.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Income, Adjusted Net Income and Adjusted EBITDA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for the nine months ended September 30, 2025 was $43.1 million, as compared to net income of $32.1 million for the nine months ended September 30, 2024 due to the factors described above. Adjusted Net Income was $170.4 million for the nine months ended September 30, 2025, as compared to $139.8 million for the nine months ended September 30, 2024. Adjusted EBITDA was $436.8 million for the nine months ended September 30, 2025, as compared to $395.6 million for the nine months ended September 30, 2024. Please see “Non-GAAP Financial Measures” below for a reconciliation of Adjusted Net Income and Adjusted EBITDA to their most directly comparable financial measure calculated and presented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three reportable segments: Sterigenics, Nordion and Nelson Labs. Our CODM evaluates performance and allocates resources within our business based on Segment Income, which excludes certain items which are included in income before tax as determined in our Consolidated Statements of Operations and Comprehensive Income. The accounting policies for our reportable segments are the same as those for the consolidated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Our Segments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Sterigenics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Sterigenics provides outsourced terminal sterilization and irradiation services for the medical device, pharmaceutical, food safety and advanced applications markets using three major technologies: gamma irradiation, EO processing and E-beam irradiation.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Nordion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Results for our Nordion segment are also impacted by Co-60 mix and harvest schedules, as well as customer, product and service mix.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Nelson Labs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Nelson Labs provides outsourced microbiological and analytical chemistry testing and advisory services for the medical device and pharmaceutical industries.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regarding our reportable segments, please refer to Note 16, “Segment Information” to our consolidated financial statements. </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Segment Results for the Three Months Ended September 30, 2025 and 2024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compare segment net revenue and segment income for the three months ended September 30, 2025 to the three months ended September 30, 2024: </w:t>
      </w:r>
    </w:p>
    <w:tbl>
      <w:tblPr>
        <w:tblW w:w="7834" w:type="dxa"/>
        <w:jc w:val="left"/>
        <w:tblInd w:w="0" w:type="dxa"/>
        <w:tblLayout w:type="fixed"/>
        <w:tblCellMar>
          <w:top w:w="28" w:type="dxa"/>
          <w:left w:w="28" w:type="dxa"/>
          <w:bottom w:w="28" w:type="dxa"/>
          <w:right w:w="28" w:type="dxa"/>
        </w:tblCellMar>
      </w:tblPr>
      <w:tblGrid>
        <w:gridCol w:w="794"/>
        <w:gridCol w:w="697"/>
        <w:gridCol w:w="699"/>
        <w:gridCol w:w="368"/>
        <w:gridCol w:w="207"/>
        <w:gridCol w:w="574"/>
        <w:gridCol w:w="190"/>
        <w:gridCol w:w="190"/>
        <w:gridCol w:w="190"/>
        <w:gridCol w:w="368"/>
        <w:gridCol w:w="224"/>
        <w:gridCol w:w="557"/>
        <w:gridCol w:w="109"/>
        <w:gridCol w:w="109"/>
        <w:gridCol w:w="109"/>
        <w:gridCol w:w="211"/>
        <w:gridCol w:w="721"/>
        <w:gridCol w:w="109"/>
        <w:gridCol w:w="109"/>
        <w:gridCol w:w="109"/>
        <w:gridCol w:w="109"/>
        <w:gridCol w:w="255"/>
        <w:gridCol w:w="256"/>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68"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192,845</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62,805</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55,662</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107,155</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38,048</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18,987</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 margin</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55.6</w:t>
            </w: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60.6</w:t>
            </w: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57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34.1</w:t>
            </w:r>
            <w:r>
              <w:rPr>
                <w:color w:val="000000"/>
              </w:rPr>
              <w:t> </w:t>
            </w:r>
          </w:p>
        </w:tc>
        <w:tc>
          <w:tcPr>
            <w:tcW w:w="5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Revenues by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net revenues were $192.8 million for the three months ended September 30, 2025, an increase of $17.3 million, or 9.8%, as compared to the three months ended September 30, 2024. The increase was attributable to a 4.6% increase in volume and mix, a 3.8% favorable impact from pricing and a 1.4% benefit from changes in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Nordion net revenues were $62.8 million for the three months ended September 30, 2025, an increase of $11.5 million, or 22.4%, as compared to the three months ended September 30, 2024. The increase was driven by favorable volume and mix of 18.9% and a 4.7% impact from pricing, partially offset by a 1.2% unfavorable impact from changes in foreign currency exchange rates.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Nelson Labs net revenues were $55.7 million for the three months ended September 30, 2025, a decrease of $2.9 million, or 5.0%, as compared to the three months ended September 30, 2024. Favorable pricing, a benefit from changes in foreign currency exchange rates and growth in core lab testing service were offset by a decline in expert advisory services revenue.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Segment Income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segment income was $107.2 million for the three months ended September 30, 2025, an increase of $11.2 million, or 11.6%, as compared to the three months ended September 30, 2024. The increase in segment income and segment income margin was primarily a result of an increase in volume and mix coupled with favorable customer pricing, partially offset by inflation.</w:t>
      </w:r>
    </w:p>
    <w:p>
      <w:pPr>
        <w:pStyle w:val="TextBody"/>
        <w:bidi w:val="0"/>
        <w:spacing w:lineRule="auto" w:line="288" w:before="240" w:after="283"/>
        <w:jc w:val="left"/>
        <w:rPr/>
      </w:pPr>
      <w:r>
        <w:rPr>
          <w:rFonts w:ascii="Times New Roman;serif" w:hAnsi="Times New Roman;serif"/>
          <w:b w:val="false"/>
          <w:color w:val="000000"/>
          <w:sz w:val="20"/>
        </w:rPr>
        <w:t xml:space="preserve">Nordion segment income was $38.0 million for the three months ended September 30, 2025, an increase of $6.3 million, or 19.9%, as compared to the three months ended September 30, 2024. The increase in segment income was attributable to growth in volume and mix and </w:t>
      </w:r>
      <w:r>
        <w:rPr>
          <w:rFonts w:ascii="Times New Roman;serif" w:hAnsi="Times New Roman;serif"/>
          <w:b w:val="false"/>
          <w:color w:val="000000"/>
          <w:sz w:val="20"/>
          <w:shd w:fill="FFFFFF" w:val="clear"/>
        </w:rPr>
        <w:t xml:space="preserve">benefits from customer pricing. </w:t>
      </w:r>
      <w:r>
        <w:rPr>
          <w:rFonts w:ascii="Times New Roman;serif" w:hAnsi="Times New Roman;serif"/>
          <w:b w:val="false"/>
          <w:color w:val="000000"/>
          <w:sz w:val="20"/>
        </w:rPr>
        <w:t xml:space="preserve">Segment income margin decreased as a result of product mix.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Nelson Labs segment income was $19.0 million for the three months ended September 30, 2025, an increase of $0.3 million, or 1.9%, as compared to the three months ended September 30, 2024. Segment income and segment income margin increased as a result of volume and mix improvements, lab optimization and favorable pricing.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Segment Results for the Nine Months Ended September 30, 2025 and 2024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compare segment net revenue and segment income for the nine months ended September 30, 2025 to the nine months ended September 30, 2024: </w:t>
      </w:r>
    </w:p>
    <w:tbl>
      <w:tblPr>
        <w:tblW w:w="7787" w:type="dxa"/>
        <w:jc w:val="left"/>
        <w:tblInd w:w="0" w:type="dxa"/>
        <w:tblLayout w:type="fixed"/>
        <w:tblCellMar>
          <w:top w:w="28" w:type="dxa"/>
          <w:left w:w="28" w:type="dxa"/>
          <w:bottom w:w="28" w:type="dxa"/>
          <w:right w:w="28" w:type="dxa"/>
        </w:tblCellMar>
      </w:tblPr>
      <w:tblGrid>
        <w:gridCol w:w="794"/>
        <w:gridCol w:w="697"/>
        <w:gridCol w:w="699"/>
        <w:gridCol w:w="355"/>
        <w:gridCol w:w="207"/>
        <w:gridCol w:w="574"/>
        <w:gridCol w:w="183"/>
        <w:gridCol w:w="183"/>
        <w:gridCol w:w="183"/>
        <w:gridCol w:w="355"/>
        <w:gridCol w:w="224"/>
        <w:gridCol w:w="557"/>
        <w:gridCol w:w="109"/>
        <w:gridCol w:w="109"/>
        <w:gridCol w:w="109"/>
        <w:gridCol w:w="211"/>
        <w:gridCol w:w="721"/>
        <w:gridCol w:w="109"/>
        <w:gridCol w:w="109"/>
        <w:gridCol w:w="109"/>
        <w:gridCol w:w="109"/>
        <w:gridCol w:w="255"/>
        <w:gridCol w:w="256"/>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21"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557,368</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137,793</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165,015</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302,904</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78,947</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54,913</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 margin</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54.3</w:t>
            </w: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57.3</w:t>
            </w: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5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33.3</w:t>
            </w:r>
            <w:r>
              <w:rPr>
                <w:color w:val="000000"/>
              </w:rPr>
              <w:t> </w:t>
            </w:r>
          </w:p>
        </w:tc>
        <w:tc>
          <w:tcPr>
            <w:tcW w:w="5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Revenues by Segment</w:t>
      </w:r>
    </w:p>
    <w:p>
      <w:pPr>
        <w:pStyle w:val="TextBody"/>
        <w:bidi w:val="0"/>
        <w:spacing w:lineRule="auto" w:line="288" w:before="120" w:after="283"/>
        <w:jc w:val="left"/>
        <w:rPr/>
      </w:pPr>
      <w:r>
        <w:rPr>
          <w:rFonts w:ascii="Times New Roman;serif" w:hAnsi="Times New Roman;serif"/>
          <w:b w:val="false"/>
          <w:color w:val="000000"/>
          <w:sz w:val="20"/>
        </w:rPr>
        <w:t>Sterigenics net revenues were $557.4 million for the nine months ended September 30, 2025, an increase of $38.9 million, or 7.5%, as compared to the nine months ended September 30, 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was mainly attributable to favorable impacts from pricing and volume and mix of</w:t>
      </w:r>
      <w:r>
        <w:rPr>
          <w:color w:val="000000"/>
          <w:shd w:fill="FFFFFF" w:val="clear"/>
        </w:rPr>
        <w:t xml:space="preserve"> </w:t>
      </w:r>
      <w:r>
        <w:rPr>
          <w:rFonts w:ascii="Times New Roman;serif" w:hAnsi="Times New Roman;serif"/>
          <w:b w:val="false"/>
          <w:color w:val="000000"/>
          <w:sz w:val="20"/>
          <w:shd w:fill="FFFFFF" w:val="clear"/>
        </w:rPr>
        <w:t xml:space="preserve">4.0% and </w:t>
      </w:r>
      <w:r>
        <w:rPr>
          <w:rFonts w:ascii="Times New Roman;serif" w:hAnsi="Times New Roman;serif"/>
          <w:b w:val="false"/>
          <w:color w:val="000000"/>
          <w:sz w:val="20"/>
        </w:rPr>
        <w:t>3.5%, respectively.</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Nordion net revenues were $137.8 million for the nine months ended September 30, 2025, an increase of $21.2 million, or 18.2%, as compared to the nine months ended September 30, 2024. The increase was driven by favorable changes in volume and mix of 16.7% and pricing of 3.1%, partially offset by an </w:t>
      </w:r>
      <w:r>
        <w:rPr>
          <w:rFonts w:ascii="Times New Roman;serif" w:hAnsi="Times New Roman;serif"/>
          <w:b w:val="false"/>
          <w:color w:val="000000"/>
          <w:sz w:val="20"/>
        </w:rPr>
        <w:t>unfavorable impact from changes in foreign currency exchange rates</w:t>
      </w:r>
      <w:r>
        <w:rPr>
          <w:color w:val="000000"/>
          <w:shd w:fill="FFFFFF" w:val="clear"/>
        </w:rPr>
        <w:t xml:space="preserve"> </w:t>
      </w:r>
      <w:r>
        <w:rPr>
          <w:rFonts w:ascii="Times New Roman;serif" w:hAnsi="Times New Roman;serif"/>
          <w:b w:val="false"/>
          <w:color w:val="000000"/>
          <w:sz w:val="20"/>
          <w:shd w:fill="FFFFFF" w:val="clear"/>
        </w:rPr>
        <w:t>of 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Nelson Labs net revenues were $165.0 million for the nine months ended September 30, 2025, a decrease of $10.2 million, or 5.8%, as compared to the nine months ended September 30, 2024. Growth in core lab testing services, favorable pricing and a </w:t>
      </w:r>
      <w:r>
        <w:rPr>
          <w:rFonts w:ascii="Times New Roman;serif" w:hAnsi="Times New Roman;serif"/>
          <w:b w:val="false"/>
          <w:color w:val="000000"/>
          <w:sz w:val="20"/>
        </w:rPr>
        <w:t xml:space="preserve">benefit from changes in foreign currency exchange rates </w:t>
      </w:r>
      <w:r>
        <w:rPr>
          <w:rFonts w:ascii="Times New Roman;serif" w:hAnsi="Times New Roman;serif"/>
          <w:b w:val="false"/>
          <w:color w:val="000000"/>
          <w:sz w:val="20"/>
          <w:shd w:fill="FFFFFF" w:val="clear"/>
        </w:rPr>
        <w:t>were offset by a decline in expert advisory services revenue.</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Segment Income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Sterigenics segment income was $302.9 million for the nine months ended September 30, 2025, an increase of $24.3 million, or 8.7%, as compared to the nine months ended September 30, 2024. The increase in segment income was driven primarily by favorable customer pricing and improvements in volume and mix, partially offset by inflation.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Nordion segment income was $78.9 million for the nine months ended September 30, 2025, an increase of $13.0 million, or 19.7%, as compared to the nine months ended September 30, 2024. The increase in segment income and segment income margin were primarily attributable to higher volumes and mix of Co-60 and benefits from customer pricing.</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Nelson Labs segment income was $54.9 million for the nine months ended September 30, 2025, an increase of $3.8 million, or 7.4%, as compared to the nine months ended September 30, 2024. </w:t>
      </w:r>
      <w:r>
        <w:rPr>
          <w:rFonts w:ascii="Times New Roman;serif" w:hAnsi="Times New Roman;serif"/>
          <w:b w:val="false"/>
          <w:color w:val="000000"/>
          <w:sz w:val="20"/>
        </w:rPr>
        <w:t>Segment income and segment income margin increased as a result of volume and mix improvements, lab optimization and favorable pricing.</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NON-GAAP FINANCIAL MEASURES</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 supplement our consolidated financial statements presented in accordance with GAAP, we consider Adjusted Net Income and Adjusted EBITDA, financial measures that are not based on any standardized methodology prescribed by GAAP.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its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primarily exclude: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certain recurring non-cash charges such as depreciation of fixed assets, although these assets may have to be replaced in the future, as well as amortization of acquired intangible assets and asset retirement obligations (“ARO”);</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costs of acquiring and integrating businesses, which will continue to be a part of our growth strategy;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impairment charges on long-lived assets, intangible assets and investments accounted for under the equity method;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loss on refinancing of debt incurred in connection with refinancing or early extinguishment of long-term debt;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expenses incurred in connection with the secondary offering of our common stock and other shareholder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expenses and charges related to the litigation, settlement agreements, and other activities associated with our EO sterilization facilities, including those related to Willowbrook, Illinois, Atlanta, Georgia, Santa Teresa, New Mexico and Vernon, California;</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 the case of Adjusted EBITDA, interest expense or the cash requirements necessary to service interest or principal payments on our indebtedness;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share-based compensation expense, which has been, and will continue to be for the foreseeable future, a significant recurring expense and an important part of our compensation strategy.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following table presents a reconciliation of net income, the most directly comparable financial measure calculated and presented in accordance with GAAP to Adjusted Net Income and Adjusted EBITDA, for each of the periods indicated:</w:t>
      </w:r>
    </w:p>
    <w:tbl>
      <w:tblPr>
        <w:tblW w:w="10205" w:type="dxa"/>
        <w:jc w:val="left"/>
        <w:tblInd w:w="0" w:type="dxa"/>
        <w:tblLayout w:type="fixed"/>
        <w:tblCellMar>
          <w:top w:w="28" w:type="dxa"/>
          <w:left w:w="28" w:type="dxa"/>
          <w:bottom w:w="28" w:type="dxa"/>
          <w:right w:w="28" w:type="dxa"/>
        </w:tblCellMar>
      </w:tblPr>
      <w:tblGrid>
        <w:gridCol w:w="1749"/>
        <w:gridCol w:w="1467"/>
        <w:gridCol w:w="1471"/>
        <w:gridCol w:w="210"/>
        <w:gridCol w:w="807"/>
        <w:gridCol w:w="116"/>
        <w:gridCol w:w="116"/>
        <w:gridCol w:w="116"/>
        <w:gridCol w:w="116"/>
        <w:gridCol w:w="210"/>
        <w:gridCol w:w="791"/>
        <w:gridCol w:w="116"/>
        <w:gridCol w:w="109"/>
        <w:gridCol w:w="109"/>
        <w:gridCol w:w="109"/>
        <w:gridCol w:w="205"/>
        <w:gridCol w:w="787"/>
        <w:gridCol w:w="113"/>
        <w:gridCol w:w="113"/>
        <w:gridCol w:w="113"/>
        <w:gridCol w:w="113"/>
        <w:gridCol w:w="205"/>
        <w:gridCol w:w="771"/>
        <w:gridCol w:w="173"/>
      </w:tblGrid>
      <w:tr>
        <w:trPr/>
        <w:tc>
          <w:tcPr>
            <w:tcW w:w="174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48,400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16,998 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43,102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32,075 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5,648</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36,246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Share-based compensation</w:t>
            </w:r>
            <w:r>
              <w:rPr>
                <w:rFonts w:ascii="Times New Roman;serif" w:hAnsi="Times New Roman;serif"/>
                <w:b w:val="false"/>
                <w:color w:val="000000"/>
                <w:sz w:val="12"/>
              </w:rPr>
              <w:t>(a)</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8,047</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23,465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Loss on refinancing of debt</w:t>
            </w:r>
            <w:r>
              <w:rPr>
                <w:rFonts w:ascii="Times New Roman;serif" w:hAnsi="Times New Roman;serif"/>
                <w:b w:val="false"/>
                <w:color w:val="000000"/>
                <w:sz w:val="12"/>
              </w:rPr>
              <w:t>(b)</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1,087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1,167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Gain on foreign currency and derivatives not designated as hedging instruments, net</w:t>
            </w:r>
            <w:r>
              <w:rPr>
                <w:rFonts w:ascii="Times New Roman;serif" w:hAnsi="Times New Roman;serif"/>
                <w:b w:val="false"/>
                <w:color w:val="000000"/>
                <w:sz w:val="12"/>
              </w:rPr>
              <w:t>(c)</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(167)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(1,294)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Business optimization expenses</w:t>
            </w:r>
            <w:r>
              <w:rPr>
                <w:rFonts w:ascii="Times New Roman;serif" w:hAnsi="Times New Roman;serif"/>
                <w:b w:val="false"/>
                <w:color w:val="000000"/>
                <w:sz w:val="12"/>
              </w:rPr>
              <w:t>(d)</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3,098</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7,575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Professional services relating to EO sterilization facilities</w:t>
            </w:r>
            <w:r>
              <w:rPr>
                <w:rFonts w:ascii="Times New Roman;serif" w:hAnsi="Times New Roman;serif"/>
                <w:b w:val="false"/>
                <w:color w:val="000000"/>
                <w:sz w:val="12"/>
              </w:rPr>
              <w:t>(e)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11,152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37,515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Illinois EO litigation settlements</w:t>
            </w:r>
            <w:r>
              <w:rPr>
                <w:rFonts w:ascii="Times New Roman;serif" w:hAnsi="Times New Roman;serif"/>
                <w:b w:val="false"/>
                <w:color w:val="000000"/>
                <w:sz w:val="12"/>
              </w:rPr>
              <w:t>(f)</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64,943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Accretion of asset retirement obligations</w:t>
            </w:r>
            <w:r>
              <w:rPr>
                <w:rFonts w:ascii="Times New Roman;serif" w:hAnsi="Times New Roman;serif"/>
                <w:b w:val="false"/>
                <w:color w:val="000000"/>
                <w:sz w:val="12"/>
              </w:rPr>
              <w:t>(g)</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601</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1,738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Income tax benefit associated with pre-tax adjustments</w:t>
            </w:r>
            <w:r>
              <w:rPr>
                <w:rFonts w:ascii="Times New Roman;serif" w:hAnsi="Times New Roman;serif"/>
                <w:b w:val="false"/>
                <w:color w:val="000000"/>
                <w:sz w:val="12"/>
              </w:rPr>
              <w:t>(h)</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(44,081)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75,270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48,943 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170,376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139,759 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39,147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41,572 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120,674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123,731 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Depreciation</w:t>
            </w:r>
            <w:r>
              <w:rPr>
                <w:rFonts w:ascii="Times New Roman;serif" w:hAnsi="Times New Roman;serif"/>
                <w:b w:val="false"/>
                <w:color w:val="000000"/>
                <w:sz w:val="12"/>
              </w:rPr>
              <w:t>(i)</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22,642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67,726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Income tax provision applicable to Adjusted Net Income</w:t>
            </w:r>
            <w:r>
              <w:rPr>
                <w:rFonts w:ascii="Times New Roman;serif" w:hAnsi="Times New Roman;serif"/>
                <w:b w:val="false"/>
                <w:color w:val="000000"/>
                <w:sz w:val="12"/>
              </w:rPr>
              <w:t>(j)</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27,131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77,988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(k)</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164,190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146,361 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436,764</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395,640 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(a)    </w:t>
      </w:r>
      <w:r>
        <w:rPr>
          <w:rFonts w:ascii="Times New Roman;serif" w:hAnsi="Times New Roman;serif"/>
          <w:b w:val="false"/>
          <w:color w:val="000000"/>
          <w:sz w:val="20"/>
          <w:shd w:fill="FFFFFF" w:val="clear"/>
        </w:rPr>
        <w:t>Represents share-based compensation expense related to employees and Non-Employee Directors.</w:t>
      </w:r>
    </w:p>
    <w:p>
      <w:pPr>
        <w:pStyle w:val="TextBody"/>
        <w:bidi w:val="0"/>
        <w:spacing w:lineRule="auto" w:line="288" w:before="40" w:after="283"/>
        <w:ind w:left="0" w:right="0" w:hanging="720"/>
        <w:jc w:val="left"/>
        <w:rPr/>
      </w:pPr>
      <w:r>
        <w:rPr>
          <w:rFonts w:ascii="Times New Roman;serif" w:hAnsi="Times New Roman;serif"/>
          <w:b w:val="false"/>
          <w:color w:val="000000"/>
          <w:sz w:val="20"/>
        </w:rPr>
        <w:t>(b)    </w:t>
      </w:r>
      <w:r>
        <w:rPr>
          <w:rFonts w:ascii="Times New Roman;serif" w:hAnsi="Times New Roman;serif"/>
          <w:b w:val="false"/>
          <w:color w:val="000000"/>
          <w:sz w:val="20"/>
          <w:shd w:fill="FFFFFF" w:val="clear"/>
        </w:rPr>
        <w:t xml:space="preserve">Represents the write-off of unamortized debt issuance costs and discounts, as well as certain other costs incurred related to refinancing activity for the Term Loans, the Secured Notes and the Revolving Credit Facility. </w:t>
      </w:r>
    </w:p>
    <w:p>
      <w:pPr>
        <w:pStyle w:val="TextBody"/>
        <w:bidi w:val="0"/>
        <w:spacing w:lineRule="auto" w:line="288" w:before="40" w:after="283"/>
        <w:ind w:left="0" w:right="0" w:hanging="720"/>
        <w:jc w:val="left"/>
        <w:rPr/>
      </w:pPr>
      <w:r>
        <w:rPr>
          <w:rFonts w:ascii="Times New Roman;serif" w:hAnsi="Times New Roman;serif"/>
          <w:b w:val="false"/>
          <w:color w:val="000000"/>
          <w:sz w:val="20"/>
        </w:rPr>
        <w:t>(c)    </w:t>
      </w:r>
      <w:r>
        <w:rPr>
          <w:rFonts w:ascii="Times New Roman;serif" w:hAnsi="Times New Roman;serif"/>
          <w:b w:val="false"/>
          <w:color w:val="000000"/>
          <w:sz w:val="20"/>
          <w:shd w:fill="FFFFFF" w:val="clear"/>
        </w:rPr>
        <w:t>Represents the effects of (i) fluctuations in foreign currency exchange rates and (ii) non-cash mark-to-fair value of embedded derivatives relating to certain customer and supply contracts at Nordion.</w:t>
      </w:r>
    </w:p>
    <w:p>
      <w:pPr>
        <w:pStyle w:val="TextBody"/>
        <w:bidi w:val="0"/>
        <w:spacing w:lineRule="auto" w:line="288" w:before="40" w:after="283"/>
        <w:ind w:left="0" w:right="0" w:hanging="720"/>
        <w:jc w:val="left"/>
        <w:rPr/>
      </w:pPr>
      <w:r>
        <w:rPr>
          <w:rFonts w:ascii="Times New Roman;serif" w:hAnsi="Times New Roman;serif"/>
          <w:b w:val="false"/>
          <w:color w:val="000000"/>
          <w:sz w:val="20"/>
        </w:rPr>
        <w:t>(d)    </w:t>
      </w:r>
      <w:r>
        <w:rPr>
          <w:rFonts w:ascii="Times New Roman;serif" w:hAnsi="Times New Roman;serif"/>
          <w:b w:val="false"/>
          <w:color w:val="000000"/>
          <w:sz w:val="20"/>
          <w:shd w:fill="FFFFFF" w:val="clear"/>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pStyle w:val="TextBody"/>
        <w:bidi w:val="0"/>
        <w:spacing w:lineRule="auto" w:line="288" w:before="40" w:after="283"/>
        <w:ind w:left="0" w:right="0" w:hanging="720"/>
        <w:jc w:val="left"/>
        <w:rPr/>
      </w:pPr>
      <w:r>
        <w:rPr>
          <w:rFonts w:ascii="Times New Roman;serif" w:hAnsi="Times New Roman;serif"/>
          <w:b w:val="false"/>
          <w:color w:val="000000"/>
          <w:sz w:val="20"/>
        </w:rPr>
        <w:t>(e)    </w:t>
      </w:r>
      <w:r>
        <w:rPr>
          <w:rFonts w:ascii="Times New Roman;serif" w:hAnsi="Times New Roman;serif"/>
          <w:b w:val="false"/>
          <w:color w:val="000000"/>
          <w:sz w:val="20"/>
          <w:shd w:fill="FFFFFF" w:val="clear"/>
        </w:rPr>
        <w:t>Represents litigation and other professional fees associated with our EO sterilization facilities.</w:t>
      </w:r>
    </w:p>
    <w:p>
      <w:pPr>
        <w:pStyle w:val="TextBody"/>
        <w:bidi w:val="0"/>
        <w:spacing w:lineRule="auto" w:line="288" w:before="0" w:after="0"/>
        <w:ind w:left="0" w:right="0" w:hanging="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    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See Note 14, “Commitments and Contingencies.”</w:t>
      </w:r>
    </w:p>
    <w:p>
      <w:pPr>
        <w:pStyle w:val="TextBody"/>
        <w:bidi w:val="0"/>
        <w:spacing w:lineRule="auto" w:line="288" w:before="40" w:after="283"/>
        <w:ind w:left="0" w:right="0" w:hanging="720"/>
        <w:jc w:val="left"/>
        <w:rPr/>
      </w:pPr>
      <w:r>
        <w:rPr>
          <w:rFonts w:ascii="Times New Roman;serif" w:hAnsi="Times New Roman;serif"/>
          <w:b w:val="false"/>
          <w:color w:val="000000"/>
          <w:sz w:val="20"/>
        </w:rPr>
        <w:t>(g)    </w:t>
      </w:r>
      <w:r>
        <w:rPr>
          <w:rFonts w:ascii="Times New Roman;serif" w:hAnsi="Times New Roman;serif"/>
          <w:b w:val="false"/>
          <w:color w:val="000000"/>
          <w:sz w:val="20"/>
          <w:shd w:fill="FFFFFF" w:val="clear"/>
        </w:rPr>
        <w:t>Represents non-cash accretion of ARO related to Co-60 gamma and EO sterilization facilities, which are based on estimated site remediation costs for any future decommissioning of these facilities and are accreted over the life of the asset.</w:t>
      </w:r>
    </w:p>
    <w:p>
      <w:pPr>
        <w:pStyle w:val="TextBody"/>
        <w:bidi w:val="0"/>
        <w:spacing w:lineRule="auto" w:line="288" w:before="0" w:after="0"/>
        <w:ind w:left="0" w:right="0" w:hanging="720"/>
        <w:jc w:val="left"/>
        <w:rPr/>
      </w:pPr>
      <w:r>
        <w:rPr>
          <w:rFonts w:ascii="Times New Roman;serif" w:hAnsi="Times New Roman;serif"/>
          <w:b w:val="false"/>
          <w:color w:val="231F20"/>
          <w:sz w:val="20"/>
          <w:shd w:fill="FFFFFF" w:val="clear"/>
        </w:rPr>
        <w:t>(h)    </w:t>
      </w:r>
      <w:r>
        <w:rPr>
          <w:rFonts w:ascii="Times New Roman;serif" w:hAnsi="Times New Roman;serif"/>
          <w:b w:val="false"/>
          <w:color w:val="000000"/>
          <w:sz w:val="20"/>
          <w:shd w:fill="FFFFFF" w:val="clear"/>
        </w:rPr>
        <w:t>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Includes depreciation of Co-60 held at gamma irradiation sites, and excludes accelerated depreciation associated with business optimization activities. </w:t>
      </w:r>
    </w:p>
    <w:p>
      <w:pPr>
        <w:pStyle w:val="TextBody"/>
        <w:bidi w:val="0"/>
        <w:spacing w:lineRule="auto" w:line="288" w:before="60" w:after="283"/>
        <w:ind w:left="0" w:right="0" w:hanging="720"/>
        <w:jc w:val="left"/>
        <w:rPr/>
      </w:pPr>
      <w:r>
        <w:rPr>
          <w:rFonts w:ascii="Times New Roman;serif" w:hAnsi="Times New Roman;serif"/>
          <w:b w:val="false"/>
          <w:color w:val="231F20"/>
          <w:sz w:val="20"/>
          <w:shd w:fill="FFFFFF" w:val="clear"/>
        </w:rPr>
        <w:t>(j</w:t>
      </w:r>
      <w:r>
        <w:rPr>
          <w:rFonts w:ascii="Times New Roman;serif" w:hAnsi="Times New Roman;serif"/>
          <w:b w:val="false"/>
          <w:color w:val="000000"/>
          <w:sz w:val="20"/>
          <w:shd w:fill="FFFFFF" w:val="clear"/>
        </w:rPr>
        <w:t>)    Represents the difference between the income tax provision or benefit as determined under U.S. GAAP and the income tax provision or benefit associated with pre-tax adjustments described in footnote (h).</w:t>
      </w:r>
    </w:p>
    <w:p>
      <w:pPr>
        <w:pStyle w:val="TextBody"/>
        <w:bidi w:val="0"/>
        <w:spacing w:lineRule="auto" w:line="288" w:before="40" w:after="283"/>
        <w:ind w:left="0" w:right="0" w:hanging="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    $24.1 million and $25.8 million of the adjustments for the three months ended September 30, 2025 and 2024, respectively, and $72.7 million and $73.0 million of the adjustments for the nine months ended September 30, 2025 and 2024, respectively, are included in cost of revenues, primarily consisting of amortization of intangible assets, depreciation, and accretion of asset retirement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Sources of Cash</w:t>
      </w:r>
    </w:p>
    <w:p>
      <w:pPr>
        <w:pStyle w:val="TextBody"/>
        <w:bidi w:val="0"/>
        <w:spacing w:lineRule="auto" w:line="288" w:before="240" w:after="283"/>
        <w:jc w:val="left"/>
        <w:rPr/>
      </w:pPr>
      <w:r>
        <w:rPr>
          <w:rFonts w:ascii="Times New Roman;serif" w:hAnsi="Times New Roman;serif"/>
          <w:b w:val="false"/>
          <w:color w:val="000000"/>
          <w:sz w:val="20"/>
          <w:shd w:fill="FFFFFF" w:val="clear"/>
        </w:rPr>
        <w:t>The primary sources of liquidity for our business are cash flows from operations and borrowings under our credit facilities. As of September 30, 2025, we had $299.2 million of unrestricted cash and cash equivalents. This is an increase of $22.0 million from the balance at December 31, 2024. The increase in unrestricted cash and cash equivalents was a result of $184.1 million of cash flows provided by operating activities and a $14.9 million</w:t>
      </w:r>
      <w:r>
        <w:rPr>
          <w:color w:val="000000"/>
        </w:rPr>
        <w:t xml:space="preserve"> </w:t>
      </w:r>
      <w:r>
        <w:rPr>
          <w:rFonts w:ascii="Times New Roman;serif" w:hAnsi="Times New Roman;serif"/>
          <w:b w:val="false"/>
          <w:color w:val="000000"/>
          <w:sz w:val="20"/>
        </w:rPr>
        <w:t>increase due to</w:t>
      </w:r>
      <w:r>
        <w:rPr>
          <w:color w:val="000000"/>
          <w:shd w:fill="FFFFFF" w:val="clear"/>
        </w:rPr>
        <w:t xml:space="preserve"> </w:t>
      </w:r>
      <w:r>
        <w:rPr>
          <w:rFonts w:ascii="Times New Roman;serif" w:hAnsi="Times New Roman;serif"/>
          <w:b w:val="false"/>
          <w:color w:val="000000"/>
          <w:sz w:val="20"/>
          <w:shd w:fill="FFFFFF" w:val="clear"/>
        </w:rPr>
        <w:t>favorable change in foreign currency exchange rates, partially offset by $87.3 million in cash paid for capital expenditures and $92.4 million in cash used in financing activities. Our foreign subsidiaries held cash of approximately $230.6 million at September 30, 2025 and $259.8 million at December 31, 2024. No material restrictions exist to accessing cash held by our foreign subsidiaries notwithstanding any potential tax consequences.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Uses of Cash</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and the foreseeable future thereafter. </w:t>
      </w:r>
      <w:r>
        <w:rPr>
          <w:rFonts w:ascii="Times New Roman;serif" w:hAnsi="Times New Roman;serif"/>
          <w:b w:val="false"/>
          <w:color w:val="000000"/>
          <w:sz w:val="20"/>
        </w:rPr>
        <w:t>Our primary long-term liquidity requirements beyond the next 12 months will be to service our debt, make capital expenditures, and fund suitable business acquisitions. As of September 30, 2025, there were no outstanding borrowings on the Revolving Credit Facility. We expect any excess cash provided by operations will be allocated to fund capital expenditures, potential acquisitions, debt paydown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September 30, 2025, our interest rate derivatives limit our cash flow exposure of our variable rate borrowings under the Term Loans. Refer to Note 15, “Financial Instruments and Financial Risk”, “Derivative Instruments” for additional information about changes in interest rate risk.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nine months ended September 30, 2025, our capital expenditures amounted to $87.3 million, compared to $113.2 million for the nine months ended September 30, 2024.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 Information</w:t>
      </w:r>
    </w:p>
    <w:tbl>
      <w:tblPr>
        <w:tblW w:w="9144" w:type="dxa"/>
        <w:jc w:val="left"/>
        <w:tblInd w:w="0" w:type="dxa"/>
        <w:tblLayout w:type="fixed"/>
        <w:tblCellMar>
          <w:top w:w="28" w:type="dxa"/>
          <w:left w:w="28" w:type="dxa"/>
          <w:bottom w:w="28" w:type="dxa"/>
          <w:right w:w="28" w:type="dxa"/>
        </w:tblCellMar>
      </w:tblPr>
      <w:tblGrid>
        <w:gridCol w:w="2342"/>
        <w:gridCol w:w="2058"/>
        <w:gridCol w:w="2065"/>
        <w:gridCol w:w="211"/>
        <w:gridCol w:w="841"/>
        <w:gridCol w:w="109"/>
        <w:gridCol w:w="109"/>
        <w:gridCol w:w="109"/>
        <w:gridCol w:w="109"/>
        <w:gridCol w:w="211"/>
        <w:gridCol w:w="826"/>
        <w:gridCol w:w="154"/>
      </w:tblGrid>
      <w:tr>
        <w:trPr/>
        <w:tc>
          <w:tcPr>
            <w:tcW w:w="2342"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184,091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(84,445)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(92,359)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 including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22,161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increased $15.6 million to net cash provided of $184.1 million in the nine months ended September 30, 2025 compared to net cash provided of $168.4 million for the nine months ended September 30, 2024. The increase in cash flows from operating activities in the nine months ended September 30, 2025 compared to the nine months ended September 30, 2024 was mainly attributable to an increase in gross profit coupled with a decrease in cash paid for interest, partially offset by an increase in cash paid for income taxes.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decreased $28.7 million to net cash used of $84.4 million in the nine months ended September 30, 2025 compared to $113.1 million for the nine months ended September 30, 2024. The variance was primarily driven by a decrease in cash paid for capital expenditures of $25.9 million in the nine months ended September 30, 2025 compared to the nine months ended September 30, 2024.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increased $48.3 million to net cash used of $92.4 million in the nine months ended September 30, 2025 compared to net cash used of $44.0 million for the nine months ended September 30, 2024. The increase in cash used in financing activities was mainly attributable to an increase $81.3 million of principal repayments on the Term Loans in 2025, which included a $75.0 million voluntary paydown in connection with Amendment No. 6 to the First Lien Credit Agreement. Partially offsetting these cash outflows, was a decrease in cash paid for debt issuance costs of $28.1 million due to the incremental debt issuance costs paid in connection with the Refinancing Term Loans and Secured Notes in the second quarter of 2024. In addition, in the first quarter of 2024, the Company paid $6.7 million to acquire certain facilities through the settlement of a finance lease.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Debt Facilities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debt agreements summarized below, at September 30, 2025 we and Sotera Health Holdings, LLC (“SHH”), our wholly owned subsidiary, have debt payment obligations under (a) a term loan in the amount of $1,423.0 million, (b) a revolving credit facility, which supported operationally-related letters of credit but was otherwise undrawn, and which provides to us capacity up to $600.0 million for future potential borrowings, and (c) $750.0 million of senior notes. Our debt agreements also include additional covenants, conditions and rights to request additional debt, as summarized below.</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Senior Secured Credit Facilities and Indenture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13, 2019, SHH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(as amended through Amendment No. 6 (as defined below), the “Credit Agreement”). Amendment No. 6 reduced the applicable interest rate margin under the Term Loan by 0.50%. The Senior Secured Credit Facilities also provide SHH the right at any time and under certain conditions to request incremental term loans or incremental revolving credit commitments based on a formula defined in the Senior Secured Credit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September 17, 2025, the Company and SHH entered into Amendment No. 6 (“Amendment No. 6”) to the Credit Agreement. Among other changes, Amendment No. 6 provides for refinancing lenders to provide term loans (the “Repriced Term Loans”) to SHH in an aggregate principal amount of $1,423.0 million, which reflects the balance after the Company’s application of $75.0 million of available cash to repay outstanding borrowings under its term loan facility. Amendment No. 6 also reduces the interest rate spread by 0.50% across term loans under the facility, such that the Repriced Term Loans have an applicable interest rate margin equal to the Adjusted Term SOFR (as defined in the Credit Agreement) plus 2.50%, with a 0.00% floor (with optionality for the Company to elect Alternate Base Rate plus 1.50% or Adjusted Daily Simple SOFR plus 2.50% (each as defined in the Credit Agreement)). This pricing reflects both the 0.50% reduction implemented through Amendment No. 6 and a 0.25% contractual pricing step-down that was triggered in August 2025. The Repriced Term Loans are also subject to a “soft call” premium of 1.00% for certain repricing transactions with respect to the Repriced Term Loans that occur within the six-month period after the effective date of Amendment No. 6. The Repriced Term Loans amortize at a rate of 1.00% per annum and matures on May 30, 2031.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April 30, 2025, the Company and SHH entered into Amendment No. 5 (“Amendment No. 5”) to the Credit Agreement. Among other changes, Amendment No. 5 provides (i) for an increase in the commitments under the existing Revolving Credit Facility in an aggregate principal amount of $176.2 million, (ii) that certain lenders providing revolving credit commitments shall also provide additional commitments for the issuance of letters of credit under the Revolving Credit Facility in an aggregate principal amount of $186.3 million and (iii) for the extension of the maturity date of the Revolving Credit Facility to April 30, 2030. Amendment No. 5 does not give effect to any other material changes to the terms and conditions of the Credit Agreement, including with respect to the representations and warranties, events of default and the affirmative or negative covenants.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and SHH had previously entered into Amendment No. 4 on May 30, 2024, respectively. See Note 8, “Long-Term Debt,” to the Financial Statements for a description of these amendments.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30, 2024, SHH, the Company, certain subsidiaries of the Company,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Senior Secured Credit Facilities and the Indenture contain certain covenants and events of default. Additionally, all of SHH’s obligations under the Senior Secured Credit Facilities and the Indenture are unconditionally guaranteed by the Company and certain domestic restricted subsidiaries. For additional information about our Senior Secured Credit Facilities, the Indenture and the Secured Notes, including the covenants and events of default, refer to Note 8, “Long-Term Debt,” to our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Outstanding letters of credit are collateralized by encumbrances against the Revolving Credit Facility and the collateral pledged thereunder, or by cash placed on deposit with the issuing bank. As of September 30, 2025, the Company had $8.1 million of letters of credit issued against the Revolving Credit Facility, resulting in total availability under the Revolving Credit Facility of $591.9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Term Loan Interest Rate Risk Management</w:t>
      </w:r>
    </w:p>
    <w:p>
      <w:pPr>
        <w:pStyle w:val="TextBody"/>
        <w:bidi w:val="0"/>
        <w:spacing w:lineRule="auto" w:line="288" w:before="120" w:after="283"/>
        <w:jc w:val="left"/>
        <w:rPr/>
      </w:pPr>
      <w:r>
        <w:rPr>
          <w:rFonts w:ascii="Times New Roman;serif" w:hAnsi="Times New Roman;serif"/>
          <w:b w:val="false"/>
          <w:color w:val="000000"/>
          <w:sz w:val="20"/>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15, “Financial Instruments and Financial Risk”— </w:t>
      </w:r>
      <w:r>
        <w:rPr>
          <w:color w:val="000000"/>
        </w:rPr>
        <w:t>“</w:t>
      </w:r>
      <w:r>
        <w:rPr>
          <w:rFonts w:ascii="Times New Roman;serif" w:hAnsi="Times New Roman;serif"/>
          <w:b w:val="false"/>
          <w:i/>
          <w:color w:val="000000"/>
          <w:sz w:val="20"/>
        </w:rPr>
        <w:t>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comprehensive discussion of the Company’s critical accounting policies and management estimates made in connection with the preparation of the financial statements is included in Item 7 of the Company’s 2024 Form 10-K. There have been no significant changes in critical accounting policies, management estimates or accounting policies since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NEW ACCOUNTING PRONOUNCEMENTS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 description of recent accounting pronouncements applicable to our business, see Note 2, “Recent Accounting Standards”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Market risks are described within “Quantitative and Qualitative Disclosures About Market Risk” in Part II, Item 7A of our 2024 Form 10-K. These market risks have not materially changed for the three 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the Company’s “disclosure controls and procedures,” (as defined in Rules 13a-15(e) and 15d-15(e) under the Exchange Act). Based upon their evaluation, the Chief Executive Officer and Chief Financial Officer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is disclosed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Legal Proceedings Described in Note 14, “Commitments and Contingencies”, of Our Consolidated Financial Statements </w:t>
      </w:r>
    </w:p>
    <w:p>
      <w:pPr>
        <w:pStyle w:val="TextBody"/>
        <w:bidi w:val="0"/>
        <w:spacing w:lineRule="auto" w:line="288" w:before="120" w:after="283"/>
        <w:jc w:val="left"/>
        <w:rPr/>
      </w:pPr>
      <w:r>
        <w:rPr>
          <w:rFonts w:ascii="Times New Roman;serif" w:hAnsi="Times New Roman;serif"/>
          <w:b w:val="false"/>
          <w:color w:val="000000"/>
          <w:sz w:val="20"/>
        </w:rPr>
        <w:t>Note 14, “Commitments and Contingencies” to our consolidated financial statements for the three and nine months ended September 30, 2025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14,</w:t>
      </w:r>
      <w:r>
        <w:rPr>
          <w:color w:val="000000"/>
        </w:rPr>
        <w:t xml:space="preserve"> “</w:t>
      </w:r>
      <w:r>
        <w:rPr>
          <w:rFonts w:ascii="Times New Roman;serif" w:hAnsi="Times New Roman;serif"/>
          <w:b w:val="false"/>
          <w:color w:val="000000"/>
          <w:sz w:val="20"/>
        </w:rPr>
        <w:t>Commitments and Contingencies” for information regarding the following legal proceedings, which information is incorporated into this item by reference: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Ethylene Oxide Tort Litigation – California, Georgia, Illinois and New Mexico;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Insurance Coverage for Environmental Liabilities;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Sotera Health Company Securities Litigation and Related Matters.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Legal Proceedings Not Described in Note 14, “Commitments and Contingencies” to Our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matters that are identified in Note 14, “Commitments and Contingencies” to our consolidated financial statements for the three and nine months ended September 30, 2025 contained in this Quarterly Report on Form 10-Q, and incorporated into this item by reference, we report matters, if any, that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believes will exceed a specified threshold. The Company uses a threshold of $1.0 million to determine whether the disclosure of any such proceedings is required because we believe matters under this threshold are not material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1A. Risk Factors.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described under Item 1A of our 2024 10-K filed with the SEC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Rule 10b5-1 Trading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exhibits listed in the following Exhibit Index are filed, furnished, or incorporated by reference as part of this Quarterly Report on Form 10-Q. </w:t>
      </w:r>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646"/>
        <w:gridCol w:w="1379"/>
        <w:gridCol w:w="1383"/>
        <w:gridCol w:w="109"/>
        <w:gridCol w:w="109"/>
        <w:gridCol w:w="109"/>
        <w:gridCol w:w="197"/>
        <w:gridCol w:w="197"/>
        <w:gridCol w:w="192"/>
        <w:gridCol w:w="263"/>
        <w:gridCol w:w="263"/>
        <w:gridCol w:w="144"/>
        <w:gridCol w:w="245"/>
        <w:gridCol w:w="245"/>
        <w:gridCol w:w="246"/>
        <w:gridCol w:w="221"/>
        <w:gridCol w:w="221"/>
        <w:gridCol w:w="222"/>
        <w:gridCol w:w="109"/>
        <w:gridCol w:w="109"/>
        <w:gridCol w:w="109"/>
        <w:gridCol w:w="327"/>
        <w:gridCol w:w="327"/>
        <w:gridCol w:w="470"/>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6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6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Furnished/Filed </w:t>
              <w:br/>
              <w:t>Herewith</w:t>
            </w:r>
          </w:p>
        </w:tc>
      </w:tr>
      <w:tr>
        <w:trPr/>
        <w:tc>
          <w:tcPr>
            <w:tcW w:w="10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Amendment No. 6, dated as of September 17, 2025, to the First Lien Credit Agreement dated as of December 13, 2019 by and among Sotera Health Company, Sotera Health Holdings, LLC, certain subsidiaries of Sotera Health Company, JPMorgan Chase Bank, N.A., as First Lien Administrative Agent, and the 2025 Refinancing Term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2025-09-18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_20250930xexhibitx31x1.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50930_exhibitx31x2.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50930_exhibitx32x1.htm">
              <w:r>
                <w:rPr>
                  <w:rStyle w:val="InternetLink"/>
                  <w:rFonts w:ascii="Times New Roman;serif" w:hAnsi="Times New Roman;serif"/>
                  <w:b w:val="false"/>
                  <w:color w:val="0000FF"/>
                  <w:sz w:val="20"/>
                  <w:u w:val="single"/>
                </w:rPr>
                <w:t>Certifications of Principal Executive Officer and Principal Financial Officer pursuant to 18 U.S.C. Section 1350, as adopted pursuant to Section 906 of the Sarbanes-Oxley Act of 2002</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XBRL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344" w:type="dxa"/>
        <w:jc w:val="left"/>
        <w:tblInd w:w="0" w:type="dxa"/>
        <w:tblLayout w:type="fixed"/>
        <w:tblCellMar>
          <w:top w:w="28" w:type="dxa"/>
          <w:left w:w="28" w:type="dxa"/>
          <w:bottom w:w="28" w:type="dxa"/>
          <w:right w:w="28" w:type="dxa"/>
        </w:tblCellMar>
      </w:tblPr>
      <w:tblGrid>
        <w:gridCol w:w="124"/>
        <w:gridCol w:w="109"/>
        <w:gridCol w:w="109"/>
        <w:gridCol w:w="288"/>
        <w:gridCol w:w="288"/>
        <w:gridCol w:w="288"/>
        <w:gridCol w:w="910"/>
        <w:gridCol w:w="910"/>
        <w:gridCol w:w="910"/>
        <w:gridCol w:w="412"/>
        <w:gridCol w:w="412"/>
        <w:gridCol w:w="5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SOTERA HEALTH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Lyons</w:t>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Michael B. Petras, Jr.,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bl>
      <w:tblPr>
        <w:tblW w:w="3269" w:type="dxa"/>
        <w:jc w:val="left"/>
        <w:tblInd w:w="0" w:type="dxa"/>
        <w:tblLayout w:type="fixed"/>
        <w:tblCellMar>
          <w:top w:w="28" w:type="dxa"/>
          <w:left w:w="28" w:type="dxa"/>
          <w:bottom w:w="28" w:type="dxa"/>
          <w:right w:w="28" w:type="dxa"/>
        </w:tblCellMar>
      </w:tblPr>
      <w:tblGrid>
        <w:gridCol w:w="1045"/>
        <w:gridCol w:w="917"/>
        <w:gridCol w:w="1307"/>
      </w:tblGrid>
      <w:tr>
        <w:trPr/>
        <w:tc>
          <w:tcPr>
            <w:tcW w:w="10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B. Petras, Jr.</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B. Petras, Jr.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Jonathan M. Lyons,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bl>
      <w:tblPr>
        <w:tblW w:w="4155" w:type="dxa"/>
        <w:jc w:val="left"/>
        <w:tblInd w:w="0" w:type="dxa"/>
        <w:tblLayout w:type="fixed"/>
        <w:tblCellMar>
          <w:top w:w="28" w:type="dxa"/>
          <w:left w:w="28" w:type="dxa"/>
          <w:bottom w:w="28" w:type="dxa"/>
          <w:right w:w="28" w:type="dxa"/>
        </w:tblCellMar>
      </w:tblPr>
      <w:tblGrid>
        <w:gridCol w:w="1328"/>
        <w:gridCol w:w="1167"/>
        <w:gridCol w:w="166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Lyons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Financial Officer) </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480"/>
        <w:ind w:left="0" w:right="0" w:firstLine="720"/>
        <w:jc w:val="left"/>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Sotera Health Company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do hereby certify, to each such officer’s knowledge, that the Company’s Quarterly Report on Form 10-Q for the quarter ended September 30, 2025 fully complies with the requirements of Section 13(a) or 15(d) of the Securities Exchange Act of 1934 and information contained in the Form 10-Q fairly presents, in all material respects, the financial condition and results of operations of the Company.</w:t>
      </w:r>
    </w:p>
    <w:tbl>
      <w:tblPr>
        <w:tblW w:w="6838" w:type="dxa"/>
        <w:jc w:val="left"/>
        <w:tblInd w:w="0" w:type="dxa"/>
        <w:tblLayout w:type="fixed"/>
        <w:tblCellMar>
          <w:top w:w="28" w:type="dxa"/>
          <w:left w:w="28" w:type="dxa"/>
          <w:bottom w:w="28" w:type="dxa"/>
          <w:right w:w="28" w:type="dxa"/>
        </w:tblCellMar>
      </w:tblPr>
      <w:tblGrid>
        <w:gridCol w:w="797"/>
        <w:gridCol w:w="700"/>
        <w:gridCol w:w="707"/>
        <w:gridCol w:w="1357"/>
        <w:gridCol w:w="1357"/>
        <w:gridCol w:w="1920"/>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Michael B. Petras, Jr. </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4, 2025</w:t>
            </w:r>
          </w:p>
        </w:tc>
        <w:tc>
          <w:tcPr>
            <w:tcW w:w="4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B. Petras, Jr.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Chairman and 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Jonathan M. Lyons </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4, 2025</w:t>
            </w:r>
          </w:p>
        </w:tc>
        <w:tc>
          <w:tcPr>
            <w:tcW w:w="4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Jonathan M. Lyons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foregoing certifications are furnished and are not deemed filed with the Securities and Exchange Commission for purposes of Section 18 of the Securities Exchange Act of 1934, as amended (the “Exchange Act”), and are not deemed to be incorporated by reference into any filing of Sotera Health Company under the Securities Act of 1933, as amended, or the Exchange Act, except to the extent that Sotera Health Company specifically incorporates them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2479/000119312525207549/d45811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24986</Words>
  <Characters>140407</Characters>
  <CharactersWithSpaces>163684</CharactersWithSpaces>
  <Paragraphs>3235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