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ind w:left="1720" w:hanging="1368"/>
        <w:spacing w:after="0"/>
        <w:tabs>
          <w:tab w:leader="none" w:pos="1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1720" w:hanging="1368"/>
        <w:spacing w:after="0"/>
        <w:tabs>
          <w:tab w:leader="none" w:pos="1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221"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transition period from</w:t>
      </w:r>
    </w:p>
    <w:p>
      <w:pPr>
        <w:spacing w:after="0" w:line="127"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95250</wp:posOffset>
            </wp:positionV>
            <wp:extent cx="13112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286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10" w:lineRule="exact"/>
        <w:rPr>
          <w:sz w:val="24"/>
          <w:szCs w:val="24"/>
          <w:color w:val="auto"/>
        </w:rPr>
      </w:pPr>
    </w:p>
    <w:p>
      <w:pPr>
        <w:sectPr>
          <w:pgSz w:w="11900" w:h="16838" w:orient="portrait"/>
          <w:cols w:equalWidth="0" w:num="2">
            <w:col w:w="6880" w:space="0"/>
            <w:col w:w="436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SOTERA HEALTH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3"/>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Arial" w:cs="Arial" w:eastAsia="Arial" w:hAnsi="Arial"/>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Arial" w:cs="Arial" w:eastAsia="Arial" w:hAnsi="Arial"/>
                <w:sz w:val="16"/>
                <w:szCs w:val="16"/>
                <w:color w:val="auto"/>
                <w:w w:val="94"/>
              </w:rPr>
              <w:t>(I.R.S. Employer Identification No.)</w:t>
            </w:r>
          </w:p>
        </w:tc>
      </w:tr>
      <w:tr>
        <w:trPr>
          <w:trHeight w:val="365"/>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Arial" w:cs="Arial" w:eastAsia="Arial" w:hAnsi="Arial"/>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4"/>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Arial" w:cs="Arial" w:eastAsia="Arial" w:hAnsi="Arial"/>
                <w:sz w:val="16"/>
                <w:szCs w:val="16"/>
                <w:color w:val="auto"/>
                <w:w w:val="95"/>
              </w:rPr>
              <w:t>(Zip Code)</w:t>
            </w:r>
          </w:p>
        </w:tc>
      </w:tr>
      <w:tr>
        <w:trPr>
          <w:trHeight w:val="365"/>
        </w:trPr>
        <w:tc>
          <w:tcPr>
            <w:tcW w:w="4780" w:type="dxa"/>
            <w:vAlign w:val="bottom"/>
          </w:tcPr>
          <w:p>
            <w:pPr>
              <w:jc w:val="center"/>
              <w:ind w:left="499"/>
              <w:spacing w:after="0"/>
              <w:rPr>
                <w:sz w:val="20"/>
                <w:szCs w:val="20"/>
                <w:color w:val="auto"/>
              </w:rPr>
            </w:pPr>
            <w:r>
              <w:rPr>
                <w:rFonts w:ascii="Arial" w:cs="Arial" w:eastAsia="Arial" w:hAnsi="Arial"/>
                <w:sz w:val="16"/>
                <w:szCs w:val="16"/>
                <w:color w:val="auto"/>
                <w:w w:val="90"/>
              </w:rPr>
              <w:t>Registrant’s telephone number, including area code</w:t>
            </w:r>
          </w:p>
        </w:tc>
        <w:tc>
          <w:tcPr>
            <w:tcW w:w="2000" w:type="dxa"/>
            <w:vAlign w:val="bottom"/>
          </w:tcPr>
          <w:p>
            <w:pPr>
              <w:spacing w:after="0"/>
              <w:rPr>
                <w:sz w:val="24"/>
                <w:szCs w:val="24"/>
                <w:color w:val="auto"/>
              </w:rPr>
            </w:pPr>
          </w:p>
        </w:tc>
        <w:tc>
          <w:tcPr>
            <w:tcW w:w="4440" w:type="dxa"/>
            <w:vAlign w:val="bottom"/>
          </w:tcPr>
          <w:p>
            <w:pPr>
              <w:jc w:val="right"/>
              <w:ind w:right="1939"/>
              <w:spacing w:after="0"/>
              <w:rPr>
                <w:sz w:val="20"/>
                <w:szCs w:val="20"/>
                <w:color w:val="auto"/>
              </w:rPr>
            </w:pPr>
            <w:r>
              <w:rPr>
                <w:rFonts w:ascii="Arial" w:cs="Arial" w:eastAsia="Arial" w:hAnsi="Arial"/>
                <w:sz w:val="16"/>
                <w:szCs w:val="16"/>
                <w:b w:val="1"/>
                <w:bCs w:val="1"/>
                <w:color w:val="auto"/>
              </w:rPr>
              <w:t>(440)  262-1410</w:t>
            </w:r>
          </w:p>
        </w:tc>
      </w:tr>
      <w:tr>
        <w:trPr>
          <w:trHeight w:val="418"/>
        </w:trPr>
        <w:tc>
          <w:tcPr>
            <w:tcW w:w="47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3"/>
        </w:trPr>
        <w:tc>
          <w:tcPr>
            <w:tcW w:w="478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00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SHC</w:t>
            </w:r>
          </w:p>
        </w:tc>
        <w:tc>
          <w:tcPr>
            <w:tcW w:w="44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280"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186"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54" w:lineRule="exact"/>
        <w:rPr>
          <w:sz w:val="24"/>
          <w:szCs w:val="24"/>
          <w:color w:val="auto"/>
        </w:rPr>
      </w:pPr>
    </w:p>
    <w:p>
      <w:pPr>
        <w:ind w:right="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2"/>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3"/>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color w:val="auto"/>
        </w:rPr>
        <w:t>As of April 26, 2023, there were 282,516,526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0000FF"/>
              </w:rPr>
              <w:t>Part I—FINANCIAL INFORMATION</w:t>
            </w:r>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9"/>
          </w:tcPr>
          <w:p>
            <w:pPr>
              <w:spacing w:after="0" w:line="202" w:lineRule="exact"/>
              <w:rPr>
                <w:sz w:val="20"/>
                <w:szCs w:val="20"/>
                <w:color w:val="auto"/>
              </w:rPr>
            </w:pPr>
            <w:r>
              <w:rPr>
                <w:rFonts w:ascii="Arial" w:cs="Arial" w:eastAsia="Arial" w:hAnsi="Arial"/>
                <w:sz w:val="18"/>
                <w:szCs w:val="18"/>
                <w:color w:val="0000FF"/>
              </w:rPr>
              <w:t>Item 1. Financial Statements</w:t>
            </w:r>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rPr>
              <w:t>5</w:t>
            </w: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1"/>
            <w:shd w:val="clear" w:color="auto" w:fill="CCEEFF"/>
          </w:tcPr>
          <w:p>
            <w:pPr>
              <w:spacing w:after="0" w:line="202" w:lineRule="exact"/>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31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sz w:val="20"/>
                <w:szCs w:val="20"/>
                <w:color w:val="auto"/>
              </w:rPr>
            </w:pPr>
            <w:r>
              <w:rPr>
                <w:rFonts w:ascii="Arial" w:cs="Arial" w:eastAsia="Arial" w:hAnsi="Arial"/>
                <w:sz w:val="18"/>
                <w:szCs w:val="18"/>
                <w:color w:val="0000FF"/>
                <w:w w:val="94"/>
              </w:rPr>
              <w:t>Item 3.</w:t>
            </w:r>
          </w:p>
        </w:tc>
        <w:tc>
          <w:tcPr>
            <w:tcW w:w="10260" w:type="dxa"/>
            <w:vAlign w:val="bottom"/>
            <w:gridSpan w:val="11"/>
          </w:tcPr>
          <w:p>
            <w:pPr>
              <w:ind w:left="20"/>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42</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FF"/>
                <w:w w:val="94"/>
              </w:rPr>
              <w:t>Item 4.</w:t>
            </w:r>
          </w:p>
        </w:tc>
        <w:tc>
          <w:tcPr>
            <w:tcW w:w="1026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8"/>
                <w:szCs w:val="18"/>
                <w:color w:val="0000FF"/>
              </w:rPr>
              <w:t>Controls and Procedures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42</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3"/>
          </w:tcPr>
          <w:p>
            <w:pPr>
              <w:spacing w:after="0" w:line="202" w:lineRule="exact"/>
              <w:rPr>
                <w:sz w:val="20"/>
                <w:szCs w:val="20"/>
                <w:color w:val="auto"/>
              </w:rPr>
            </w:pPr>
            <w:r>
              <w:rPr>
                <w:rFonts w:ascii="Arial" w:cs="Arial" w:eastAsia="Arial" w:hAnsi="Arial"/>
                <w:sz w:val="18"/>
                <w:szCs w:val="18"/>
                <w:b w:val="1"/>
                <w:bCs w:val="1"/>
                <w:color w:val="0000FF"/>
              </w:rPr>
              <w:t>Part II—OTHER INFORMATION</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sz w:val="20"/>
                <w:szCs w:val="20"/>
                <w:color w:val="auto"/>
              </w:rPr>
            </w:pPr>
            <w:r>
              <w:rPr>
                <w:rFonts w:ascii="Arial" w:cs="Arial" w:eastAsia="Arial" w:hAnsi="Arial"/>
                <w:sz w:val="18"/>
                <w:szCs w:val="18"/>
                <w:color w:val="0000FF"/>
                <w:w w:val="94"/>
              </w:rPr>
              <w:t>Item 1.</w:t>
            </w:r>
          </w:p>
        </w:tc>
        <w:tc>
          <w:tcPr>
            <w:tcW w:w="1400" w:type="dxa"/>
            <w:vAlign w:val="bottom"/>
            <w:tcBorders>
              <w:bottom w:val="single" w:sz="8" w:color="0000FF"/>
            </w:tcBorders>
            <w:gridSpan w:val="4"/>
            <w:shd w:val="clear" w:color="auto" w:fill="CCEEFF"/>
          </w:tcPr>
          <w:p>
            <w:pPr>
              <w:ind w:left="20"/>
              <w:spacing w:after="0" w:line="202" w:lineRule="exact"/>
              <w:rPr>
                <w:sz w:val="20"/>
                <w:szCs w:val="20"/>
                <w:color w:val="auto"/>
              </w:rPr>
            </w:pPr>
            <w:r>
              <w:rPr>
                <w:rFonts w:ascii="Arial" w:cs="Arial" w:eastAsia="Arial" w:hAnsi="Arial"/>
                <w:sz w:val="18"/>
                <w:szCs w:val="18"/>
                <w:color w:val="0000FF"/>
                <w:w w:val="88"/>
              </w:rPr>
              <w:t>Legal Proceedings.</w:t>
            </w:r>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43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2"/>
          </w:tcPr>
          <w:p>
            <w:pPr>
              <w:spacing w:after="0" w:line="202" w:lineRule="exact"/>
              <w:rPr>
                <w:sz w:val="20"/>
                <w:szCs w:val="20"/>
                <w:color w:val="auto"/>
              </w:rPr>
            </w:pPr>
            <w:r>
              <w:rPr>
                <w:rFonts w:ascii="Arial" w:cs="Arial" w:eastAsia="Arial" w:hAnsi="Arial"/>
                <w:sz w:val="18"/>
                <w:szCs w:val="18"/>
                <w:color w:val="0000FF"/>
              </w:rPr>
              <w:t>Item 1A. Risk Factors.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FF"/>
                <w:w w:val="94"/>
              </w:rPr>
              <w:t>Item 6.</w:t>
            </w:r>
          </w:p>
        </w:tc>
        <w:tc>
          <w:tcPr>
            <w:tcW w:w="10260" w:type="dxa"/>
            <w:vAlign w:val="bottom"/>
            <w:gridSpan w:val="11"/>
            <w:shd w:val="clear" w:color="auto" w:fill="CCEEFF"/>
          </w:tcPr>
          <w:p>
            <w:pPr>
              <w:ind w:left="20"/>
              <w:spacing w:after="0" w:line="202" w:lineRule="exact"/>
              <w:rPr>
                <w:sz w:val="20"/>
                <w:szCs w:val="20"/>
                <w:color w:val="auto"/>
              </w:rPr>
            </w:pPr>
            <w:r>
              <w:rPr>
                <w:rFonts w:ascii="Arial" w:cs="Arial" w:eastAsia="Arial" w:hAnsi="Arial"/>
                <w:sz w:val="18"/>
                <w:szCs w:val="18"/>
                <w:color w:val="0000FF"/>
              </w:rPr>
              <w:t>Exhibits.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0000FF"/>
                <w:w w:val="79"/>
              </w:rPr>
              <w:t>45</w:t>
            </w:r>
          </w:p>
        </w:tc>
        <w:tc>
          <w:tcPr>
            <w:tcW w:w="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0000FF"/>
            </w:tcBorders>
            <w:gridSpan w:val="3"/>
          </w:tcPr>
          <w:p>
            <w:pPr>
              <w:spacing w:after="0" w:line="202" w:lineRule="exact"/>
              <w:rPr>
                <w:sz w:val="20"/>
                <w:szCs w:val="20"/>
                <w:color w:val="auto"/>
              </w:rPr>
            </w:pPr>
            <w:r>
              <w:rPr>
                <w:rFonts w:ascii="Arial" w:cs="Arial" w:eastAsia="Arial" w:hAnsi="Arial"/>
                <w:sz w:val="18"/>
                <w:szCs w:val="18"/>
                <w:b w:val="1"/>
                <w:bCs w:val="1"/>
                <w:color w:val="0000FF"/>
                <w:w w:val="99"/>
              </w:rPr>
              <w:t>SIGNATURES</w:t>
            </w:r>
          </w:p>
        </w:tc>
        <w:tc>
          <w:tcPr>
            <w:tcW w:w="960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sz w:val="20"/>
                <w:szCs w:val="20"/>
                <w:color w:val="auto"/>
              </w:rPr>
            </w:pPr>
            <w:r>
              <w:rPr>
                <w:rFonts w:ascii="Arial" w:cs="Arial" w:eastAsia="Arial" w:hAnsi="Arial"/>
                <w:sz w:val="18"/>
                <w:szCs w:val="18"/>
                <w:color w:val="0000FF"/>
                <w:w w:val="79"/>
              </w:rPr>
              <w:t>46</w:t>
            </w:r>
          </w:p>
        </w:tc>
        <w:tc>
          <w:tcPr>
            <w:tcW w:w="20" w:type="dxa"/>
            <w:vAlign w:val="bottom"/>
            <w:tcBorders>
              <w:top w:val="single" w:sz="8" w:color="CCEEFF"/>
            </w:tcBorders>
          </w:tcPr>
          <w:p>
            <w:pPr>
              <w:spacing w:after="0"/>
              <w:rPr>
                <w:sz w:val="17"/>
                <w:szCs w:val="17"/>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84" w:lineRule="exact"/>
        <w:rPr>
          <w:sz w:val="20"/>
          <w:szCs w:val="20"/>
          <w:color w:val="auto"/>
        </w:rPr>
      </w:pPr>
    </w:p>
    <w:p>
      <w:pPr>
        <w:ind w:left="98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ethylene oxide (“EO”), Cobalt-60 (“Co-60”) or our other direct materials, services and supplies, including as a result of geopolitical instability and sanctions arising from United States, Canada, the United Kingdom and European Union relations with Russia;</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rates and changes in those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or preferences, and general economic, social and business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and outcome of current and future legal proceedings and liability claims;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judgments in the EO tort litigation that may require an appellate bond or alternative form of security to appeal, and efforts by plaintiffs to enforce large judgments against us, or settlements of such litigation, any one of which may have an adverse impact on our liquidity;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allegations of our failure to properly perform services and potential product liability claims, recalls, penalties and reputational harm;</w:t>
      </w:r>
    </w:p>
    <w:p>
      <w:pPr>
        <w:spacing w:after="0" w:line="20" w:lineRule="exact"/>
        <w:rPr>
          <w:rFonts w:ascii="Arial" w:cs="Arial" w:eastAsia="Arial" w:hAnsi="Arial"/>
          <w:sz w:val="17"/>
          <w:szCs w:val="17"/>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the extensive regulatory requirements to which we are subject, the related costs, and any failures to receive or maintain, or delays in receiving, required clearance or approvals;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continuity hazards, including supply chain disruptions and other risks associated with our operations;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and compliance with numerous laws and regulations in multiple jurisdictions;</w:t>
      </w:r>
    </w:p>
    <w:p>
      <w:pPr>
        <w:ind w:left="980" w:right="1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build new facilities in a timely and cost-effective manner and renew leases for our leased facilities;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health events, such as the ongoing impact of the COVID-19 pandemic, or environmental events;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security breaches, unauthorized data disclosures, and our dependence on information technology systems;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inability to pursue strategic transactions, including our ability to find suitable acquisition targets, or our failure to integrate strategic acquisitions successfully into our business;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2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rapidly evolving data privacy and security laws and regulations and any ineffective compliance efforts with such laws and regulations;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unionization efforts and labor regulations in certain countries in which we operate;</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jc w:val="both"/>
        <w:ind w:left="980" w:right="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leverage and how this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around discontinuation of LIBOR and transition to certain other interest “benchmarks.”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2022 (the “2022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2023</w:t>
            </w:r>
          </w:p>
        </w:tc>
        <w:tc>
          <w:tcPr>
            <w:tcW w:w="140" w:type="dxa"/>
            <w:vAlign w:val="bottom"/>
          </w:tcPr>
          <w:p>
            <w:pPr>
              <w:spacing w:after="0"/>
              <w:rPr>
                <w:sz w:val="19"/>
                <w:szCs w:val="19"/>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i w:val="1"/>
                <w:iCs w:val="1"/>
                <w:color w:val="auto"/>
                <w:w w:val="92"/>
              </w:rPr>
              <w:t>(Unaudited)</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647,948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395,214</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12,232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$2,587 and $1,871, respectively</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109,163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118,482</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46,736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37,145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87,303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80,995</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20,417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12,094</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923,799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645,010</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816,164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774,527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24,941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26,481</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4,165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Post-retirement assets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35,570</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32,909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38,983</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471,860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491,265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1,103,420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1,101,768</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3,414,173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3,117,705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61,939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74,139</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496,791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490,130</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15,161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12,140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4,031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197,119</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8,588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7,554</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2,108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4,589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600,149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791,567</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2,222,333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1,747,115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61,735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56,955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20,561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21,577</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43,350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42,586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lease income</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18,785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18,902</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obligations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7,858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7,910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15,051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12,831</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63,226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68,024</w:t>
            </w:r>
          </w:p>
        </w:tc>
        <w:tc>
          <w:tcPr>
            <w:tcW w:w="0" w:type="dxa"/>
            <w:vAlign w:val="bottom"/>
          </w:tcPr>
          <w:p>
            <w:pPr>
              <w:spacing w:after="0"/>
              <w:rPr>
                <w:sz w:val="1"/>
                <w:szCs w:val="1"/>
                <w:color w:val="auto"/>
              </w:rPr>
            </w:pPr>
          </w:p>
        </w:tc>
      </w:tr>
      <w:tr>
        <w:trPr>
          <w:trHeight w:val="39"/>
        </w:trPr>
        <w:tc>
          <w:tcPr>
            <w:tcW w:w="8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3,053,048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2,767,467</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See Commitments and contingencies note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w w:val="95"/>
              </w:rPr>
              <w:t>Common stock, with $0.01 par value, 1,200,000 shares authorized; 286,037 shares issued at March 31, 2023 and December 31, 2022</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with $0.01 par value, 120,000 authorized; no shares issued at March 31, 2023 and</w:t>
            </w:r>
          </w:p>
        </w:tc>
        <w:tc>
          <w:tcPr>
            <w:tcW w:w="1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December 31, 2022</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Treasury stock, at cost (3,520 and 3,616 shares at March 31, 2023 and December 31, 2022, respectively)</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(29,420)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(29,775)</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1,195,357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1,189,622</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Retained deficit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(702,974)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(705,816)</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(104,698)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(106,653)</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361,125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350,238</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3,414,173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3,117,705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933"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933"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3"/>
        </w:trPr>
        <w:tc>
          <w:tcPr>
            <w:tcW w:w="8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6"/>
                <w:szCs w:val="16"/>
                <w:b w:val="1"/>
                <w:bCs w:val="1"/>
                <w:i w:val="1"/>
                <w:iCs w:val="1"/>
                <w:color w:val="auto"/>
              </w:rPr>
              <w:t>(Unaudited)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214,510</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206,218</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6,080</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30,536</w:t>
            </w: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220,590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236,754</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104,210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94,576</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4,877</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13,303</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109,087</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107,879</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111,503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128,875</w:t>
            </w: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61,910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59,542</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16,227</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15,841</w:t>
            </w:r>
          </w:p>
        </w:tc>
        <w:tc>
          <w:tcPr>
            <w:tcW w:w="0" w:type="dxa"/>
            <w:vAlign w:val="bottom"/>
          </w:tcPr>
          <w:p>
            <w:pPr>
              <w:spacing w:after="0"/>
              <w:rPr>
                <w:sz w:val="1"/>
                <w:szCs w:val="1"/>
                <w:color w:val="auto"/>
              </w:rPr>
            </w:pPr>
          </w:p>
        </w:tc>
      </w:tr>
      <w:tr>
        <w:trPr>
          <w:trHeight w:val="23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78,137</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75,383</w:t>
            </w: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33,366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53,492</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28,870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10,404</w:t>
            </w: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color w:val="auto"/>
              </w:rPr>
              <w:t>Foreign exchange loss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(1,253)</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23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5,402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45,267</w:t>
            </w:r>
          </w:p>
        </w:tc>
        <w:tc>
          <w:tcPr>
            <w:tcW w:w="0" w:type="dxa"/>
            <w:vAlign w:val="bottom"/>
          </w:tcPr>
          <w:p>
            <w:pPr>
              <w:spacing w:after="0"/>
              <w:rPr>
                <w:sz w:val="1"/>
                <w:szCs w:val="1"/>
                <w:color w:val="auto"/>
              </w:rPr>
            </w:pPr>
          </w:p>
        </w:tc>
      </w:tr>
      <w:tr>
        <w:trPr>
          <w:trHeight w:val="24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2,560</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14,626</w:t>
            </w:r>
          </w:p>
        </w:tc>
        <w:tc>
          <w:tcPr>
            <w:tcW w:w="0" w:type="dxa"/>
            <w:vAlign w:val="bottom"/>
          </w:tcPr>
          <w:p>
            <w:pPr>
              <w:spacing w:after="0"/>
              <w:rPr>
                <w:sz w:val="1"/>
                <w:szCs w:val="1"/>
                <w:color w:val="auto"/>
              </w:rPr>
            </w:pPr>
          </w:p>
        </w:tc>
      </w:tr>
      <w:tr>
        <w:trPr>
          <w:trHeight w:val="23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2,842</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30,641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Pension and post-retirement benefits (net of taxes of $(17) and $(92), respectively)</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rate derivatives (net of taxes of $(3,396) and $2,109, respectively)</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(9,251)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6,179</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Foreign currency translation</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11,257</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14,975</w:t>
            </w:r>
          </w:p>
        </w:tc>
        <w:tc>
          <w:tcPr>
            <w:tcW w:w="0" w:type="dxa"/>
            <w:vAlign w:val="bottom"/>
          </w:tcPr>
          <w:p>
            <w:pPr>
              <w:spacing w:after="0"/>
              <w:rPr>
                <w:sz w:val="1"/>
                <w:szCs w:val="1"/>
                <w:color w:val="auto"/>
              </w:rPr>
            </w:pPr>
          </w:p>
        </w:tc>
      </w:tr>
      <w:tr>
        <w:trPr>
          <w:trHeight w:val="26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51,521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80" w:type="dxa"/>
            <w:vAlign w:val="bottom"/>
          </w:tcPr>
          <w:p>
            <w:pPr>
              <w:ind w:left="46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280,691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279,829</w:t>
            </w:r>
          </w:p>
        </w:tc>
        <w:tc>
          <w:tcPr>
            <w:tcW w:w="0" w:type="dxa"/>
            <w:vAlign w:val="bottom"/>
          </w:tcPr>
          <w:p>
            <w:pPr>
              <w:spacing w:after="0"/>
              <w:rPr>
                <w:sz w:val="1"/>
                <w:szCs w:val="1"/>
                <w:color w:val="auto"/>
              </w:rPr>
            </w:pPr>
          </w:p>
        </w:tc>
      </w:tr>
      <w:tr>
        <w:trPr>
          <w:trHeight w:val="253"/>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282,977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279,908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48"/>
              <w:spacing w:after="0"/>
              <w:rPr>
                <w:sz w:val="20"/>
                <w:szCs w:val="20"/>
                <w:color w:val="auto"/>
              </w:rPr>
            </w:pPr>
            <w:r>
              <w:rPr>
                <w:rFonts w:ascii="Arial" w:cs="Arial" w:eastAsia="Arial" w:hAnsi="Arial"/>
                <w:sz w:val="14"/>
                <w:szCs w:val="14"/>
                <w:b w:val="1"/>
                <w:bCs w:val="1"/>
                <w:i w:val="1"/>
                <w:iCs w:val="1"/>
                <w:color w:val="auto"/>
              </w:rPr>
              <w:t>(Unaudited)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2,842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30,641</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18,931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15,867</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20,607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20,182</w:t>
            </w:r>
          </w:p>
        </w:tc>
        <w:tc>
          <w:tcPr>
            <w:tcW w:w="0" w:type="dxa"/>
            <w:vAlign w:val="bottom"/>
          </w:tcPr>
          <w:p>
            <w:pPr>
              <w:spacing w:after="0"/>
              <w:rPr>
                <w:sz w:val="1"/>
                <w:szCs w:val="1"/>
                <w:color w:val="auto"/>
              </w:rPr>
            </w:pPr>
          </w:p>
        </w:tc>
      </w:tr>
      <w:tr>
        <w:trPr>
          <w:trHeight w:val="191"/>
        </w:trPr>
        <w:tc>
          <w:tcPr>
            <w:tcW w:w="82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(1,770)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4,538</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foreign exchange loss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Unrealized loss (gain) on derivatives not designated as hedging instruments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(7,364)</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6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10,223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(6,387)</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Inventories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(9,512)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9,323</w:t>
            </w:r>
          </w:p>
        </w:tc>
        <w:tc>
          <w:tcPr>
            <w:tcW w:w="0" w:type="dxa"/>
            <w:vAlign w:val="bottom"/>
          </w:tcPr>
          <w:p>
            <w:pPr>
              <w:spacing w:after="0"/>
              <w:rPr>
                <w:sz w:val="1"/>
                <w:szCs w:val="1"/>
                <w:color w:val="auto"/>
              </w:rPr>
            </w:pPr>
          </w:p>
        </w:tc>
      </w:tr>
      <w:tr>
        <w:trPr>
          <w:trHeight w:val="190"/>
        </w:trPr>
        <w:tc>
          <w:tcPr>
            <w:tcW w:w="826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(6,318)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(8,934)</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(9,610)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(12,742)</w:t>
            </w:r>
          </w:p>
        </w:tc>
        <w:tc>
          <w:tcPr>
            <w:tcW w:w="0" w:type="dxa"/>
            <w:vAlign w:val="bottom"/>
          </w:tcPr>
          <w:p>
            <w:pPr>
              <w:spacing w:after="0"/>
              <w:rPr>
                <w:sz w:val="1"/>
                <w:szCs w:val="1"/>
                <w:color w:val="auto"/>
              </w:rPr>
            </w:pPr>
          </w:p>
        </w:tc>
      </w:tr>
      <w:tr>
        <w:trPr>
          <w:trHeight w:val="190"/>
        </w:trPr>
        <w:tc>
          <w:tcPr>
            <w:tcW w:w="8260" w:type="dxa"/>
            <w:vAlign w:val="bottom"/>
          </w:tcPr>
          <w:p>
            <w:pPr>
              <w:ind w:left="68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8,826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Income taxes payable /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(9,551)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0" w:type="dxa"/>
            <w:vAlign w:val="bottom"/>
          </w:tcPr>
          <w:p>
            <w:pPr>
              <w:spacing w:after="0"/>
              <w:rPr>
                <w:sz w:val="1"/>
                <w:szCs w:val="1"/>
                <w:color w:val="auto"/>
              </w:rPr>
            </w:pPr>
          </w:p>
        </w:tc>
      </w:tr>
      <w:tr>
        <w:trPr>
          <w:trHeight w:val="191"/>
        </w:trPr>
        <w:tc>
          <w:tcPr>
            <w:tcW w:w="8260" w:type="dxa"/>
            <w:vAlign w:val="bottom"/>
          </w:tcPr>
          <w:p>
            <w:pPr>
              <w:ind w:left="68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(372)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33,871</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49,967</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(45,000)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(35,546)</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 to purchase of Regulatory Compliance Associates Inc.</w:t>
            </w: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Other investing activities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2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(44,968)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(35,483)</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long-term borrowings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Payment on revolving credit facility</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(200,000)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(24,457)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(1,627)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39"/>
        </w:trPr>
        <w:tc>
          <w:tcPr>
            <w:tcW w:w="82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273,916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1,067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39"/>
        </w:trPr>
        <w:tc>
          <w:tcPr>
            <w:tcW w:w="82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including restricted cash</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263,886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14,522</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396,294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106,924</w:t>
            </w:r>
          </w:p>
        </w:tc>
        <w:tc>
          <w:tcPr>
            <w:tcW w:w="0" w:type="dxa"/>
            <w:vAlign w:val="bottom"/>
          </w:tcPr>
          <w:p>
            <w:pPr>
              <w:spacing w:after="0"/>
              <w:rPr>
                <w:sz w:val="1"/>
                <w:szCs w:val="1"/>
                <w:color w:val="auto"/>
              </w:rPr>
            </w:pPr>
          </w:p>
        </w:tc>
      </w:tr>
      <w:tr>
        <w:trPr>
          <w:trHeight w:val="39"/>
        </w:trPr>
        <w:tc>
          <w:tcPr>
            <w:tcW w:w="82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660,180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35,456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191"/>
        </w:trPr>
        <w:tc>
          <w:tcPr>
            <w:tcW w:w="826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14,014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13,505</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property, plant and equipment included in accounts payable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13,061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39"/>
        </w:trPr>
        <w:tc>
          <w:tcPr>
            <w:tcW w:w="8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940" w:type="dxa"/>
            <w:vAlign w:val="bottom"/>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1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Retained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39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5"/>
                <w:szCs w:val="5"/>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940" w:type="dxa"/>
            <w:vAlign w:val="bottom"/>
          </w:tcPr>
          <w:p>
            <w:pPr>
              <w:spacing w:after="0"/>
              <w:rPr>
                <w:sz w:val="5"/>
                <w:szCs w:val="5"/>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2"/>
              </w:rPr>
              <w:t>Common</w:t>
            </w:r>
          </w:p>
        </w:tc>
        <w:tc>
          <w:tcPr>
            <w:tcW w:w="180" w:type="dxa"/>
            <w:vAlign w:val="bottom"/>
          </w:tcPr>
          <w:p>
            <w:pPr>
              <w:spacing w:after="0"/>
              <w:rPr>
                <w:sz w:val="5"/>
                <w:szCs w:val="5"/>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Common</w:t>
            </w:r>
          </w:p>
        </w:tc>
        <w:tc>
          <w:tcPr>
            <w:tcW w:w="180" w:type="dxa"/>
            <w:vAlign w:val="bottom"/>
          </w:tcPr>
          <w:p>
            <w:pPr>
              <w:spacing w:after="0"/>
              <w:rPr>
                <w:sz w:val="5"/>
                <w:szCs w:val="5"/>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5"/>
              </w:rPr>
              <w:t>Treasury</w:t>
            </w: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(Accumulated</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(Loss) Income</w:t>
            </w:r>
          </w:p>
        </w:tc>
        <w:tc>
          <w:tcPr>
            <w:tcW w:w="200" w:type="dxa"/>
            <w:vAlign w:val="bottom"/>
          </w:tcPr>
          <w:p>
            <w:pPr>
              <w:spacing w:after="0"/>
              <w:rPr>
                <w:sz w:val="13"/>
                <w:szCs w:val="13"/>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3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282,985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1,172,593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(472,246)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586,096</w:t>
            </w: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4,513</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40" w:type="dxa"/>
            <w:vAlign w:val="bottom"/>
          </w:tcPr>
          <w:p>
            <w:pPr>
              <w:ind w:left="180"/>
              <w:spacing w:after="0"/>
              <w:rPr>
                <w:sz w:val="20"/>
                <w:szCs w:val="20"/>
                <w:color w:val="auto"/>
              </w:rPr>
            </w:pPr>
            <w:r>
              <w:rPr>
                <w:rFonts w:ascii="Arial" w:cs="Arial" w:eastAsia="Arial" w:hAnsi="Arial"/>
                <w:sz w:val="14"/>
                <w:szCs w:val="14"/>
                <w:color w:val="auto"/>
              </w:rPr>
              <w:t>Pension and post-retirement plan adjustments, net of tax</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14,975</w:t>
            </w:r>
          </w:p>
        </w:tc>
        <w:tc>
          <w:tcPr>
            <w:tcW w:w="0" w:type="dxa"/>
            <w:vAlign w:val="bottom"/>
          </w:tcPr>
          <w:p>
            <w:pPr>
              <w:spacing w:after="0"/>
              <w:rPr>
                <w:sz w:val="1"/>
                <w:szCs w:val="1"/>
                <w:color w:val="auto"/>
              </w:rPr>
            </w:pPr>
          </w:p>
        </w:tc>
      </w:tr>
      <w:tr>
        <w:trPr>
          <w:trHeight w:val="190"/>
        </w:trPr>
        <w:tc>
          <w:tcPr>
            <w:tcW w:w="394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6,179</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30,641</w:t>
            </w:r>
          </w:p>
        </w:tc>
        <w:tc>
          <w:tcPr>
            <w:tcW w:w="0" w:type="dxa"/>
            <w:vAlign w:val="bottom"/>
          </w:tcPr>
          <w:p>
            <w:pPr>
              <w:spacing w:after="0"/>
              <w:rPr>
                <w:sz w:val="1"/>
                <w:szCs w:val="1"/>
                <w:color w:val="auto"/>
              </w:rPr>
            </w:pPr>
          </w:p>
        </w:tc>
      </w:tr>
      <w:tr>
        <w:trPr>
          <w:trHeight w:val="217"/>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282,930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(33,536)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1,177,097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(441,605)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(62,686)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642,130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8"/>
        </w:trPr>
        <w:tc>
          <w:tcPr>
            <w:tcW w:w="394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18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24"/>
                <w:szCs w:val="2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Retained</w:t>
            </w:r>
          </w:p>
        </w:tc>
        <w:tc>
          <w:tcPr>
            <w:tcW w:w="1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94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6"/>
                <w:szCs w:val="6"/>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6"/>
                <w:szCs w:val="6"/>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7"/>
        </w:trPr>
        <w:tc>
          <w:tcPr>
            <w:tcW w:w="3940" w:type="dxa"/>
            <w:vAlign w:val="bottom"/>
          </w:tcPr>
          <w:p>
            <w:pPr>
              <w:spacing w:after="0"/>
              <w:rPr>
                <w:sz w:val="4"/>
                <w:szCs w:val="4"/>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2"/>
              </w:rPr>
              <w:t>Common</w:t>
            </w:r>
          </w:p>
        </w:tc>
        <w:tc>
          <w:tcPr>
            <w:tcW w:w="180" w:type="dxa"/>
            <w:vAlign w:val="bottom"/>
          </w:tcPr>
          <w:p>
            <w:pPr>
              <w:spacing w:after="0"/>
              <w:rPr>
                <w:sz w:val="4"/>
                <w:szCs w:val="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Common</w:t>
            </w:r>
          </w:p>
        </w:tc>
        <w:tc>
          <w:tcPr>
            <w:tcW w:w="180" w:type="dxa"/>
            <w:vAlign w:val="bottom"/>
          </w:tcPr>
          <w:p>
            <w:pPr>
              <w:spacing w:after="0"/>
              <w:rPr>
                <w:sz w:val="4"/>
                <w:szCs w:val="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5"/>
              </w:rPr>
              <w:t>Treasury</w:t>
            </w: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(Accumulated</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Comprehensive</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4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(Loss) Income</w:t>
            </w:r>
          </w:p>
        </w:tc>
        <w:tc>
          <w:tcPr>
            <w:tcW w:w="200" w:type="dxa"/>
            <w:vAlign w:val="bottom"/>
          </w:tcPr>
          <w:p>
            <w:pPr>
              <w:spacing w:after="0"/>
              <w:rPr>
                <w:sz w:val="12"/>
                <w:szCs w:val="12"/>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36"/>
        </w:trPr>
        <w:tc>
          <w:tcPr>
            <w:tcW w:w="3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282,421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(29,775)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1,189,622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(705,816)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(106,653)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350,238</w:t>
            </w: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6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6,090</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180"/>
              <w:spacing w:after="0"/>
              <w:rPr>
                <w:sz w:val="20"/>
                <w:szCs w:val="20"/>
                <w:color w:val="auto"/>
              </w:rPr>
            </w:pPr>
            <w:r>
              <w:rPr>
                <w:rFonts w:ascii="Arial" w:cs="Arial" w:eastAsia="Arial" w:hAnsi="Arial"/>
                <w:sz w:val="14"/>
                <w:szCs w:val="14"/>
                <w:color w:val="auto"/>
              </w:rPr>
              <w:t>Pension and post-retirement plan adjustments, net of tax</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11,257</w:t>
            </w:r>
          </w:p>
        </w:tc>
        <w:tc>
          <w:tcPr>
            <w:tcW w:w="0" w:type="dxa"/>
            <w:vAlign w:val="bottom"/>
          </w:tcPr>
          <w:p>
            <w:pPr>
              <w:spacing w:after="0"/>
              <w:rPr>
                <w:sz w:val="1"/>
                <w:szCs w:val="1"/>
                <w:color w:val="auto"/>
              </w:rPr>
            </w:pPr>
          </w:p>
        </w:tc>
      </w:tr>
      <w:tr>
        <w:trPr>
          <w:trHeight w:val="190"/>
        </w:trPr>
        <w:tc>
          <w:tcPr>
            <w:tcW w:w="394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(9,251)</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2,842</w:t>
            </w:r>
          </w:p>
        </w:tc>
        <w:tc>
          <w:tcPr>
            <w:tcW w:w="0" w:type="dxa"/>
            <w:vAlign w:val="bottom"/>
          </w:tcPr>
          <w:p>
            <w:pPr>
              <w:spacing w:after="0"/>
              <w:rPr>
                <w:sz w:val="1"/>
                <w:szCs w:val="1"/>
                <w:color w:val="auto"/>
              </w:rPr>
            </w:pPr>
          </w:p>
        </w:tc>
      </w:tr>
      <w:tr>
        <w:trPr>
          <w:trHeight w:val="217"/>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282,516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(29,420)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1,195,357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(702,974)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(104,698)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361,125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sterilization and lab testing and advisory services to the medical device and pharmaceutical industries with operations primarily in the Americas, Europe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operate and report in three segments, Sterigenics, Nordion and Nelson Labs. We describe our reportable segments in Note 17, “Segment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2020, we acquired a 60% equity ownership interest in a joint venture to construct an E-beam facility in Alberta, Canada in connection with our acquisition of Iotron Industries Canada, Inc. (“Iotron”). Our equity ownership interest in the joint venture was determined to be an investment in a variable interest entity (“VIE”). The investment was not consolidated as the Company concluded that it was not the primary beneficiary of the VIE. The Company accounted for the joint venture using the equity method.</w:t>
      </w:r>
    </w:p>
    <w:p>
      <w:pPr>
        <w:spacing w:after="0" w:line="18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During the year ended December 31, 2022, we identified certain events and circumstances that indicated a decline in value of our investment in this joint venture that was other-than-temporary. Consequently, in the second quarter of 2022, we wrote down the investment in the joint venture to its fair value of $0, resulting in an impairment charge of approximately $9.6 million. In February 2023, we entered into a Share Purchase Agreement to transfer our equity ownership interest to the joint venture partner, thereby terminating our equity ownership interest.</w:t>
      </w:r>
    </w:p>
    <w:p>
      <w:pPr>
        <w:spacing w:after="0" w:line="1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U.S. Generally Accepted Accounting Principles (“GAAP”),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Interim Financial Statements </w:t>
      </w:r>
      <w:r>
        <w:rPr>
          <w:rFonts w:ascii="Arial" w:cs="Arial" w:eastAsia="Arial" w:hAnsi="Arial"/>
          <w:sz w:val="16"/>
          <w:szCs w:val="16"/>
          <w:color w:val="auto"/>
        </w:rPr>
        <w:t>– The accompanying consolidated financial statements include the assets, liabilities, operating results, and cash flows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on Form 10-K for the year ended December 31, 2022.</w:t>
      </w:r>
    </w:p>
    <w:p>
      <w:pPr>
        <w:spacing w:after="0" w:line="26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Effective January 1, 2023, we adopted </w:t>
      </w:r>
      <w:r>
        <w:rPr>
          <w:rFonts w:ascii="Arial" w:cs="Arial" w:eastAsia="Arial" w:hAnsi="Arial"/>
          <w:sz w:val="18"/>
          <w:szCs w:val="18"/>
          <w:i w:val="1"/>
          <w:iCs w:val="1"/>
          <w:color w:val="auto"/>
        </w:rPr>
        <w:t>ASU 2021-08 - 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 The amendments in ASU 2021-08 require that an acquiring entity recognize and measure contract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liabilities acquired in a business combination in accordance with Accounting Standards Codification (“ASC”) Topic 606, Revenue from Contract with Customers (“ASC Topic 606”). At the acquisition date, an acquirer should account for the related revenue contracts in accordance with ASC Topic 606 as if it had originated the contracts. The adoption of this standard did not have a material impact on our consolidated financial statements and disclosures.</w:t>
      </w:r>
    </w:p>
    <w:p>
      <w:pPr>
        <w:spacing w:after="0" w:line="29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three months ended March 31, 2023 and 2022:</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 w:right="4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80" w:type="dxa"/>
            <w:vAlign w:val="bottom"/>
            <w:gridSpan w:val="2"/>
          </w:tcPr>
          <w:p>
            <w:pPr>
              <w:ind w:left="400"/>
              <w:spacing w:after="0"/>
              <w:rPr>
                <w:sz w:val="20"/>
                <w:szCs w:val="20"/>
                <w:color w:val="auto"/>
              </w:rPr>
            </w:pPr>
            <w:r>
              <w:rPr>
                <w:rFonts w:ascii="Arial" w:cs="Arial" w:eastAsia="Arial" w:hAnsi="Arial"/>
                <w:sz w:val="14"/>
                <w:szCs w:val="14"/>
                <w:b w:val="1"/>
                <w:bCs w:val="1"/>
                <w:color w:val="auto"/>
              </w:rPr>
              <w:t>Three Months Ended March 31, 2023</w:t>
            </w:r>
          </w:p>
        </w:tc>
        <w:tc>
          <w:tcPr>
            <w:tcW w:w="1480" w:type="dxa"/>
            <w:vAlign w:val="bottom"/>
          </w:tcPr>
          <w:p>
            <w:pPr>
              <w:spacing w:after="0"/>
              <w:rPr>
                <w:sz w:val="14"/>
                <w:szCs w:val="14"/>
                <w:color w:val="auto"/>
              </w:rPr>
            </w:pPr>
          </w:p>
        </w:tc>
      </w:tr>
      <w:tr>
        <w:trPr>
          <w:trHeight w:val="48"/>
        </w:trPr>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84"/>
        </w:trPr>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40" w:type="dxa"/>
            <w:vAlign w:val="bottom"/>
          </w:tcPr>
          <w:p>
            <w:pPr>
              <w:ind w:left="380"/>
              <w:spacing w:after="0"/>
              <w:rPr>
                <w:sz w:val="20"/>
                <w:szCs w:val="20"/>
                <w:color w:val="auto"/>
              </w:rPr>
            </w:pPr>
            <w:r>
              <w:rPr>
                <w:rFonts w:ascii="Arial" w:cs="Arial" w:eastAsia="Arial" w:hAnsi="Arial"/>
                <w:sz w:val="14"/>
                <w:szCs w:val="14"/>
                <w:b w:val="1"/>
                <w:bCs w:val="1"/>
                <w:color w:val="auto"/>
              </w:rPr>
              <w:t>Sterigenics</w:t>
            </w:r>
          </w:p>
        </w:tc>
        <w:tc>
          <w:tcPr>
            <w:tcW w:w="1500" w:type="dxa"/>
            <w:vAlign w:val="bottom"/>
          </w:tcPr>
          <w:p>
            <w:pPr>
              <w:ind w:left="540"/>
              <w:spacing w:after="0"/>
              <w:rPr>
                <w:sz w:val="20"/>
                <w:szCs w:val="20"/>
                <w:color w:val="auto"/>
              </w:rPr>
            </w:pPr>
            <w:r>
              <w:rPr>
                <w:rFonts w:ascii="Arial" w:cs="Arial" w:eastAsia="Arial" w:hAnsi="Arial"/>
                <w:sz w:val="14"/>
                <w:szCs w:val="14"/>
                <w:b w:val="1"/>
                <w:bCs w:val="1"/>
                <w:color w:val="auto"/>
              </w:rPr>
              <w:t>Nordion</w:t>
            </w:r>
          </w:p>
        </w:tc>
        <w:tc>
          <w:tcPr>
            <w:tcW w:w="1580" w:type="dxa"/>
            <w:vAlign w:val="bottom"/>
          </w:tcPr>
          <w:p>
            <w:pPr>
              <w:ind w:left="440"/>
              <w:spacing w:after="0"/>
              <w:rPr>
                <w:sz w:val="20"/>
                <w:szCs w:val="20"/>
                <w:color w:val="auto"/>
              </w:rPr>
            </w:pPr>
            <w:r>
              <w:rPr>
                <w:rFonts w:ascii="Arial" w:cs="Arial" w:eastAsia="Arial" w:hAnsi="Arial"/>
                <w:sz w:val="14"/>
                <w:szCs w:val="14"/>
                <w:b w:val="1"/>
                <w:bCs w:val="1"/>
                <w:color w:val="auto"/>
              </w:rPr>
              <w:t>Nelson Labs</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Consolidated</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167,585</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53,005</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52,042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220,590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2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Consolidated</w:t>
            </w: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182,747</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53,290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54,007</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149,462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53,290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March 31, 2023, and December 31, 2022, contract assets included in prepaid expenses and other current assets on the Consolidated Balance Sheets totaled approximately $18.7 million and $19.8 million, respectively, resulting from revenue recognized over time in excess of the amount billed to the customer.</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$15.2 million and $12.1 million at March 31, 2023 and December 31, 2022,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Regulatory Compliance Associates Inc.</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4, 2021, we acquired Regulatory Compliance Associates Inc. (“RCA”) for approximately $30.6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expands and further strengthens our technical consulting and expert advisory capabilities within our Nelson Labs segment.</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purchase price of RCA was allocated to the underlying assets acquired and liabilities assumed based upon management's estimated fair values at the date of acquisition. As of March 31, 2023, approximately $25.3 million of goodwill was recorded related to the RCA acquisition, representing the excess of the purchase price over the estimated fair values of all the assets acquired and liabilities assumed. We also recorded $6.4 million of finite-lived intangible assets, primarily related to customer relationships. We funded this acquisition using available cash. The acquisition price and the results of operations for this acquired entity are not material in relation to our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March 31,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46,852</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Inventories, net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46,736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3"/>
          </w:tcPr>
          <w:p>
            <w:pPr>
              <w:spacing w:after="0"/>
              <w:rPr>
                <w:sz w:val="20"/>
                <w:szCs w:val="20"/>
                <w:color w:val="auto"/>
              </w:rPr>
            </w:pPr>
            <w:r>
              <w:rPr>
                <w:rFonts w:ascii="Arial" w:cs="Arial" w:eastAsia="Arial" w:hAnsi="Arial"/>
                <w:sz w:val="18"/>
                <w:szCs w:val="18"/>
                <w:color w:val="auto"/>
                <w:w w:val="94"/>
              </w:rPr>
              <w:t>Prepaid expenses and other current assets consisted of the following:</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March 31,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522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26,426</w:t>
            </w: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Customer contract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18,736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Value added tax receivable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Stock supplies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Embedded 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Interest receivable - interest rate cap settlement</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11,873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87,303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80,995</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Arial" w:cs="Arial" w:eastAsia="Arial" w:hAnsi="Arial"/>
                <w:sz w:val="18"/>
                <w:szCs w:val="18"/>
                <w:color w:val="auto"/>
                <w:w w:val="99"/>
              </w:rPr>
              <w:t>Changes to goodwill during the three months ended March 31, 2023 were as follows: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24"/>
                <w:szCs w:val="24"/>
                <w:color w:val="auto"/>
              </w:rPr>
            </w:pPr>
          </w:p>
        </w:tc>
        <w:tc>
          <w:tcPr>
            <w:tcW w:w="11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Nordion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Nelson Labs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Goodwill at December 31, 2022</w:t>
            </w: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657,458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270,966</w:t>
            </w:r>
          </w:p>
        </w:tc>
        <w:tc>
          <w:tcPr>
            <w:tcW w:w="3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173,344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1,101,768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Goodwill at March 31, 2023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658,281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271,257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173,882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8"/>
                <w:szCs w:val="18"/>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2023</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300" w:type="dxa"/>
            <w:vAlign w:val="bottom"/>
            <w:tcBorders>
              <w:top w:val="single" w:sz="8" w:color="auto"/>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7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654,918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438,612</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53,365</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832</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204,612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96,187</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2,202</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961,991</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592,944</w:t>
            </w: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77,061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25,752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102,813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1,064,804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592,944</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75"/>
        </w:trPr>
        <w:tc>
          <w:tcPr>
            <w:tcW w:w="20" w:type="dxa"/>
            <w:vAlign w:val="bottom"/>
          </w:tcPr>
          <w:p>
            <w:pPr>
              <w:spacing w:after="0"/>
              <w:rPr>
                <w:sz w:val="15"/>
                <w:szCs w:val="15"/>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48"/>
        </w:trPr>
        <w:tc>
          <w:tcPr>
            <w:tcW w:w="20" w:type="dxa"/>
            <w:vAlign w:val="bottom"/>
            <w:tcBorders>
              <w:bottom w:val="single" w:sz="8" w:color="CCEEFF"/>
            </w:tcBorders>
          </w:tcPr>
          <w:p>
            <w:pPr>
              <w:spacing w:after="0"/>
              <w:rPr>
                <w:sz w:val="4"/>
                <w:szCs w:val="4"/>
                <w:color w:val="auto"/>
              </w:rPr>
            </w:pPr>
          </w:p>
        </w:tc>
        <w:tc>
          <w:tcPr>
            <w:tcW w:w="1300" w:type="dxa"/>
            <w:vAlign w:val="bottom"/>
            <w:tcBorders>
              <w:top w:val="single" w:sz="8" w:color="auto"/>
              <w:bottom w:val="single" w:sz="8" w:color="CCEEFF"/>
            </w:tcBorders>
          </w:tcPr>
          <w:p>
            <w:pPr>
              <w:spacing w:after="0"/>
              <w:rPr>
                <w:sz w:val="4"/>
                <w:szCs w:val="4"/>
                <w:color w:val="auto"/>
              </w:rPr>
            </w:pPr>
          </w:p>
        </w:tc>
        <w:tc>
          <w:tcPr>
            <w:tcW w:w="220" w:type="dxa"/>
            <w:vAlign w:val="bottom"/>
            <w:tcBorders>
              <w:top w:val="single" w:sz="8" w:color="auto"/>
              <w:bottom w:val="single" w:sz="8" w:color="CCEEFF"/>
            </w:tcBorders>
          </w:tcPr>
          <w:p>
            <w:pPr>
              <w:spacing w:after="0"/>
              <w:rPr>
                <w:sz w:val="4"/>
                <w:szCs w:val="4"/>
                <w:color w:val="auto"/>
              </w:rPr>
            </w:pPr>
          </w:p>
        </w:tc>
        <w:tc>
          <w:tcPr>
            <w:tcW w:w="67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652,811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422,277</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50,952</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204,391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93,034</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959,264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570,626</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gridSpan w:val="2"/>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102,627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1,061,891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570,626</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line="257" w:lineRule="auto"/>
        <w:tabs>
          <w:tab w:leader="none" w:pos="335"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10-year license period, as Nordion has demonstrated over its 75 years of history.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Amortization expense for other intangible assets was $20.6 million ($4.4 million is included in “Cost of revenues” and $16.2 million in “Amortization of intangible assets”) in the Consolidated Statements of Operations and Comprehensive Income and $20.2 million ($4.3 million is included in “Cost of revenues” and $15.9 million in “Amortization of intangible assets”) in the Consolidated Statements of Operations and Comprehensive Income for the three months ended March 31,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 the remainder of 2023</w:t>
            </w: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60,084</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79,986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42,584</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369,047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w w:val="95"/>
              </w:rPr>
              <w:t>The weighted-average remaining useful life of the finite-lived intangible assets was approximately 9 years as of March 31, 2023.</w:t>
            </w: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968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8.  Accrued Liabilities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color w:val="auto"/>
              </w:rPr>
              <w:t>Accrued liabilities consisted of the following:</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20"/>
                <w:szCs w:val="20"/>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4400" w:type="dxa"/>
            <w:vAlign w:val="bottom"/>
            <w:tcBorders>
              <w:bottom w:val="single" w:sz="8" w:color="CCEEFF"/>
            </w:tcBorders>
            <w:gridSpan w:val="2"/>
          </w:tcPr>
          <w:p>
            <w:pPr>
              <w:spacing w:after="0"/>
              <w:rPr>
                <w:sz w:val="3"/>
                <w:szCs w:val="3"/>
                <w:color w:val="auto"/>
              </w:rPr>
            </w:pPr>
          </w:p>
        </w:tc>
        <w:tc>
          <w:tcPr>
            <w:tcW w:w="3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Illinois EO litigation settlement reserve</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408,000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legal reserves</w:t>
            </w: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Accrued interest expense</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27,714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Embedded derivatives</w:t>
            </w: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utilities</w:t>
            </w: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Insurance accrual</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taxes</w:t>
            </w: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gridSpan w:val="2"/>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496,791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84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14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2023</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Issuance Costs</w:t>
            </w:r>
          </w:p>
        </w:tc>
        <w:tc>
          <w:tcPr>
            <w:tcW w:w="14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Discount</w:t>
            </w:r>
          </w:p>
        </w:tc>
        <w:tc>
          <w:tcPr>
            <w:tcW w:w="260" w:type="dxa"/>
            <w:vAlign w:val="bottom"/>
          </w:tcPr>
          <w:p>
            <w:pPr>
              <w:spacing w:after="0"/>
              <w:rPr>
                <w:sz w:val="16"/>
                <w:szCs w:val="16"/>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(12,872)</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1,748,221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Term loan B, due 2026</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(7,700)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(14,605)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477,695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2,263,550</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(9,709)</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(27,477)</w:t>
            </w: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2,226,364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2,259,350</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(9,649)</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(27,368)</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2,222,333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1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Issuance Costs</w:t>
            </w:r>
          </w:p>
        </w:tc>
        <w:tc>
          <w:tcPr>
            <w:tcW w:w="14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Discount</w:t>
            </w:r>
          </w:p>
        </w:tc>
        <w:tc>
          <w:tcPr>
            <w:tcW w:w="260" w:type="dxa"/>
            <w:vAlign w:val="bottom"/>
          </w:tcPr>
          <w:p>
            <w:pPr>
              <w:spacing w:after="0"/>
              <w:rPr>
                <w:sz w:val="17"/>
                <w:szCs w:val="17"/>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464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1,763,100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1,747,115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1,963,550</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(13,845)</w:t>
            </w: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200,450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197,119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1,763,100</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(13,845)</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December 13, 2019, Sotera Health Holdings, LLC (“SHH”), our wholly-owned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March 31, 2023 and December 31, 2022, total borrowings under the Term Loan were $1,763.1 million. The weighted average interest rate on borrowings under the Term Loan for the three months ended March 31, 2023 and March 31, 2022 was 7.44% and 3.25%, respectively.</w:t>
      </w:r>
    </w:p>
    <w:p>
      <w:pPr>
        <w:spacing w:after="0" w:line="19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the Term Secured Overnight Financing Rate (“Term SOFR”)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this debt to fund a previously announced $408.0 million EO litigation settlement in Cook County, Illinois and pay down the $200.0 million of existing borrowings under the Revolving Credit Facility concurrent with the funding of this loan on February 23, 2023. In addition, the Company plans to use the remaining proceeds to further enhance liquidity and for general corporate purposes. The weighted average interest rate on borrowings under the 2023 Term Loan for the three months ended March 31, 2023 was 8.82%.</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March 21, 2023, the Company entered into an Incremental Facility Amendment to the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SOFR plus an applicable credit spread adjustment of 0.10% (subject to a minimum floor of 0.00%). After giving effect to the Revolving Credit Facility Amendment, the aggregate amount of the Lenders' Revolving Commitments is $423.8 million. The maturity date of the Revolving Credit Facility remains June 13, 2026. The Company borrowed $200.0 million under the Revolving Credit Facility during the fourth quarter of 2022, which was repaid in the first quarter of 2023, as noted above. As of March 31, 2023 there were no borrowings outstanding under the Revolving Credit Facility. The weighted average interest rate on outstanding borrowings under the Revolving Credit Facility for the three months ended March 31, 2023 was 7.47%.</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for payment in an aggregate amount in excess of $100.0 million, which judgment or judgments are not stayed or remain undischarged for a period of sixty consecutive days or if, in order to enforce such a judgment, a judgment creditor attached or levied upon assets that are material to the business and operations, taken as a whole, of the Company and certain of its subsidiaries. As of March 31, 2023, we were in compliance with all of the Senior Secured Credit Facilities and 2023 Credit Agreement covenants.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spacing w:after="0" w:line="19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March 31, 2023, the Company had $65.1 million of letters of credit issued against the Revolving Credit Facility, resulting in total availability under the Revolving Credit Facility of $358.7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 xml:space="preserve">The Company utilizes interest rate derivatives to eliminate the variability of cash flows in the interest payments associated with our variable rate debt due to changes in LIBOR and Term SOFR. For additional information on the derivative instruments described above, refer to Note 16, “Financial Instruments and Financial Risk”, </w:t>
      </w:r>
      <w:r>
        <w:rPr>
          <w:rFonts w:ascii="Arial" w:cs="Arial" w:eastAsia="Arial" w:hAnsi="Arial"/>
          <w:sz w:val="18"/>
          <w:szCs w:val="18"/>
          <w:i w:val="1"/>
          <w:iCs w:val="1"/>
          <w:color w:val="auto"/>
        </w:rPr>
        <w:t>“Derivatives Instruments.”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Publication of all U.S. LIBOR tenors will cease after June 30, 2023. The most likely replacement benchmark is expected to be the SOFR, which has been recommended by financial regulators in the United States. We have identified our LIBOR-based exposure in our debt and outstanding interest rate derivative agreements and have addressed the LIBOR transition for those contracts. In accordance with ASC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we have elected to apply certain optional expedients for contract modifications and hedging relationships for derivative instruments impacted by the benchmark interest rate transition. The optional expedients remove the requirement to remeasure contract modifications or dedesignate hedging relationships impacted by reference rate reform.</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March 31, 2023,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2,950</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2,250,600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effective tax rate was 47.4 % and 32.3% for the three months ended March 31, 2023 and 2022, respectively. Income tax expense for the three months ended March 31, 2023 differed from the statutory rate primarily due to a net increase in the valuation allowance attributable to the limitation on the deductibility of interest expense, the impact of the foreign rate differential, and non-deductible compensation. Income tax expense for the three months ended March 31, 2022 differed from the statutory rate primarily due to a net increase in the valuation allowance attributable to the limitation on the deductibility of interest expense, the impact of the foreign rate differential, and global intangible low-tax income (“GILTI”).</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defined benefit pension plan disclosure relates to Nordion. Certain immaterial foreign defined benefit pension plans have been excluded from the table below. The interest cost, expected return on plan assets, and amortization of net actuarial loss are recorded net in “Other income, net” and the service cost component is included in the same financial statement line item as the applicable employee’s wages in the Consolidated Statements of Operations and Comprehensive Income. The components of net periodic pension cost for the defined benefit plans for the three months ended March 31, 2023 and 2022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18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4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4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4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Net periodic benefit</w:t>
            </w:r>
          </w:p>
        </w:tc>
        <w:tc>
          <w:tcPr>
            <w:tcW w:w="44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0" w:type="dxa"/>
            <w:vAlign w:val="bottom"/>
            <w:vMerge w:val="restart"/>
          </w:tcPr>
          <w:p>
            <w:pPr>
              <w:jc w:val="right"/>
              <w:ind w:right="247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4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but one, non-pension post-employment benefit plans are unfunded. The components of net periodic benefit cost for the other benefit plans for the three months ended March 31, 2023 and 2022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60" w:type="dxa"/>
            <w:vAlign w:val="bottom"/>
          </w:tcPr>
          <w:p>
            <w:pPr>
              <w:spacing w:after="0"/>
              <w:rPr>
                <w:sz w:val="18"/>
                <w:szCs w:val="18"/>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gain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20" w:type="dxa"/>
            <w:vAlign w:val="bottom"/>
          </w:tcPr>
          <w:p>
            <w:pPr>
              <w:spacing w:after="0"/>
              <w:rPr>
                <w:sz w:val="22"/>
                <w:szCs w:val="22"/>
                <w:color w:val="auto"/>
              </w:rPr>
            </w:pP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Net periodic benefit cost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$0.3 million in each of the next five years to fund the regulatory solvency deficit, as defined by Canadian federal regulation, which requires solvency testing on defined benefit pension plans.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March 31, 2023, and December 31, 2022, we had letters of credit outstanding relating to the defined benefit plans totaling $43.5 million and $44.1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applicable tax,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b w:val="1"/>
                <w:bCs w:val="1"/>
                <w:color w:val="auto"/>
                <w:w w:val="91"/>
              </w:rPr>
              <w:t>Defined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00" w:type="dxa"/>
            <w:vAlign w:val="bottom"/>
          </w:tcPr>
          <w:p>
            <w:pPr>
              <w:spacing w:after="0"/>
              <w:rPr>
                <w:sz w:val="16"/>
                <w:szCs w:val="16"/>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Interest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Benefit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00" w:type="dxa"/>
            <w:vAlign w:val="bottom"/>
          </w:tcPr>
          <w:p>
            <w:pPr>
              <w:spacing w:after="0"/>
              <w:rPr>
                <w:sz w:val="16"/>
                <w:szCs w:val="16"/>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7"/>
              </w:rPr>
              <w:t>Rate</w:t>
            </w: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5"/>
                <w:szCs w:val="15"/>
                <w:color w:val="auto"/>
              </w:rPr>
            </w:pPr>
          </w:p>
        </w:tc>
        <w:tc>
          <w:tcPr>
            <w:tcW w:w="1060" w:type="dxa"/>
            <w:vAlign w:val="bottom"/>
          </w:tcPr>
          <w:p>
            <w:pPr>
              <w:jc w:val="center"/>
              <w:ind w:right="172"/>
              <w:spacing w:after="0" w:line="176" w:lineRule="exact"/>
              <w:rPr>
                <w:sz w:val="20"/>
                <w:szCs w:val="20"/>
                <w:color w:val="auto"/>
              </w:rPr>
            </w:pPr>
            <w:r>
              <w:rPr>
                <w:rFonts w:ascii="Arial" w:cs="Arial" w:eastAsia="Arial" w:hAnsi="Arial"/>
                <w:sz w:val="16"/>
                <w:szCs w:val="16"/>
                <w:b w:val="1"/>
                <w:bCs w:val="1"/>
                <w:color w:val="auto"/>
                <w:w w:val="84"/>
              </w:rPr>
              <w:t>Plans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15"/>
                <w:szCs w:val="15"/>
                <w:color w:val="auto"/>
              </w:rPr>
            </w:pPr>
          </w:p>
        </w:tc>
        <w:tc>
          <w:tcPr>
            <w:tcW w:w="1460" w:type="dxa"/>
            <w:vAlign w:val="bottom"/>
            <w:gridSpan w:val="2"/>
          </w:tcPr>
          <w:p>
            <w:pPr>
              <w:jc w:val="center"/>
              <w:ind w:right="520"/>
              <w:spacing w:after="0" w:line="176" w:lineRule="exact"/>
              <w:rPr>
                <w:sz w:val="20"/>
                <w:szCs w:val="20"/>
                <w:color w:val="auto"/>
              </w:rPr>
            </w:pPr>
            <w:r>
              <w:rPr>
                <w:rFonts w:ascii="Arial" w:cs="Arial" w:eastAsia="Arial" w:hAnsi="Arial"/>
                <w:sz w:val="16"/>
                <w:szCs w:val="16"/>
                <w:b w:val="1"/>
                <w:bCs w:val="1"/>
                <w:color w:val="auto"/>
                <w:w w:val="91"/>
              </w:rPr>
              <w:t>Derivatives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6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3,209</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11,257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restart"/>
          </w:tcPr>
          <w:p>
            <w:pPr>
              <w:ind w:left="580"/>
              <w:spacing w:after="0"/>
              <w:rPr>
                <w:sz w:val="20"/>
                <w:szCs w:val="20"/>
                <w:color w:val="auto"/>
              </w:rPr>
            </w:pPr>
            <w:r>
              <w:rPr>
                <w:rFonts w:ascii="Arial" w:cs="Arial" w:eastAsia="Arial" w:hAnsi="Arial"/>
                <w:sz w:val="18"/>
                <w:szCs w:val="18"/>
                <w:b w:val="1"/>
                <w:bCs w:val="1"/>
                <w:color w:val="auto"/>
                <w:w w:val="94"/>
              </w:rPr>
              <w:t>(2,493)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(6,758) </w:t>
            </w:r>
            <w:r>
              <w:rPr>
                <w:rFonts w:ascii="Arial" w:cs="Arial" w:eastAsia="Arial" w:hAnsi="Arial"/>
                <w:sz w:val="11"/>
                <w:szCs w:val="11"/>
                <w:color w:val="auto"/>
              </w:rPr>
              <w:t>(b)</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(6,802)</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vMerge w:val="continue"/>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81"/>
              </w:rPr>
              <w:t>(a)</w:t>
            </w:r>
          </w:p>
        </w:tc>
        <w:tc>
          <w:tcPr>
            <w:tcW w:w="1220" w:type="dxa"/>
            <w:vAlign w:val="bottom"/>
            <w:tcBorders>
              <w:bottom w:val="single" w:sz="8" w:color="CCEEFF"/>
            </w:tcBorders>
            <w:gridSpan w:val="2"/>
            <w:vMerge w:val="continue"/>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11,257</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94"/>
              </w:rPr>
              <w:t>(9,251)</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March 31, 2023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3,158</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(119,948)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12,092</w:t>
            </w: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(104,698)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(17,581)</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81"/>
              </w:rPr>
              <w:t>(a)</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14,975</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March 31, 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right="240" w:hanging="492"/>
        <w:spacing w:after="0" w:line="277" w:lineRule="auto"/>
        <w:tabs>
          <w:tab w:leader="none" w:pos="4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income, net” within the Consolidated Statements of Operations and Comprehensive Income.</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right="500" w:hanging="492"/>
        <w:spacing w:after="0" w:line="277"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interest rate derivatives, amounts reclassified from accumulated other comprehensive income (loss) are recorded to “Interest expense, net” within the Consolidated Statements of Operations and Comprehensive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the five-year vesting period (20% per year) beginning on the original vesting commencement date of the corresponding Class B-1 time vesting units, subject to the grantee’s continued services through each vesting date. Upon the occurrence of a change in control of the Company, all then-outstanding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wholly-owned subsidiary prior to the IPO) and (ii) the Sponsors’ internal rate of return exceeds twenty percent,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Stock-based compensation expense attributed to the pre-IPO Class B-2 awards was recorded in the fourth quarter of 2020, as the related performance conditions were considered probable of achievement and the implied service conditions were met. As of March 31, 2023, these awards remain unvested.</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recognized $0.5 million and $0.6 million of share-based compensation expense related to the pre-IPO Class B-1 awards for the three months ended March 31, 2023 and 2022, respectively.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summary of the activity for the three months ended March 31, 2023 related to the restricted stock awards distributed in respect of the pre-IPO awards (Class B-1 and B-2 Units) is presented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3140" w:type="dxa"/>
            <w:vAlign w:val="bottom"/>
            <w:gridSpan w:val="3"/>
          </w:tcPr>
          <w:p>
            <w:pPr>
              <w:jc w:val="right"/>
              <w:ind w:right="936"/>
              <w:spacing w:after="0"/>
              <w:rPr>
                <w:sz w:val="20"/>
                <w:szCs w:val="20"/>
                <w:color w:val="auto"/>
              </w:rPr>
            </w:pPr>
            <w:r>
              <w:rPr>
                <w:rFonts w:ascii="Arial" w:cs="Arial" w:eastAsia="Arial" w:hAnsi="Arial"/>
                <w:sz w:val="14"/>
                <w:szCs w:val="14"/>
                <w:b w:val="1"/>
                <w:bCs w:val="1"/>
                <w:color w:val="auto"/>
              </w:rPr>
              <w:t>Number of shares</w:t>
            </w:r>
          </w:p>
        </w:tc>
      </w:tr>
      <w:tr>
        <w:trPr>
          <w:trHeight w:val="39"/>
        </w:trPr>
        <w:tc>
          <w:tcPr>
            <w:tcW w:w="8100" w:type="dxa"/>
            <w:vAlign w:val="bottom"/>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73"/>
        </w:trPr>
        <w:tc>
          <w:tcPr>
            <w:tcW w:w="8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 Stock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5"/>
              </w:rPr>
              <w:t>Restricted Stock - Pre-</w:t>
            </w:r>
          </w:p>
        </w:tc>
      </w:tr>
      <w:tr>
        <w:trPr>
          <w:trHeight w:val="186"/>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Pre-IPO B-1</w:t>
            </w:r>
          </w:p>
        </w:tc>
        <w:tc>
          <w:tcPr>
            <w:tcW w:w="1520" w:type="dxa"/>
            <w:vAlign w:val="bottom"/>
          </w:tcPr>
          <w:p>
            <w:pPr>
              <w:jc w:val="right"/>
              <w:ind w:right="416"/>
              <w:spacing w:after="0"/>
              <w:rPr>
                <w:sz w:val="20"/>
                <w:szCs w:val="20"/>
                <w:color w:val="auto"/>
              </w:rPr>
            </w:pPr>
            <w:r>
              <w:rPr>
                <w:rFonts w:ascii="Arial" w:cs="Arial" w:eastAsia="Arial" w:hAnsi="Arial"/>
                <w:sz w:val="14"/>
                <w:szCs w:val="14"/>
                <w:b w:val="1"/>
                <w:bCs w:val="1"/>
                <w:color w:val="auto"/>
              </w:rPr>
              <w:t>IPO B-2</w:t>
            </w:r>
          </w:p>
        </w:tc>
      </w:tr>
      <w:tr>
        <w:trPr>
          <w:trHeight w:val="39"/>
        </w:trPr>
        <w:tc>
          <w:tcPr>
            <w:tcW w:w="8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716,091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1,098,415</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(19,127)</w:t>
            </w:r>
          </w:p>
        </w:tc>
      </w:tr>
      <w:tr>
        <w:trPr>
          <w:trHeight w:val="27"/>
        </w:trPr>
        <w:tc>
          <w:tcPr>
            <w:tcW w:w="8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(86,051)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Unvested at March 31, 2023</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624,662</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1,079,288</w:t>
            </w: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recognized $6.8 million ($3.1 million for stock options and $3.7 million for RSUs) and $3.9 million ($1.5 million for stock options and $2.4 million for RSUs) of share-based compensation expense for these awards in our Consolidated Statements of Operations and Comprehensive Income, in “Selling, general and administrative expenses,” for the three months ended March 31, 2023 and 2022, respectively.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5"/>
                <w:szCs w:val="15"/>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00"/>
        </w:trPr>
        <w:tc>
          <w:tcPr>
            <w:tcW w:w="82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7"/>
                <w:szCs w:val="17"/>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stock options at December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5,990,470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1,044,595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stock options at March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7,014,740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there were 1.4 million vested and exercisable stock options.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our market price on the date of grant. The following table summarizes our unvested RSUs activity: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8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average Grant</w:t>
            </w:r>
          </w:p>
        </w:tc>
      </w:t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Date Fair</w:t>
            </w:r>
          </w:p>
        </w:tc>
      </w:tr>
      <w:tr>
        <w:trPr>
          <w:trHeight w:val="200"/>
        </w:trPr>
        <w:tc>
          <w:tcPr>
            <w:tcW w:w="82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7"/>
                <w:szCs w:val="17"/>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r>
      <w:tr>
        <w:trPr>
          <w:trHeight w:val="39"/>
        </w:trPr>
        <w:tc>
          <w:tcPr>
            <w:tcW w:w="82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2,482,435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664,433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17.59</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(189,941)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March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2,914,652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w:t>
      </w:r>
    </w:p>
    <w:p>
      <w:pPr>
        <w:spacing w:after="0" w:line="1" w:lineRule="exact"/>
        <w:rPr>
          <w:sz w:val="20"/>
          <w:szCs w:val="20"/>
          <w:color w:val="auto"/>
        </w:rPr>
      </w:pPr>
    </w:p>
    <w:p>
      <w:pPr>
        <w:ind w:right="3480" w:firstLine="8"/>
        <w:spacing w:after="0" w:line="511"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two-class method, or (b) treasury stock method, as applicable, to the potentially dilutive instruments. Our basic and diluted earnings per common share are calculated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r>
      <w:tr>
        <w:trPr>
          <w:trHeight w:val="219"/>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r>
      <w:tr>
        <w:trPr>
          <w:trHeight w:val="158"/>
        </w:trPr>
        <w:tc>
          <w:tcPr>
            <w:tcW w:w="20" w:type="dxa"/>
            <w:vAlign w:val="bottom"/>
          </w:tcPr>
          <w:p>
            <w:pPr>
              <w:spacing w:after="0"/>
              <w:rPr>
                <w:sz w:val="13"/>
                <w:szCs w:val="13"/>
                <w:color w:val="auto"/>
              </w:rPr>
            </w:pPr>
          </w:p>
        </w:tc>
        <w:tc>
          <w:tcPr>
            <w:tcW w:w="82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260" w:type="dxa"/>
            <w:vAlign w:val="bottom"/>
          </w:tcPr>
          <w:p>
            <w:pPr>
              <w:spacing w:after="0"/>
              <w:rPr>
                <w:sz w:val="13"/>
                <w:szCs w:val="13"/>
                <w:color w:val="auto"/>
              </w:rPr>
            </w:pPr>
          </w:p>
        </w:tc>
        <w:tc>
          <w:tcPr>
            <w:tcW w:w="116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4340" w:type="dxa"/>
            <w:vAlign w:val="bottom"/>
            <w:tcBorders>
              <w:top w:val="single" w:sz="8" w:color="auto"/>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30,641</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Allocation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7"/>
        </w:trPr>
        <w:tc>
          <w:tcPr>
            <w:tcW w:w="20" w:type="dxa"/>
            <w:vAlign w:val="bottom"/>
          </w:tcPr>
          <w:p>
            <w:pPr>
              <w:spacing w:after="0"/>
              <w:rPr>
                <w:sz w:val="20"/>
                <w:szCs w:val="20"/>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Net income attributable to Sotera Health Company common shareholders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30,303</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280,691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279,829</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10"/>
        </w:trPr>
        <w:tc>
          <w:tcPr>
            <w:tcW w:w="20" w:type="dxa"/>
            <w:vAlign w:val="bottom"/>
            <w:tcBorders>
              <w:bottom w:val="single" w:sz="8" w:color="CCEEFF"/>
            </w:tcBorders>
            <w:shd w:val="clear" w:color="auto" w:fill="CCEEFF"/>
          </w:tcPr>
          <w:p>
            <w:pPr>
              <w:spacing w:after="0"/>
              <w:rPr>
                <w:sz w:val="24"/>
                <w:szCs w:val="24"/>
                <w:color w:val="auto"/>
              </w:rPr>
            </w:pPr>
          </w:p>
        </w:tc>
        <w:tc>
          <w:tcPr>
            <w:tcW w:w="8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Dilutive effect of potential common shares</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20" w:type="dxa"/>
            <w:vAlign w:val="bottom"/>
          </w:tcPr>
          <w:p>
            <w:pPr>
              <w:spacing w:after="0"/>
              <w:rPr>
                <w:sz w:val="24"/>
                <w:szCs w:val="24"/>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282,977</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279,908</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Net income attributable to Sotera Health Company common shareholders - basic</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attributable to Sotera Health Company common shareholders - diluted</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2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does not consider the following potential common shares as the effect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940" w:type="dxa"/>
            <w:vAlign w:val="bottom"/>
            <w:gridSpan w:val="3"/>
          </w:tcPr>
          <w:p>
            <w:pPr>
              <w:jc w:val="right"/>
              <w:ind w:right="737"/>
              <w:spacing w:after="0"/>
              <w:rPr>
                <w:sz w:val="20"/>
                <w:szCs w:val="20"/>
                <w:color w:val="auto"/>
              </w:rPr>
            </w:pPr>
            <w:r>
              <w:rPr>
                <w:rFonts w:ascii="Arial" w:cs="Arial" w:eastAsia="Arial" w:hAnsi="Arial"/>
                <w:sz w:val="14"/>
                <w:szCs w:val="14"/>
                <w:b w:val="1"/>
                <w:bCs w:val="1"/>
                <w:color w:val="auto"/>
              </w:rPr>
              <w:t>Three Months Ended</w:t>
            </w: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jc w:val="right"/>
              <w:ind w:right="317"/>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2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share amounts</w:t>
            </w:r>
          </w:p>
        </w:tc>
        <w:tc>
          <w:tcPr>
            <w:tcW w:w="1420" w:type="dxa"/>
            <w:vAlign w:val="bottom"/>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4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43"/>
        </w:trPr>
        <w:tc>
          <w:tcPr>
            <w:tcW w:w="20" w:type="dxa"/>
            <w:vAlign w:val="bottom"/>
          </w:tcPr>
          <w:p>
            <w:pPr>
              <w:spacing w:after="0"/>
              <w:rPr>
                <w:sz w:val="21"/>
                <w:szCs w:val="21"/>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RSUs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anti-dilutive securities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4,062</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both probable and reasonably estimable. Except for the accrual for the Ethylene Oxide Tort Litigation settlement in Illinois discussed below, no material amounts have been accrued in our consolidated financial statements with respect to any loss contingencies as of March 31, 2023. If a potentially material loss contingency is not probable, but is reasonably possible, or is probable but cannot be estimated, then the nature of the contingent liability, together with an estimate of the range of possible loss if determinable and material, would be disclosed.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results of operations or liquidity. Despite the above, the Company may incur material defense and settlement costs, diversion of management resources and other adverse effects on our business,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Ethylene Oxide Tort Litigation</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Sterigenics U.S., LLC and other medical supply sterilization companies have been subjected to personal injury and related tort lawsuits alleging various injuries caused by low-level environmental exposure to EO emissions from sterilization facilities. Those lawsuits, as detailed further below, are individual claims, as opposed to class 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Approximately 850 plaintiffs have filed lawsuits, and approximately 25 individuals have threatened to file lawsuits, against subsidiaries of the Company and other parties, alleging personal injuries including cancer and other diseases, or wrongful death,</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resulting from purported emissions and releases of EO from Sterigenics’ former Willowbrook facility. Additional derivative claims are alleged on behalf of relatives of some of these personal injury plaintiffs. Each plaintiff seeks damages in an amount to be determined by the trier of fact. The lawsuits were consolidated for pre-trial purposes by the Cook County Circuit Court, Illinois (the “Consolidated Case”). Jury trials were conducted during 2022 in two of the individual cases included in the Consolidated Case, and twelve individual cases were scheduled for trials in 2023. The first trial began on August 12, 2022, and on September 19, 2022, the jury rendered a verdict in favor of the plaintiff and awarded damages in the amount of $358.7 million, including $36.1 million of compensatory damages, $320.0 million of punitive damages and $2.6 million of prejudgment interest against Sterigenics U.S., LLC and Sotera Health, LLC (the “Defendant Subsidiaries”). Post-judgment interest accrues on the compensatory and punitive damages awards from September 20, 2022, the date of the judgment order. The Defendant Subsidiaries filed a Motion for Post Trial Relief, which was denied on December 19, 2022. On January 9, 2023 the Defendant Subsidiaries filed a Notice of Appeal to the First District Appellate Court in Illinois, appealing the September 20, 2022 adverse judgment. The deadline for posting an appellate bond or providing an alternate form of security for the appeal was extended to February 8, 2023. The second individual trial began on October 6, 2022, and on November 18, 2022 the jury returned a defense verdict on all counts. On January 4, 2023, the plaintiff in the second trial filed a motion for post-trial relief seeking an order reversing and/or vacating the verdict, granting a new trial, and/or entering judgment in the plaintiff’s favor notwithstanding the verdict.</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1, 2022 certain plaintiffs in the Consolidated Case filed a lawsuit in the Circuit Court of Cook County, Illinois against the Company and certain affiliates, subsidiaries and current and former officers, alleging that certain transfers of assets occurring after December 2016 were intended to make assets unavailable to satisfy judgments the plaintiffs might win in future trials in their individual personal injury cases included in the Consolidated Case (the “Asset Transfer Case”). On November 10, 2022, the Asset Transfer Case was removed to the United States District Court for the Northern District of Illinois and all defendants filed answers and affirmative defenses.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9, 2023, the Defendant Subsidiaries (the “Settling Defendants”) entered into binding term sheets (the “Term Sheets”) with the “Plaintiffs’ Executive Committee” (the “PEC”) appointed to act on behalf of the more than 20 law firms (“Plaintiffs’ Counsel”) representing the plaintiffs in the Consolidated Case, the Asset Transfer Case, and other clients with personal injury claims that have not yet been filed (together, the “Eligible Claimants”). Upon entering into the Term Sheets, and based on our assessment of the likelihood that the conditions to the Term Sheets will be satisfied or waived, we concluded that the Settlement was probable and reasonably estimable. Accordingly, the Company recorded a charge of $408.0 million for the year ended December 31, 2022. The Term Sheets provide an agreed path to final settlement of the Eligible Claimants’ claims, subject to the satisfaction or waiver of certain conditions, including but not limited to the Settling Defendants and the PEC working in good faith to draft and execute full settlement agreements in accordance with the Term Sheets.</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28, 2023, the Settling Defendants and the PEC entered into full settlement agreements (the “Settlement Agreements”). The Settlement Agreements provide a pathway to comprehensively resolve the claims pending against the Settling Defendants in Illinois and thereby enable the Company to focus its full attention on operating the business. The Company denies any liability and maintains that its Willowbrook, Illinois operations did not pose a safety risk to the community in which it operated, and believes the evidence and science ultimately would have compelled the rejection of the plaintiffs’ claims. However, years of biased media coverage in the greater Chicago area, the significant costs of posting a large bond in support of the appeal of the first trial verdict and the time and expense that would have been required to continue to contest hundreds of additional lawsuits through a multi-year process in the Illinois court system led the Company to conclude that resolving the pending Illinois EO cases would be in the best interest of the Company and its stakeholders.</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scope of the settlement includes all claims that have been alleged or could have been alleged by 881 Eligible Claimants related to or arising from alleged emissions of EO from Sterigenics’ operations in or around Willowbrook, Illinois and related claims that have been or could have been alleged by Eligible Claimants seeking to challenge any transfer of assets to or from the Company, its subsidiaries and certain affiliates to any other entity or person (the “Covered Claims”). The Settling Defendants deny any liability for the Covered Claims and, per their express terms, the Settlement Agreements are not to be construed as an admission of liability or that the Company engaged in any wrongful, tortious, or unlawful activity or that use and/or emissions of EO from Sterigenics’ operations in or around Willowbrook, Illinois posed any safety hazard to the surrounding communities.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the conditions of the Settlement Agreements are satisfied or waived, among other things, the Eligible Claimants participating in the settlement will release the Company, its subsidiaries and certain affiliates from all Covered Claims and dismiss with prejudice all pending lawsuits and appeals relating to or arising from any Covered Claims. The Settlement Agreements provide that final settlement is conditioned, among other things, on (1) the continuance of the stays of all pending Covered Claims, (2) Plaintiffs’ Counsel obtaining opt-in consent from (i) 99% of all Eligible Claimants represented by the PEC law firms, (ii) 95% of all Eligible Claimants represented by law firms not on the PEC and (iii) 100% of all Eligible Claimants within certain specified subgroups, within 30 days of the date each Eligible Claimant receives all disclosures required by applicable state rules along with their individual settlement allocation (the “Participation Requirement”), which may be extended up to 30 days with the consent of the Settling Defendants, (3) the dismissal with prejudice of the Covered Claims of all Eligible Claimants participating in the settlement, and (4) court approval of the settlement as a good faith settlement under the Illinois Joint Contribution Among Tortfeasors Act. In addition, the Settling Defendants will have the right to elect not to proceed with final settlement of the Covered Claims if it is determined that 40 or more Eligible Claimants do not have valid claims or more than five new lawsuits are filed by Plaintiffs’ Counsel. The Settling Defendants have the right to waive the Participation Requirement and elect to proceed with final settlement, in which case the settlement will be binding only on Eligible Claimants participating in the settlement and providing opt-in consent. The PEC and other Plaintiffs’ Counsel have agreed, subject to the exercise of their independent professional judgment, to recommend to their clients that they participate in the settlement. On May 1, 2023, Sterigenics U.S., LLC contributed $408.0 million to a settlement escrow fund that will be used, if the conditions of the Settlement Agreements are satisfied or waived, to pay all settlement fees and expenses and cash payments to the Eligible Claimants participating in the settlement.</w:t>
      </w:r>
    </w:p>
    <w:p>
      <w:pPr>
        <w:spacing w:after="0" w:line="1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January 11, 2023 and January 13, 2023, the Circuit Court of Cook County, Illinois entered orders staying all proceedings and deadlines and vacating all trial dates in the Consolidated Case, and staying all enforcement proceedings relating to the September 20, 2022 adverse judgment. On January 16, 2023 the United States District Court for the Northern District of Illinois entered an order staying all proceedings in the Asset Transfer Case. On January 23, 2023 the First District Appellate Court in Illinois entered an order staying the Settling Defendants’ appeal of the September 20, 2022 adverse judgment.</w:t>
      </w:r>
    </w:p>
    <w:p>
      <w:pPr>
        <w:spacing w:after="0" w:line="1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final settlement of claims contemplated under the Settlement Agreements may not occur or may not occur for all Eligible Claimants for a number of reasons, including but not limited to, a failure to satisfy the Participation Requirement. If the final settlement occurs, the settlement will not cover unfiled claims of claimants who are represented by lawyers other than Plaintiffs’ Counsel, claims of Eligible Claimants who elect and are permitted by the Participation Requirements to opt out of the settlement, claims for illnesses diagnosed in the future that claimants allege were caused by emissions from Sterigenics’ operations in or around Willowbrook, Illinois, or lawsuits alleging injuries from emissions of EO from operations other than those in or around Willowbrook, Illinois, including the previously disclosed lawsuits in Georgia and New Mexico. The Company denies these allegations, intends to defend itself vigorously in all such litigation, and does not believe that the facts and law justify the September 20, 2022 adverse judgment in the first trial in Illinois or, as detailed further below, that the verdict and damage awards in that case are predictive of future EO tort cases in Illinois or other jurisdictions.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February 23, 2023 the Company successfully closed on a new senior secured Term Loan B facility in an aggregate principal amount of $500.0 million. The Company used the proceeds of this debt financing to fund the $408.0 million settlement described above. Refer to Note 9, “Long-Term Debt”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Georgia</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Since August 17, 2020, approximately 300 plaintiffs have filed lawsuits against subsidiaries of the Company and other parties in the State Court of Cobb County, Georgia and the State Court of Gwinnett County, Georgia alleging that they suffered personal injuries resulting from emissions of EO from Sterigenics’ Atlanta facility. Additional derivative claims are alleged on behalf of relatives of some of these personal injury plaintiffs. Our subsidiaries are also defendants in approximately 160 lawsuits alleging that the Atlanta facility has devalued and harmed plaintiffs’ use of real properties they own in the Atlanta, Georgia area and caused other damages. These personal injury and property devaluation plaintiffs seek various forms of relief including damages. All but two of the personal injury lawsuits pending in Cobb County have been consolidated for pretrial purposes. The Court has entered a phased case management schedule for a “pool” of ten of the consolidated cases by which threshold general causation issues will be decided in Phase 1, followed by specific causation issues in Phase 2 as to any of the pooled cases that survive Phase 1. The Court has stayed the remainder of the consolidated personal injury cases pending in Cobb County and an immediate appeal of a discrete procedural issue is being pursued by the defendants. One personal injury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case is pending in Gwinnett County and is scheduled for trial in October 2023. The remaining personal injury case and approximately 160 property devaluation cases are in various stages of pleadings and motions practice, and fact discovery.</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January 2023 a personal injury and premises liability case was filed in Cobb County, Georgia by a delivery driver alleging injuries from purported exposure to EO emissions and releases while making deliveries to our Atlanta facility. That case has not been consolidated with the other personal injury cases and is not stayed. The court has not yet entered an initial case management order or schedule.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Mexico</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April 24, 2023, a lawsuit was filed in the Third Judicial District Court, Doña Ana County, New Mexico against the Company and certain subsidiaries alleging wrongful death caused by exposure to emissions of EO from Sterigenics’ sterilization facility in Santa Teresa, New Mexico while working at a different company’s facility approximately one mile away. On April 27, 2023 the case was removed to the United States District Court for the District of New Mexico. The court has not yet entered an initial case management order or schedule.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Mexico Attorney General Litigation</w:t>
      </w:r>
    </w:p>
    <w:p>
      <w:pPr>
        <w:spacing w:after="0" w:line="117"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On December 22, 2020, the New Mexico Attorney General filed a lawsuit in the Third Judicial District Court, Doña Ana County, New Mexico against the Company and certain subsidiaries alleging that emissions of EO from Sterigenics’ sterilization facility in Santa Teresa, New Mexico have deteriorated the air quality in Santa Teresa and surrounding communities and materially contributed to increased health risks suffered by residents of those communities.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Complaint asserts claims for public nuisance, negligence, strict liability, violations of New Mexico’s Public Nuisance Statute and Unfair Practices Act and seeks various forms of relief including a temporary restraining order, preliminary injunctive relief and damages. On June 29, 2021, the Court entered an Order Granting Preliminary Injunction (the “Order”) prohibiting Sterigenics from allowing any uncontrolled emission or release of EO from the facility. On December 20, 2021 the Court entered an order establishing a protocol to monitor Sterigenics’ compliance with the Order. Operations at the facility continue to be in compliance with the June 2021 and December 2021 orders. A motion challenging the Court’s jurisdiction over Sotera Health Company and another defendant, and a motion for summary judgment by Sterigenics U.S., LLC and Sotera Health LLC are pending. A Scheduling Order was entered on September 13, 2022, including a June 3, 2024 trial date.</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believes that neither the verdict in the first trial in Illinois nor the settlement of the pending and threatened claims in Illinois is predictive of potential future verdicts in other EO tort cases in Illinois or other jurisdictions. The Company intends to defend itself vigorously in all such litigation, which will be presided over by different judges, tried by different counsel presenting different evidence and fact and expert witness testimony at trial, and decided by different juries. Each plaintiff’s claim involves unique facts and evidence, including but not limited to, the circumstances of the plaintiff’s alleged exposure, the type and severity of the plaintiff’s disease and the plaintiff’s medical history and course of treatment. As a result, we believe that loss in such subsequent cases is not probable and it is not possible to estimate the range of loss. Due to the uncertainties associated with the amount of any such liability and/or the nature of any other remedy which may be imposed in such litigation, any potential liability determined to be attributable to the Company arising out of such litigation may have a material adverse effect on the Company’s results of operations, liquidity or financial condition. An estimate of the potential impact on the Company’s results of operations, liquidity or financial condition cannot be made due to the aforementioned uncertainties.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was fully utilized by March 31, 2023 for occurrences related to the EO litigation in Georgia and New Mexico described above. Our insurance for future alleged environmental liabilities excludes coverage for EO claims.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we are pursuing other insurance coverage for our legal expenses related to the EO tort litigation. In 2021, Sterigenics filed an insurance coverage lawsuit in the U.S. District Court for the Northern District of Illinois relating to two commercial general liability policies issued in the 1980s. On August 3, 2022, the Court issued a Memorandum Opinion and Order concluding that the insurer owes Sterigenics and another insured party a duty to defend the Willowbrook, Illinois litigation, which may allow us to recover defense costs related to that litigation.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Sotera Health Company Securities Litigation</w:t>
      </w:r>
    </w:p>
    <w:p>
      <w:pPr>
        <w:spacing w:after="0" w:line="239"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On January 24, 2023, a putative stockholder class action was filed in the U.S. District Court for the Northern District of Ohio against the Company, its directors, certain senior executives, the Company’s private equity stockholders and the underwriters of the Company’s initial public offering (“IPO”) in November 2020 and the Company’s secondary public offering (“SPO”) in March 2021. On April 17, 2023 the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or between November 20, 2020 and September 19, 2022 (the “Proposed Class”). The Michigan Funds allege that statements made regarding the safety of the Company’s use of EO and/or the litigation and other risks of its EO operations violated Sections 11, 12(a)(2) and 15 of the Securities Act of 1933 (when made in the registration statements for the IPO and SPO) and violated Sections 10(b), Section 20(a) and Rule 10b-5 of the Securities Exchange Act of 1934 (when made in subsequent securities filings and other contexts). The Michigan Funds seek damages and other relief on behalf of the Proposed Class. The Company believes that these claims are without merit and plans to mount a vigorous defense.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Financial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March 2023, we entered into an interest rate swap agreement with a notional amount of $400.0 million. The interest rate swap has a forward start date of August 23, 2023 and expires on August 23, 2025. We have designated the interest rate swap as a cash flow hedge designed to hedge the variability of cash flows attributable to changes in the SOFR benchmark interest rate of our 2023 Term Loan. We receive interest at the one-month Term SOFR rate and pay a fixed interest rate under the terms of the swap agreement.</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May 2022, we entered into two interest rate cap agreements with a combined notional amount of $1,000.0 million for a total option premium of $4.1 million. The interest rate caps have a forward start date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is expected to transition from LIBOR to the term SOFR at the earlier of June 30, 2023 or the Company's election to “early opt-in” to SOFR. Accordingly, the interest rate cap agreements hedge the variability of cash flows attributable to changes in SOFR by limiting our cash flow exposure related to the term SOFR under a portion of our variable rate borrowings to 3.5%.</w:t>
      </w:r>
    </w:p>
    <w:p>
      <w:pPr>
        <w:spacing w:after="0" w:line="20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have a forward start date of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from time to time, the Company enters into interest rate caps to manage economic risks associated with our variable rate borrowings that are not designated in hedge relationships. These instruments are recorded at fair value on the Consolidated Balance Sheets, with any changes in the value being recorded in “Interest expense, net” in the Consolidated Statements of Operations and Comprehensive Income.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also routinely enters into foreign currency forward contracts to manage foreign currency exchange rate risk of our intercompany loans in certain of our international subsidiaries. The foreign currency forward contracts expire on a monthly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w w:val="98"/>
              </w:rPr>
              <w:t>March 31, 2023</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U.S. Dollars; notional in millions, fair value 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4"/>
          </w:tcPr>
          <w:p>
            <w:pPr>
              <w:ind w:left="660"/>
              <w:spacing w:after="0" w:line="155" w:lineRule="exact"/>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3"/>
          </w:tcPr>
          <w:p>
            <w:pPr>
              <w:jc w:val="right"/>
              <w:ind w:right="713"/>
              <w:spacing w:after="0" w:line="155" w:lineRule="exact"/>
              <w:rPr>
                <w:sz w:val="20"/>
                <w:szCs w:val="20"/>
                <w:color w:val="auto"/>
              </w:rPr>
            </w:pPr>
            <w:r>
              <w:rPr>
                <w:rFonts w:ascii="Arial" w:cs="Arial" w:eastAsia="Arial" w:hAnsi="Arial"/>
                <w:sz w:val="16"/>
                <w:szCs w:val="16"/>
                <w:b w:val="1"/>
                <w:bCs w:val="1"/>
                <w:color w:val="auto"/>
              </w:rPr>
              <w:t>Fair Value</w:t>
            </w: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93"/>
              <w:spacing w:after="0"/>
              <w:rPr>
                <w:sz w:val="20"/>
                <w:szCs w:val="20"/>
                <w:color w:val="auto"/>
              </w:rPr>
            </w:pPr>
            <w:r>
              <w:rPr>
                <w:rFonts w:ascii="Arial" w:cs="Arial" w:eastAsia="Arial" w:hAnsi="Arial"/>
                <w:sz w:val="16"/>
                <w:szCs w:val="16"/>
                <w:b w:val="1"/>
                <w:bCs w:val="1"/>
                <w:color w:val="auto"/>
                <w:w w:val="96"/>
              </w:rPr>
              <w:t>Notional</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Derivative</w:t>
            </w:r>
          </w:p>
        </w:tc>
        <w:tc>
          <w:tcPr>
            <w:tcW w:w="2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Notional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96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Derivative</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3"/>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8"/>
                <w:szCs w:val="18"/>
                <w:color w:val="auto"/>
              </w:rPr>
            </w:pPr>
          </w:p>
        </w:tc>
        <w:tc>
          <w:tcPr>
            <w:tcW w:w="960" w:type="dxa"/>
            <w:vAlign w:val="bottom"/>
          </w:tcPr>
          <w:p>
            <w:pPr>
              <w:jc w:val="right"/>
              <w:ind w:right="133"/>
              <w:spacing w:after="0"/>
              <w:rPr>
                <w:sz w:val="20"/>
                <w:szCs w:val="20"/>
                <w:color w:val="auto"/>
              </w:rPr>
            </w:pPr>
            <w:r>
              <w:rPr>
                <w:rFonts w:ascii="Arial" w:cs="Arial" w:eastAsia="Arial" w:hAnsi="Arial"/>
                <w:sz w:val="16"/>
                <w:szCs w:val="16"/>
                <w:b w:val="1"/>
                <w:bCs w:val="1"/>
                <w:color w:val="auto"/>
                <w:w w:val="97"/>
              </w:rPr>
              <w:t>Liabilities</w:t>
            </w:r>
          </w:p>
        </w:tc>
      </w:tr>
      <w:tr>
        <w:trPr>
          <w:trHeight w:val="33"/>
        </w:trPr>
        <w:tc>
          <w:tcPr>
            <w:tcW w:w="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280" w:type="dxa"/>
            <w:vAlign w:val="bottom"/>
          </w:tcPr>
          <w:p>
            <w:pPr>
              <w:ind w:left="60"/>
              <w:spacing w:after="0"/>
              <w:rPr>
                <w:sz w:val="20"/>
                <w:szCs w:val="20"/>
                <w:color w:val="auto"/>
              </w:rPr>
            </w:pPr>
            <w:r>
              <w:rPr>
                <w:rFonts w:ascii="Arial" w:cs="Arial" w:eastAsia="Arial" w:hAnsi="Arial"/>
                <w:sz w:val="12"/>
                <w:szCs w:val="12"/>
                <w:color w:val="auto"/>
              </w:rPr>
              <w:t>(a)</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24,129</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34,764</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b w:val="1"/>
                <w:bCs w:val="1"/>
                <w:color w:val="auto"/>
              </w:rPr>
              <w:t>(b)</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4"/>
              </w:rPr>
              <w:t>Derivatives not designated as hedging instruments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Embedded derivatives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172.5</w:t>
            </w:r>
          </w:p>
        </w:tc>
        <w:tc>
          <w:tcPr>
            <w:tcW w:w="280" w:type="dxa"/>
            <w:vAlign w:val="bottom"/>
          </w:tcPr>
          <w:p>
            <w:pPr>
              <w:ind w:left="60"/>
              <w:spacing w:after="0"/>
              <w:rPr>
                <w:sz w:val="20"/>
                <w:szCs w:val="20"/>
                <w:color w:val="auto"/>
              </w:rPr>
            </w:pPr>
            <w:r>
              <w:rPr>
                <w:rFonts w:ascii="Arial" w:cs="Arial" w:eastAsia="Arial" w:hAnsi="Arial"/>
                <w:sz w:val="12"/>
                <w:szCs w:val="12"/>
                <w:color w:val="auto"/>
              </w:rPr>
              <w:t>(c)</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2,507</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2,721</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3,508</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2,727.3</w:t>
            </w:r>
          </w:p>
        </w:tc>
        <w:tc>
          <w:tcPr>
            <w:tcW w:w="2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26,669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2,331.4</w:t>
            </w:r>
          </w:p>
        </w:tc>
        <w:tc>
          <w:tcPr>
            <w:tcW w:w="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37,485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7"/>
          <w:szCs w:val="17"/>
          <w:color w:val="auto"/>
        </w:rPr>
        <w:t>$1,000.0 million notional amount of interest rate caps designated as hedging instruments have a forward start date beginning on July 31, 2023.</w:t>
      </w:r>
    </w:p>
    <w:p>
      <w:pPr>
        <w:spacing w:after="0" w:line="34" w:lineRule="exact"/>
        <w:rPr>
          <w:rFonts w:ascii="Arial" w:cs="Arial" w:eastAsia="Arial" w:hAnsi="Arial"/>
          <w:sz w:val="15"/>
          <w:szCs w:val="15"/>
          <w:color w:val="auto"/>
        </w:rPr>
      </w:pPr>
    </w:p>
    <w:p>
      <w:pPr>
        <w:ind w:left="340" w:right="560" w:hanging="332"/>
        <w:spacing w:after="0" w:line="250"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notional amount of interest rates swaps designated as hedging instruments reflected in the table above has a forward start date beginning on August 23, 2023.</w:t>
      </w: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notional amounts for certain of the Company’s supply and sales contracts accounted for as embedded derivatives.</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Embedded derivative assets and liabilities, interest rate caps and interest rate swaps are included in “Prepaid expenses and other current assets”, “Other assets”, and “Noncurrent liabilities” respectively, on our Consolidated Balance Sheets depending upon their position at period end. Embedded derivative liabilities are included in “Accrued liabilities”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 the activities of our derivative instruments for the periods presented, and the line item in which they are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8"/>
                <w:szCs w:val="18"/>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20" w:type="dxa"/>
            <w:vAlign w:val="bottom"/>
            <w:tcBorders>
              <w:top w:val="single" w:sz="8" w:color="auto"/>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Unrealized gain on interest rate derivatives recorded in interest expense,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r>
      <w:tr>
        <w:trPr>
          <w:trHeight w:val="243"/>
        </w:trPr>
        <w:tc>
          <w:tcPr>
            <w:tcW w:w="20" w:type="dxa"/>
            <w:vAlign w:val="bottom"/>
          </w:tcPr>
          <w:p>
            <w:pPr>
              <w:spacing w:after="0"/>
              <w:rPr>
                <w:sz w:val="21"/>
                <w:szCs w:val="21"/>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Unrealized loss (gain) on embedded derivatives recorded in other income,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interest rate derivatives recorded in interest expense, net</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(9,648)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Realized loss (gain) on foreign currency forward contracts recorded in foreign exchange (gain)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For the three months ended March 31, 2023, amounts represent quarterly settlement of interest rate caps.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net gains (losses) on our cash flow hedges recognized in “Other comprehensive income (loss)” during the period: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8"/>
                <w:szCs w:val="18"/>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20" w:type="dxa"/>
            <w:vAlign w:val="bottom"/>
            <w:tcBorders>
              <w:top w:val="single" w:sz="8" w:color="auto"/>
              <w:bottom w:val="single" w:sz="8" w:color="CCEEFF"/>
            </w:tcBorders>
          </w:tcPr>
          <w:p>
            <w:pPr>
              <w:spacing w:after="0"/>
              <w:rPr>
                <w:sz w:val="4"/>
                <w:szCs w:val="4"/>
                <w:color w:val="auto"/>
              </w:rPr>
            </w:pPr>
          </w:p>
        </w:tc>
        <w:tc>
          <w:tcPr>
            <w:tcW w:w="69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 recorded in other comprehensive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r>
      <w:tr>
        <w:trPr>
          <w:trHeight w:val="243"/>
        </w:trPr>
        <w:tc>
          <w:tcPr>
            <w:tcW w:w="2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(9,275)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expect to reclassify approximately $16.7 million of net gains on derivative instruments from accumulated other comprehensive income to income during the next 12 months associated with our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March 31, 2023 and December 31, 2022, accounts receivable was net of an allowance for uncollectible accounts of $2.6 million and $1.9 million, respectively.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ectPr>
          <w:pgSz w:w="11900" w:h="16838" w:orient="portrait"/>
          <w:cols w:equalWidth="0" w:num="1">
            <w:col w:w="11240"/>
          </w:cols>
          <w:pgMar w:left="320" w:top="134" w:right="33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the fair value of our financial assets and liabilities: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2023</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3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22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16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52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24,129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2,387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7"/>
        </w:trPr>
        <w:tc>
          <w:tcPr>
            <w:tcW w:w="5220" w:type="dxa"/>
            <w:vAlign w:val="bottom"/>
            <w:gridSpan w:val="3"/>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Foreign currency forward contract assets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Foreign currency forward contract liabilities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assets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2,507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3,524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B, due 2026</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3,583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1,748,221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B, due 2026</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474,112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52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(e)</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70,323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2022</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2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5220" w:type="dxa"/>
            <w:vAlign w:val="bottom"/>
            <w:gridSpan w:val="3"/>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assets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5220" w:type="dxa"/>
            <w:vAlign w:val="bottom"/>
            <w:gridSpan w:val="3"/>
          </w:tcPr>
          <w:p>
            <w:pPr>
              <w:spacing w:after="0"/>
              <w:rPr>
                <w:sz w:val="20"/>
                <w:szCs w:val="20"/>
                <w:color w:val="auto"/>
              </w:rPr>
            </w:pPr>
            <w:r>
              <w:rPr>
                <w:rFonts w:ascii="Arial" w:cs="Arial" w:eastAsia="Arial" w:hAnsi="Arial"/>
                <w:sz w:val="18"/>
                <w:szCs w:val="18"/>
                <w:color w:val="auto"/>
              </w:rPr>
              <w:t>Current portion of long-term debt</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196,672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1,747,115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52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(e)</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58,677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-5203825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-4809490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-4466590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-4123690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-3780790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-3386455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-3043555</wp:posOffset>
            </wp:positionV>
            <wp:extent cx="71323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71323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1323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-1483360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-1140460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1323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40640</wp:posOffset>
            </wp:positionV>
            <wp:extent cx="2846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84" w:lineRule="exact"/>
        <w:rPr>
          <w:sz w:val="20"/>
          <w:szCs w:val="20"/>
          <w:color w:val="auto"/>
        </w:rPr>
      </w:pPr>
    </w:p>
    <w:p>
      <w:pPr>
        <w:spacing w:after="0"/>
        <w:tabs>
          <w:tab w:leader="none" w:pos="1500" w:val="left"/>
          <w:tab w:leader="none" w:pos="302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24,129</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2,387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2,507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3,524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54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1,694,868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488,806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35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70,323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447"/>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5"/>
        </w:trPr>
        <w:tc>
          <w:tcPr>
            <w:tcW w:w="102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79"/>
        </w:trPr>
        <w:tc>
          <w:tcPr>
            <w:tcW w:w="10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574"/>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34,764</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54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196,672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1,626,460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35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-2502535</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6860" w:space="400"/>
            <w:col w:w="3980"/>
          </w:cols>
          <w:pgMar w:left="320" w:top="134" w:right="339" w:bottom="1047" w:gutter="0" w:footer="0" w:header="0"/>
          <w:type w:val="continuous"/>
        </w:sectPr>
      </w:pPr>
    </w:p>
    <w:p>
      <w:pPr>
        <w:ind w:left="500" w:right="200" w:hanging="492"/>
        <w:spacing w:after="0" w:line="255" w:lineRule="auto"/>
        <w:tabs>
          <w:tab w:leader="none" w:pos="4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and yield curves.</w:t>
      </w:r>
    </w:p>
    <w:p>
      <w:pPr>
        <w:spacing w:after="0" w:line="2" w:lineRule="exact"/>
        <w:rPr>
          <w:rFonts w:ascii="Arial" w:cs="Arial" w:eastAsia="Arial" w:hAnsi="Arial"/>
          <w:sz w:val="18"/>
          <w:szCs w:val="18"/>
          <w:color w:val="auto"/>
        </w:rPr>
      </w:pPr>
    </w:p>
    <w:p>
      <w:pPr>
        <w:ind w:left="500" w:hanging="492"/>
        <w:spacing w:after="0" w:line="25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Embedded derivatives are valued using internally developed models that rely on observable market inputs, including foreign currency forward curves. Foreign currency forward contracts are valued by reference to changes in the forward foreign currency exchange rate over the life of the contract.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Carrying value of other long-term debt and revolving credit facility approximates fair value.</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Carrying amounts of long-term debt instruments are reported net of discounts and debt issuance costs. The estimated fair value of these instruments is based on quoted prices for the term loans due in 2026 in inactive markets as provided by an independent fixed income security pricing service. Fair value approximates carrying value for “Other long-term debt.”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approximates carrying value.</w:t>
      </w:r>
    </w:p>
    <w:p>
      <w:pPr>
        <w:sectPr>
          <w:pgSz w:w="11900" w:h="16838" w:orient="portrait"/>
          <w:cols w:equalWidth="0" w:num="1">
            <w:col w:w="11240"/>
          </w:cols>
          <w:pgMar w:left="320" w:top="134" w:right="339" w:bottom="1047"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047"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decision-maker evaluates performance and allocates resources based on net revenues and segment income after the elimination of intercompany activities. The accounting policies of our reportable segments are the same as those described in Note 1, “Significant Accounting Policies” of the Company's annual consolidated financial statements and accompanying notes on Form 10-K for the year ended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March 31, 2023, two customers reported within the Nordion segment individually represented 10% or more of the segment’s total net revenues. These customers represented 54.6% and 11.3% of the total segment’s external net revenues for the three months ended March 31, 2023. The high concentration of revenues from these customers mainly stems from the low sales volume pattern in the three months ended March 31, 2023. For the three months ended March 31, 2022, five customers reported within the Nordion segment individually represented 10% or more of the segment's total net revenues. These customers represented 15.7%, 14.4%, 13.9%, 12.2%, and 11.9% of the total segment's external net revenues for the three months ended March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8"/>
                <w:szCs w:val="18"/>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2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revenues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159,997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149,462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52,042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220,590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b w:val="1"/>
                <w:bCs w:val="1"/>
                <w:color w:val="auto"/>
                <w:vertAlign w:val="superscript"/>
              </w:rPr>
              <w:t>(b)</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Sterigenics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98,468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440" w:hanging="492"/>
        <w:spacing w:after="0" w:line="255" w:lineRule="auto"/>
        <w:tabs>
          <w:tab w:leader="none" w:pos="4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$2.9 million and $15.5 million in revenues from sales to our Sterigenics segment for the three months ended March 31, 2023 and 2022, respectively, that is not reflected in net revenues in the table above. Intersegment sales for Sterigenics and Nelson Labs are immaterial for both periods.</w:t>
      </w:r>
    </w:p>
    <w:p>
      <w:pPr>
        <w:spacing w:after="0" w:line="2" w:lineRule="exact"/>
        <w:rPr>
          <w:rFonts w:ascii="Arial" w:cs="Arial" w:eastAsia="Arial" w:hAnsi="Arial"/>
          <w:sz w:val="18"/>
          <w:szCs w:val="18"/>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decision-maker and is reported net of intersegment profits.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by segment for the three months ended March 31, 2023 and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7"/>
                <w:szCs w:val="17"/>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2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Sterigenics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25,221</w:t>
            </w:r>
          </w:p>
        </w:tc>
      </w:tr>
      <w:tr>
        <w:trPr>
          <w:trHeight w:val="243"/>
        </w:trPr>
        <w:tc>
          <w:tcPr>
            <w:tcW w:w="20" w:type="dxa"/>
            <w:vAlign w:val="bottom"/>
          </w:tcPr>
          <w:p>
            <w:pPr>
              <w:spacing w:after="0"/>
              <w:rPr>
                <w:sz w:val="21"/>
                <w:szCs w:val="21"/>
                <w:color w:val="auto"/>
              </w:rPr>
            </w:pP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10,545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7,090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37"/>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capital expenditures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45,000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35,546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decision-maker.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before taxes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36"/>
        </w:trPr>
        <w:tc>
          <w:tcPr>
            <w:tcW w:w="8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115,349</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Less adjustments: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1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26,540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(b)</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39,538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36,049</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Gain on foreign currency and derivatives not designated as hedging instruments, net</w:t>
            </w:r>
            <w:r>
              <w:rPr>
                <w:rFonts w:ascii="Arial" w:cs="Arial" w:eastAsia="Arial" w:hAnsi="Arial"/>
                <w:sz w:val="23"/>
                <w:szCs w:val="23"/>
                <w:color w:val="auto"/>
                <w:vertAlign w:val="superscript"/>
              </w:rPr>
              <w:t>(d)</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(6,552)</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2,534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Professional services and other expenses relating to EO sterilization facilities</w:t>
            </w:r>
            <w:r>
              <w:rPr>
                <w:rFonts w:ascii="Arial" w:cs="Arial" w:eastAsia="Arial" w:hAnsi="Arial"/>
                <w:sz w:val="23"/>
                <w:szCs w:val="23"/>
                <w:color w:val="auto"/>
                <w:vertAlign w:val="superscript"/>
              </w:rPr>
              <w:t>(h)</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16,302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18,059</w:t>
            </w:r>
          </w:p>
        </w:tc>
      </w:tr>
      <w:tr>
        <w:trPr>
          <w:trHeight w:val="378"/>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(i)</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378"/>
        </w:trPr>
        <w:tc>
          <w:tcPr>
            <w:tcW w:w="8280" w:type="dxa"/>
            <w:vAlign w:val="bottom"/>
          </w:tcPr>
          <w:p>
            <w:pPr>
              <w:ind w:left="2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(j)</w:t>
            </w:r>
          </w:p>
        </w:tc>
        <w:tc>
          <w:tcPr>
            <w:tcW w:w="2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8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taxes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80" w:hanging="492"/>
        <w:spacing w:after="0" w:line="281" w:lineRule="auto"/>
        <w:tabs>
          <w:tab w:leader="none" w:pos="49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three months ended March 31, 2023 excludes $2.3 million of interest expense, net on Term Loan B attributable to the loan proceeds that were used to fund the $408.0 million Illinois EO litigation settlement. The three months ended March 31, 2022 excludes a $6.3 million net increase in the fair value of interest rate derivatives not designated as hedging instruments recorded to interest expense.</w:t>
      </w:r>
    </w:p>
    <w:p>
      <w:pPr>
        <w:spacing w:after="0" w:line="1" w:lineRule="exact"/>
        <w:rPr>
          <w:rFonts w:ascii="Arial" w:cs="Arial" w:eastAsia="Arial" w:hAnsi="Arial"/>
          <w:sz w:val="17"/>
          <w:szCs w:val="17"/>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share-based compensation expense to employees and Non-Employee Directors.</w:t>
      </w:r>
    </w:p>
    <w:p>
      <w:pPr>
        <w:spacing w:after="0" w:line="36" w:lineRule="exact"/>
        <w:rPr>
          <w:rFonts w:ascii="Arial" w:cs="Arial" w:eastAsia="Arial" w:hAnsi="Arial"/>
          <w:sz w:val="18"/>
          <w:szCs w:val="18"/>
          <w:color w:val="auto"/>
        </w:rPr>
      </w:pPr>
    </w:p>
    <w:p>
      <w:pPr>
        <w:ind w:left="500" w:right="380" w:hanging="492"/>
        <w:spacing w:after="0" w:line="308" w:lineRule="auto"/>
        <w:tabs>
          <w:tab w:leader="none" w:pos="4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500" w:right="60" w:hanging="492"/>
        <w:spacing w:after="0" w:line="259" w:lineRule="auto"/>
        <w:tabs>
          <w:tab w:leader="none" w:pos="4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1" w:lineRule="exact"/>
        <w:rPr>
          <w:rFonts w:ascii="Arial" w:cs="Arial" w:eastAsia="Arial" w:hAnsi="Arial"/>
          <w:sz w:val="18"/>
          <w:szCs w:val="18"/>
          <w:color w:val="auto"/>
        </w:rPr>
      </w:pPr>
    </w:p>
    <w:p>
      <w:pPr>
        <w:ind w:left="500" w:right="380" w:hanging="492"/>
        <w:spacing w:after="0" w:line="263" w:lineRule="auto"/>
        <w:tabs>
          <w:tab w:leader="none" w:pos="4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ectPr>
          <w:pgSz w:w="11900" w:h="16838" w:orient="portrait"/>
          <w:cols w:equalWidth="0" w:num="1">
            <w:col w:w="11240"/>
          </w:cols>
          <w:pgMar w:left="320" w:top="134" w:right="339" w:bottom="615"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615"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right="80" w:hanging="492"/>
        <w:spacing w:after="0" w:line="260"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2" w:lineRule="exact"/>
        <w:rPr>
          <w:rFonts w:ascii="Arial" w:cs="Arial" w:eastAsia="Arial" w:hAnsi="Arial"/>
          <w:sz w:val="18"/>
          <w:szCs w:val="18"/>
          <w:color w:val="auto"/>
        </w:rPr>
      </w:pPr>
    </w:p>
    <w:p>
      <w:pPr>
        <w:ind w:left="500" w:hanging="492"/>
        <w:spacing w:after="0" w:line="257" w:lineRule="auto"/>
        <w:tabs>
          <w:tab w:leader="none" w:pos="494"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Represents litigation and other professional fees associated with our EO sterilization facilities. This amount also includes $2.3 million of interest expense, net associated with Term Loan B that was issued to finance the $408.0 million cost to settle 880+ pending and threatened EO claims against the Settling Defendants in Illinois under Settlement Agreements entered into on March 28, 2023, subject to substantially all of the plaintiffs providing opt-in consents to their individual settlement allocations and dismissing their claims with prejudice. See Note 15, “Commitments and Contingencies”.</w:t>
      </w:r>
    </w:p>
    <w:p>
      <w:pPr>
        <w:spacing w:after="0" w:line="12" w:lineRule="exact"/>
        <w:rPr>
          <w:rFonts w:ascii="Arial" w:cs="Arial" w:eastAsia="Arial" w:hAnsi="Arial"/>
          <w:sz w:val="18"/>
          <w:szCs w:val="18"/>
          <w:color w:val="231F20"/>
        </w:rPr>
      </w:pPr>
    </w:p>
    <w:p>
      <w:pPr>
        <w:ind w:left="500" w:right="120" w:hanging="492"/>
        <w:spacing w:after="0" w:line="263"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8" w:lineRule="exact"/>
        <w:rPr>
          <w:rFonts w:ascii="Arial" w:cs="Arial" w:eastAsia="Arial" w:hAnsi="Arial"/>
          <w:sz w:val="18"/>
          <w:szCs w:val="18"/>
          <w:color w:val="auto"/>
        </w:rPr>
      </w:pPr>
    </w:p>
    <w:p>
      <w:pPr>
        <w:ind w:left="500" w:right="380" w:hanging="492"/>
        <w:spacing w:after="0" w:line="277"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2022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2022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8"/>
          <w:szCs w:val="8"/>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March 31, 2023, we recorded net revenues of $220.6 million, net income of $2.8 million, Adjusted Net Income of $38.0 million and Adjusted EBITDA of $98.5 million. For the definition of Adjusted Net Income and Adjusted EBITDA and the reconciliation of these non-GAAP measures from net income, please see “Non-GAAP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DEVELOPMENTS AND KEY FACTORS AFFECTING OUR RESULTS OF OPERATIONS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summarizes strategic developments and key factors that have impacted our operating results for the three months ended March 31, 2023 and may continue to affect our performance and financial condition in future periods.</w:t>
      </w:r>
    </w:p>
    <w:p>
      <w:pPr>
        <w:spacing w:after="0" w:line="58" w:lineRule="exact"/>
        <w:rPr>
          <w:sz w:val="20"/>
          <w:szCs w:val="20"/>
          <w:color w:val="auto"/>
        </w:rPr>
      </w:pPr>
    </w:p>
    <w:p>
      <w:pPr>
        <w:ind w:left="660" w:right="200" w:hanging="328"/>
        <w:spacing w:after="0" w:line="28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Business and market conditions</w:t>
      </w:r>
      <w:r>
        <w:rPr>
          <w:rFonts w:ascii="Arial" w:cs="Arial" w:eastAsia="Arial" w:hAnsi="Arial"/>
          <w:sz w:val="17"/>
          <w:szCs w:val="17"/>
          <w:color w:val="auto"/>
        </w:rPr>
        <w:t>. Revenue and net income for the three months ended March 31, 2023 declined from the same quarter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prior year, mainly driven by expected Nordion Co-60 harvest schedule timing, an unfavorable mix and lower volumes at Sterigenics and Nelson Labs that are typically experienced in the first quarter of the fiscal year. We expect Nordion Co-60 harvest schedules to be uneven for the remainder of 2023 and the financial contribution from Sterigenics and Nelson Labs to increase for the remainder of 2023.</w:t>
      </w:r>
    </w:p>
    <w:p>
      <w:pPr>
        <w:spacing w:after="0" w:line="60" w:lineRule="exact"/>
        <w:rPr>
          <w:rFonts w:ascii="Arial" w:cs="Arial" w:eastAsia="Arial" w:hAnsi="Arial"/>
          <w:sz w:val="17"/>
          <w:szCs w:val="17"/>
          <w:color w:val="auto"/>
        </w:rPr>
      </w:pPr>
    </w:p>
    <w:p>
      <w:pPr>
        <w:ind w:left="660" w:right="60"/>
        <w:spacing w:after="0" w:line="263" w:lineRule="auto"/>
        <w:rPr>
          <w:rFonts w:ascii="Arial" w:cs="Arial" w:eastAsia="Arial" w:hAnsi="Arial"/>
          <w:sz w:val="17"/>
          <w:szCs w:val="17"/>
          <w:color w:val="auto"/>
        </w:rPr>
      </w:pPr>
      <w:r>
        <w:rPr>
          <w:rFonts w:ascii="Arial" w:cs="Arial" w:eastAsia="Arial" w:hAnsi="Arial"/>
          <w:sz w:val="18"/>
          <w:szCs w:val="18"/>
          <w:color w:val="auto"/>
        </w:rPr>
        <w:t>As discussed in more detail in our 2022 Form 10-K, a portion of our supply of Co-60 is generated by Russian nuclear reactors. We continue to monitor the potential for disruption in the supply of Co-60 from Russian nuclear reactors but we do not expect a material impact for the remainder of 2023 on our supply or revenue.</w:t>
      </w:r>
    </w:p>
    <w:p>
      <w:pPr>
        <w:spacing w:after="0" w:line="71" w:lineRule="exact"/>
        <w:rPr>
          <w:rFonts w:ascii="Arial" w:cs="Arial" w:eastAsia="Arial" w:hAnsi="Arial"/>
          <w:sz w:val="17"/>
          <w:szCs w:val="17"/>
          <w:color w:val="auto"/>
        </w:rPr>
      </w:pPr>
    </w:p>
    <w:p>
      <w:pPr>
        <w:ind w:left="660" w:right="24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initiatives. </w:t>
      </w:r>
      <w:r>
        <w:rPr>
          <w:rFonts w:ascii="Arial" w:cs="Arial" w:eastAsia="Arial" w:hAnsi="Arial"/>
          <w:sz w:val="18"/>
          <w:szCs w:val="18"/>
          <w:color w:val="auto"/>
        </w:rPr>
        <w:t>We remain focused on investments in capacity expansions and facility improvements, as well as in our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 our Co-60 supply chain. For the three months ended March 31, 2023, we increased capital expenditures by $9.5 million compared to the three months ended March 31, 2022.</w:t>
      </w:r>
    </w:p>
    <w:p>
      <w:pPr>
        <w:spacing w:after="0" w:line="67" w:lineRule="exact"/>
        <w:rPr>
          <w:rFonts w:ascii="Arial" w:cs="Arial" w:eastAsia="Arial" w:hAnsi="Arial"/>
          <w:sz w:val="18"/>
          <w:szCs w:val="18"/>
          <w:color w:val="auto"/>
        </w:rPr>
      </w:pPr>
    </w:p>
    <w:p>
      <w:pPr>
        <w:ind w:left="660" w:right="520" w:hanging="328"/>
        <w:spacing w:after="0" w:line="28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Disciplined and strategic M&amp;A activity. </w:t>
      </w:r>
      <w:r>
        <w:rPr>
          <w:rFonts w:ascii="Arial" w:cs="Arial" w:eastAsia="Arial" w:hAnsi="Arial"/>
          <w:sz w:val="18"/>
          <w:szCs w:val="18"/>
          <w:color w:val="auto"/>
        </w:rPr>
        <w:t>We remain committed to our highly disciplined acquisition strategy and continue to seek suitable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targets.</w:t>
      </w:r>
    </w:p>
    <w:p>
      <w:pPr>
        <w:spacing w:after="0" w:line="53" w:lineRule="exact"/>
        <w:rPr>
          <w:rFonts w:ascii="Arial" w:cs="Arial" w:eastAsia="Arial" w:hAnsi="Arial"/>
          <w:sz w:val="18"/>
          <w:szCs w:val="18"/>
          <w:color w:val="auto"/>
        </w:rPr>
      </w:pPr>
    </w:p>
    <w:p>
      <w:pPr>
        <w:ind w:left="660" w:right="40" w:hanging="328"/>
        <w:spacing w:after="0" w:line="274"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Litigation costs</w:t>
      </w:r>
      <w:r>
        <w:rPr>
          <w:rFonts w:ascii="Arial" w:cs="Arial" w:eastAsia="Arial" w:hAnsi="Arial"/>
          <w:sz w:val="17"/>
          <w:szCs w:val="17"/>
          <w:color w:val="auto"/>
        </w:rPr>
        <w:t>. We are currently the subject of tort lawsuits alleging personal injury by purported exposure to EO emitted by our former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Willowbrook, Illinois and current facilities in Atlanta, Georgia and Santa Teresa, New Mexico. In addition, we are defendants in a lawsuit brought by the State of New Mexico Attorney General alleging that emissions of EO from our Santa Teresa facility constitute a public nuisance and materially contributed to increased health risks suffered by residents in the area. We maintain that our former Willowbrook, Illinois operations and current Atlanta, Georgia and Santa Teresa, New Mexico operations did not pose and do not pose any safety risk to their surrounding communities. We deny these allegations and are vigorously defending against these claims.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ind w:left="660" w:right="560"/>
        <w:spacing w:after="0" w:line="342" w:lineRule="auto"/>
        <w:rPr>
          <w:sz w:val="20"/>
          <w:szCs w:val="20"/>
          <w:color w:val="auto"/>
        </w:rPr>
      </w:pPr>
      <w:r>
        <w:rPr>
          <w:rFonts w:ascii="Arial" w:cs="Arial" w:eastAsia="Arial" w:hAnsi="Arial"/>
          <w:sz w:val="16"/>
          <w:szCs w:val="16"/>
          <w:color w:val="auto"/>
        </w:rPr>
        <w:t>In connection with the ongoing litigation related to our Willowbrook, Illinois, Atlanta, Georgia and Santa Teresa, New Mexico facilities, as described in Note 15, “Commitments and Contingencies”, we recorded costs of $14.0 million for the three months ended March 31, 2023.</w:t>
      </w:r>
    </w:p>
    <w:p>
      <w:pPr>
        <w:spacing w:after="0" w:line="137" w:lineRule="exact"/>
        <w:rPr>
          <w:sz w:val="20"/>
          <w:szCs w:val="20"/>
          <w:color w:val="auto"/>
        </w:rPr>
      </w:pPr>
    </w:p>
    <w:p>
      <w:pPr>
        <w:ind w:left="660"/>
        <w:spacing w:after="0" w:line="251" w:lineRule="auto"/>
        <w:rPr>
          <w:sz w:val="20"/>
          <w:szCs w:val="20"/>
          <w:color w:val="auto"/>
        </w:rPr>
      </w:pPr>
      <w:r>
        <w:rPr>
          <w:rFonts w:ascii="Arial" w:cs="Arial" w:eastAsia="Arial" w:hAnsi="Arial"/>
          <w:sz w:val="17"/>
          <w:szCs w:val="17"/>
          <w:color w:val="auto"/>
        </w:rPr>
        <w:t>On January 9, 2023, Sterigenics U.S., LLC and Sotera Health LLC (the "Settling Defendants") entered into binding term sheets and on March 28, 2023 the Settling Defendants entered into full agreements to settle approximately 880 pending and threatened EO claims against the Defendant Subsidiaries in the Circuit Court of Cook County, Illinois, and U.S. District Court for the Northern District of Illinois (the “Settlement Agreements”). On May 1, 2023, pursuant to the Settlement Agreements, the Company paid $408.0 million into a settlement escrow fund to settle the claims, subject to the satisfaction or waiver of certain conditions, including but not limited to substantially all of the plaintiffs providing opt-in consents to their individual settlement allocations and dismissing their claims with prejudice. The Settlement Agreements provide a pathway to comprehensively resolve the claims pending and threatened against the Company in Illinois and thereby enable the Company to focus its attention on operating the business. The Company denies any liability and maintains that its Willowbrook, Illinois operations did not pose a safety risk to the community in which it operated and believes the evidence ultimately would have compelled the rejection of the plaintiffs’ claims. See Note 15, “Commitments and Contingencies” to our consolidated financial statements.</w:t>
      </w:r>
    </w:p>
    <w:p>
      <w:pPr>
        <w:spacing w:after="0" w:line="85" w:lineRule="exact"/>
        <w:rPr>
          <w:sz w:val="20"/>
          <w:szCs w:val="20"/>
          <w:color w:val="auto"/>
        </w:rPr>
      </w:pPr>
    </w:p>
    <w:p>
      <w:pPr>
        <w:ind w:left="660" w:hanging="328"/>
        <w:spacing w:after="0" w:line="281" w:lineRule="auto"/>
        <w:tabs>
          <w:tab w:leader="none" w:pos="655"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Borrowings, financing costs and financial leverage</w:t>
      </w:r>
      <w:r>
        <w:rPr>
          <w:rFonts w:ascii="Arial" w:cs="Arial" w:eastAsia="Arial" w:hAnsi="Arial"/>
          <w:sz w:val="17"/>
          <w:szCs w:val="17"/>
          <w:color w:val="auto"/>
        </w:rPr>
        <w:t>. On February 23, 2023 the Company successfully closed on a new senior secured Term Loan</w:t>
      </w:r>
      <w:r>
        <w:rPr>
          <w:rFonts w:ascii="Arial" w:cs="Arial" w:eastAsia="Arial" w:hAnsi="Arial"/>
          <w:sz w:val="17"/>
          <w:szCs w:val="17"/>
          <w:b w:val="1"/>
          <w:bCs w:val="1"/>
          <w:color w:val="auto"/>
        </w:rPr>
        <w:t xml:space="preserve"> </w:t>
      </w:r>
      <w:r>
        <w:rPr>
          <w:rFonts w:ascii="Arial" w:cs="Arial" w:eastAsia="Arial" w:hAnsi="Arial"/>
          <w:sz w:val="17"/>
          <w:szCs w:val="17"/>
          <w:color w:val="auto"/>
        </w:rPr>
        <w:t>B facility in an aggregate principal amount of $500.0 million. The Company used the proceeds of this debt to pay down existing borrowings under the Company’s revolving credit facility and fund the $408.0 million EO litigation settlement in Cook County, Illinois. In addition, the Company plans to use the remaining proceeds to further enhance liquidity and for other general corporate purposes.</w:t>
      </w:r>
    </w:p>
    <w:p>
      <w:pPr>
        <w:spacing w:after="0" w:line="60" w:lineRule="exact"/>
        <w:rPr>
          <w:rFonts w:ascii="Arial" w:cs="Arial" w:eastAsia="Arial" w:hAnsi="Arial"/>
          <w:sz w:val="17"/>
          <w:szCs w:val="17"/>
          <w:b w:val="1"/>
          <w:bCs w:val="1"/>
          <w:i w:val="1"/>
          <w:iCs w:val="1"/>
          <w:color w:val="auto"/>
        </w:rPr>
      </w:pPr>
    </w:p>
    <w:p>
      <w:pPr>
        <w:ind w:left="660" w:right="280"/>
        <w:spacing w:after="0" w:line="275" w:lineRule="auto"/>
        <w:rPr>
          <w:rFonts w:ascii="Arial" w:cs="Arial" w:eastAsia="Arial" w:hAnsi="Arial"/>
          <w:sz w:val="17"/>
          <w:szCs w:val="17"/>
          <w:b w:val="1"/>
          <w:bCs w:val="1"/>
          <w:i w:val="1"/>
          <w:iCs w:val="1"/>
          <w:color w:val="auto"/>
        </w:rPr>
      </w:pPr>
      <w:r>
        <w:rPr>
          <w:rFonts w:ascii="Arial" w:cs="Arial" w:eastAsia="Arial" w:hAnsi="Arial"/>
          <w:sz w:val="17"/>
          <w:szCs w:val="17"/>
          <w:color w:val="auto"/>
        </w:rPr>
        <w:t>On March 21, 2023, the Company also entered into an Incremental Facility Amendment to the First Lien Credit Agreement ("Revolving Credit Facility Amendment"), which provides for an increase in the commitments under the existing revolving credit facility in an aggregate principal amount of $76.3 million. The Revolving Credit Facility Amendment also provides additional commitments for the issuance of letters of credit under the Revolving Credit Facility in an aggregate principal amount of $165.1 million. After giving effect to the Revolving Credit Facility Amendment, the aggregate amount of the revolving commitments is $423.8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as compared to Three Months Ended March 31,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three months ended March 31, 2023 and 2022: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220,590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109,087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33,366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(20,126)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38,045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60,254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(22,209)</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98,468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revenues by type for the three months ended March 31, 2023 to the three months ended March 31, 2022: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Net revenues for the three months ended March 31,</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220,590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236,754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Net revenues were $220.6 million in the three months ended March 31, 2023, a decrease of $16.2 million, or 6.8%, as compared with the three months ended March 31, 2022. Excluding the impact of foreign currency exchange rates, net revenues in the three months ended March 31, 2023 decreased approximately 5.3% compared with the same period in the three months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Service revenues increased $8.3 million, or 4.0%, to $214.5 million for the three months ended March 31, 2023, as compared to $206.2 million for the three months ended March 31, 2022. The growth in net service revenues was driven by favorable pricing of $9.2 million and $2.1 million in the Sterigenics and Nelson Labs segments, respectively. $2.9 million of service revenue growth was attributable to volume and mix in the Sterigenics segment. Partially offsetting these growth factors was a decline in service revenue volume of $2.8 million and $0.8 million in the Nelson Labs segment and Nordion segment, respectively, coupled with a $2.3 million unfavorable impact from changes in foreign currency exchange rates across all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Product revenues decreased $24.5 million, or 80.1%, to $6.1 million for the three months ended March 31, 2023, as compared to $30.5 million for the three months ended March 31, 2022. The decrease in product revenues was mainly driven by expected volume decline and mix due to Co-60 harvest schedule timing in the Nordion segment and an unfavorable impact from changes in foreign exchange rates of $1.3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cost of revenues by type for the three months ended March 31, 2023 to the three months ended March 31, 2022:</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3"/>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three months ended March 31,</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380" w:type="dxa"/>
            <w:vAlign w:val="bottom"/>
            <w:tcBorders>
              <w:top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94,576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auto"/>
                <w:w w:val="93"/>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center"/>
              <w:ind w:left="495"/>
              <w:spacing w:after="0"/>
              <w:rPr>
                <w:sz w:val="20"/>
                <w:szCs w:val="20"/>
                <w:color w:val="auto"/>
              </w:rPr>
            </w:pPr>
            <w:r>
              <w:rPr>
                <w:rFonts w:ascii="Arial" w:cs="Arial" w:eastAsia="Arial" w:hAnsi="Arial"/>
                <w:sz w:val="18"/>
                <w:szCs w:val="18"/>
                <w:color w:val="auto"/>
                <w:w w:val="91"/>
              </w:rPr>
              <w:t>(8,426)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109,087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107,879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3"/>
              </w:rPr>
              <w:t>1,208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cost of revenues accounted for approximately 49.5% and 45.6% of our consolidated net revenues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service revenues increased $9.6 million, or 10.2%, for the three months ended March 31, 2023, as compared to the three months ended March 31, 2022. The growth in cost of service revenues was partially driven by $5.1 million of higher energy costs and depreciation related to capital assets recently placed in service. In addition, cost of service revenue increased by $4.1 million as a result of higher labor costs, largely stemming from both the addition of new personnel and higher compensation costs. Partially offsetting these factors was a $1.3 million favorable impact from changes in foreign currency exchange rates.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 of product revenues decreased $8.4 million, or 63.3%, for the three months ended March 31, 2023, as compared to the three months ended March 31, 2022. The decrease was primarily a result of lower direct material and material transportation costs of $7.0 million coupled with an $0.8 million impact from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operating expenses for the three months ended March 31, 2023 to the three months ended March 31, 2022:</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for the three months ended March 31,</w:t>
            </w:r>
          </w:p>
        </w:tc>
        <w:tc>
          <w:tcPr>
            <w:tcW w:w="340" w:type="dxa"/>
            <w:vAlign w:val="bottom"/>
          </w:tcPr>
          <w:p>
            <w:pPr>
              <w:spacing w:after="0"/>
              <w:rPr>
                <w:sz w:val="24"/>
                <w:szCs w:val="24"/>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560" w:type="dxa"/>
            <w:vAlign w:val="bottom"/>
            <w:tcBorders>
              <w:top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expenses accounted for approximately 35.4% and 31.8% of our consolidated net revenues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SG&amp;A increased $2.4 million, or 4.0%, for the three months ended March 31, 2023, as compared to the three months ended March 31, 2022. The increase was driven primarily by the following:</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$2.8 million increase in share-based compensation expense attributable to awards granted under the 2020 Omnibus Incentive Plan;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million in professional services fees largely related to business optimization projects;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 million increase in business travel and management meetings costs;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$0.9 million in facility integration efforts mainly in connection with Nelson Labs' recent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these factors was a $4.0 million decrease in litigation and other professional services expense associated with EO sterilization facilities.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Amortization of intangible assets decreased $0.4 million, or 2.4% for the three months ended March 31, 2023, as compared to the three months ended March 31, 2022 due to changes in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expense, net increased $18.5 million, or 177.5%, for the three months ended March 31, 2023, as compared to the three months ended March 31, 2022. The variance was driven by an increase in the variable interest rate driving increased interest expense of $16.8 million on borrowings previously outstanding in the same period of the prior year coupled with interest expense of $6.6 million on incremental borrowings. In addition, we recorded a $6.3 million reduction to interest expense attributable to the favorable change in fair value of interest rate derivatives not designated as hedging instruments in the first quarter of 2022 that did not recur in the first quarter of 2023. Partially offsetting this increase was a $9.5 million reduction to interest expense attributable to favorable settlements on interest rate cap contracts and a $2.6 million increase in interest income on cash and cash equivalents on deposit at financial institutions. The weighted average interest rate on our outstanding debt was 7.85% and 3.25% at March 31,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Foreign exchange loss was $0.3 million for the three months ended March 31, 2023 compared to $0.8 million for the three months ended March 31, 2022. The change in foreign exchange loss in our Consolidated Statements of Operations and Comprehensive Income mainly relates to short-term losses (offset by short-term gains) on sales denominated in currencies other than the functional currency of our operating entities. As described in Note 16, “Financial Instruments and Financial Risk”, we enter into monthly U.S. dollar-denominated foreign currency forward contracts to manage foreign currency exchange rate risk related to our international subsidiaries.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Other income, net was $1.3 million for the three months ended March 31, 2023 compared to $3.0 million for the three months ended March 31, 2022. The majority of the variance stemmed from a decrease in the fair value of Nordion’s embedded derivative assets in the three months ended March 31, 2023, resulting in a decrease in other income of $1.3 million from the three months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Provision for income taxes decreased $12.1 million to a net provision of $2.6 million for the three months ended March 31, 2023, as compared to $14.6 million for the three months ended March 31, 2022. The change was primarily attributable to lower pre-tax income for the three months ended March 31, 2023 compared to the three months ended March 31, 2022, partially offset by an increase in the valuation allowance against our excess interest expense carryforward balance and the foreign rate differential. The increase in the valuation allowance was a direct result of the $408.0 million Illinois EO litigation settlement, which was paid into a settlement escrow fund on May 1, 2023. This expense will eliminate a current deduction of 2023 U.S. interest and increases the valuation allowance against our excess interest expense carryforward balance.</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Provision for income taxes for the three months ended March 31, 2023 differed from the statutory rate primarily due to an increase in the partial valuation allowance against our excess interest expense carryforward balance, the impact of the foreign rate differential and non-deductible compensation expense. Provision for income taxes for the three months ended March 31, 2022 differed from the statutory rate primarily due to an increase in the partial valuation allowance against our excess interest expense carryforward balance, the impact of the foreign rate differential, and tax on Global Intangible Low Taxed Income (“GILTI”).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Net income for the three months ended March 31, 2023 was $2.8 million, as compared to $30.6 million for the three months ended March 31, 2022. Adjusted Net Income was $38.0 million for the three months ended March 31, 2023, as compared to $60.3 million for the three months ended March 31, 2022, due to the factors described above. Adjusted EBITDA was $98.5 million for the three months ended March 31, 2023, as compared to $115.3 million for the three months ended March 31, 2022,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7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231F20"/>
        </w:rPr>
        <w:t>and Adjusted EBITDA rather than net income, the nearest GAAP equivalent. For example, Adjusted Net Income and Adjusted EBITDA primarily exclude:</w:t>
      </w:r>
    </w:p>
    <w:p>
      <w:pPr>
        <w:spacing w:after="0" w:line="140" w:lineRule="exact"/>
        <w:rPr>
          <w:sz w:val="20"/>
          <w:szCs w:val="20"/>
          <w:color w:val="auto"/>
        </w:rPr>
      </w:pPr>
    </w:p>
    <w:p>
      <w:pPr>
        <w:ind w:left="660" w:right="42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160" w:hanging="328"/>
        <w:spacing w:after="0" w:line="308" w:lineRule="auto"/>
        <w:tabs>
          <w:tab w:leader="none" w:pos="655"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non-cash gains or losses from fluctuations in foreign currency exchange rates and the mark-to-fair value of derivatives not designated as hedging instruments, which includes embedded derivatives relating to certain customer and supply contracts at Nordion;</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impairment charges on long-lived assets, intangible assets and investments accounted for under the equity method;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on extinguishment of debt incurred in connection with refinancing or early extinguishment of long-term debt;</w:t>
      </w:r>
    </w:p>
    <w:p>
      <w:pPr>
        <w:spacing w:after="0" w:line="117"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expenses and charges related to the litigation, settlement agreements, and other activities associated with our EO sterilization facilities, including those in Willowbrook, Illinois, Atlanta, Georgia and Santa Teresa, New Mexico, even though that litigation remains ongoing;</w:t>
      </w:r>
    </w:p>
    <w:p>
      <w:pPr>
        <w:spacing w:after="0" w:line="38" w:lineRule="exact"/>
        <w:rPr>
          <w:rFonts w:ascii="Arial" w:cs="Arial" w:eastAsia="Arial" w:hAnsi="Arial"/>
          <w:sz w:val="17"/>
          <w:szCs w:val="17"/>
          <w:color w:val="231F20"/>
        </w:rPr>
      </w:pPr>
    </w:p>
    <w:p>
      <w:pPr>
        <w:ind w:left="660" w:right="100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6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presents a reconciliation of net income, the most directly comparable financial measure calculated and presented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GAAP to Adjusted Net Income and Adjusted EBITDA, for each of the periods indicated:</w:t>
      </w:r>
    </w:p>
    <w:p>
      <w:pPr>
        <w:spacing w:after="0" w:line="265"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29210</wp:posOffset>
            </wp:positionV>
            <wp:extent cx="18770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30,641</w:t>
            </w:r>
          </w:p>
        </w:tc>
      </w:tr>
      <w:tr>
        <w:trPr>
          <w:trHeight w:val="233"/>
        </w:trPr>
        <w:tc>
          <w:tcPr>
            <w:tcW w:w="82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20,607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20,182</w:t>
            </w:r>
          </w:p>
        </w:tc>
      </w:tr>
      <w:tr>
        <w:trPr>
          <w:trHeight w:val="33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7,348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Loss (gain) on foreign currency and derivatives not designated as hedging instruments, net</w:t>
            </w:r>
            <w:r>
              <w:rPr>
                <w:rFonts w:ascii="Arial" w:cs="Arial" w:eastAsia="Arial" w:hAnsi="Arial"/>
                <w:sz w:val="21"/>
                <w:szCs w:val="21"/>
                <w:color w:val="auto"/>
                <w:vertAlign w:val="superscript"/>
              </w:rPr>
              <w:t>(b)</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(6,552)</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2,534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Professional services and other expenses relating to EO sterilization facilities</w:t>
            </w:r>
            <w:r>
              <w:rPr>
                <w:rFonts w:ascii="Arial" w:cs="Arial" w:eastAsia="Arial" w:hAnsi="Arial"/>
                <w:sz w:val="21"/>
                <w:szCs w:val="21"/>
                <w:color w:val="auto"/>
                <w:vertAlign w:val="superscript"/>
              </w:rPr>
              <w:t>(f)</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16,302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18,059</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21"/>
                <w:szCs w:val="21"/>
                <w:color w:val="auto"/>
                <w:vertAlign w:val="superscript"/>
              </w:rPr>
              <w:t>(g)</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(h)</w:t>
            </w:r>
          </w:p>
        </w:tc>
        <w:tc>
          <w:tcPr>
            <w:tcW w:w="3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(i)</w:t>
            </w: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(12,392)</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(7,852)</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38,045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60,254</w:t>
            </w:r>
          </w:p>
        </w:tc>
      </w:tr>
      <w:tr>
        <w:trPr>
          <w:trHeight w:val="243"/>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(j)</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16,750</w:t>
            </w:r>
          </w:p>
        </w:tc>
      </w:tr>
      <w:tr>
        <w:trPr>
          <w:trHeight w:val="324"/>
        </w:trPr>
        <w:tc>
          <w:tcPr>
            <w:tcW w:w="8280" w:type="dxa"/>
            <w:vAlign w:val="bottom"/>
          </w:tcPr>
          <w:p>
            <w:pPr>
              <w:ind w:left="360"/>
              <w:spacing w:after="0"/>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(k)</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18,931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15,867</w:t>
            </w:r>
          </w:p>
        </w:tc>
      </w:tr>
      <w:tr>
        <w:trPr>
          <w:trHeight w:val="324"/>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(l)</w:t>
            </w: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14,952</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22,478</w:t>
            </w:r>
          </w:p>
        </w:tc>
      </w:tr>
      <w:tr>
        <w:trPr>
          <w:trHeight w:val="236"/>
        </w:trPr>
        <w:tc>
          <w:tcPr>
            <w:tcW w:w="8280" w:type="dxa"/>
            <w:vAlign w:val="bottom"/>
          </w:tcPr>
          <w:p>
            <w:pPr>
              <w:ind w:left="20"/>
              <w:spacing w:after="0" w:line="237"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(m)</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98,468</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115,349</w:t>
            </w:r>
          </w:p>
        </w:tc>
      </w:tr>
      <w:tr>
        <w:trPr>
          <w:trHeight w:val="21"/>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share-based compensation expense to employees and Non-Employee Directors.</w:t>
      </w:r>
    </w:p>
    <w:p>
      <w:pPr>
        <w:spacing w:after="0" w:line="49" w:lineRule="exact"/>
        <w:rPr>
          <w:rFonts w:ascii="Arial" w:cs="Arial" w:eastAsia="Arial" w:hAnsi="Arial"/>
          <w:sz w:val="18"/>
          <w:szCs w:val="18"/>
          <w:color w:val="auto"/>
        </w:rPr>
      </w:pPr>
    </w:p>
    <w:p>
      <w:pPr>
        <w:ind w:left="660" w:right="480" w:hanging="652"/>
        <w:spacing w:after="0" w:line="308" w:lineRule="auto"/>
        <w:tabs>
          <w:tab w:leader="none" w:pos="4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660" w:right="160" w:hanging="652"/>
        <w:spacing w:after="0" w:line="263" w:lineRule="auto"/>
        <w:tabs>
          <w:tab w:leader="none" w:pos="3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6" w:name="page37"/>
    <w:bookmarkEnd w:id="36"/>
    <w:p>
      <w:pPr>
        <w:ind w:left="660"/>
        <w:spacing w:after="0"/>
        <w:rPr>
          <w:sz w:val="20"/>
          <w:szCs w:val="20"/>
          <w:color w:val="auto"/>
        </w:rPr>
      </w:pPr>
      <w:r>
        <w:rPr>
          <w:rFonts w:ascii="Arial" w:cs="Arial" w:eastAsia="Arial" w:hAnsi="Arial"/>
          <w:sz w:val="18"/>
          <w:szCs w:val="18"/>
          <w:color w:val="auto"/>
        </w:rPr>
        <w:t>income and non-cash deferred lease income associated with the terms of the divestiture of the Medical Isotopes business in 2018.</w:t>
      </w:r>
    </w:p>
    <w:p>
      <w:pPr>
        <w:spacing w:after="0" w:line="36" w:lineRule="exact"/>
        <w:rPr>
          <w:sz w:val="20"/>
          <w:szCs w:val="20"/>
          <w:color w:val="auto"/>
        </w:rPr>
      </w:pPr>
    </w:p>
    <w:p>
      <w:pPr>
        <w:ind w:left="660" w:right="200" w:hanging="652"/>
        <w:spacing w:after="0" w:line="263"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pacing w:after="0" w:line="8" w:lineRule="exact"/>
        <w:rPr>
          <w:rFonts w:ascii="Arial" w:cs="Arial" w:eastAsia="Arial" w:hAnsi="Arial"/>
          <w:sz w:val="18"/>
          <w:szCs w:val="18"/>
          <w:color w:val="auto"/>
        </w:rPr>
      </w:pPr>
    </w:p>
    <w:p>
      <w:pPr>
        <w:ind w:left="660" w:right="380" w:hanging="652"/>
        <w:spacing w:after="0" w:line="263"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8" w:lineRule="exact"/>
        <w:rPr>
          <w:rFonts w:ascii="Arial" w:cs="Arial" w:eastAsia="Arial" w:hAnsi="Arial"/>
          <w:sz w:val="18"/>
          <w:szCs w:val="18"/>
          <w:color w:val="auto"/>
        </w:rPr>
      </w:pPr>
    </w:p>
    <w:p>
      <w:pPr>
        <w:ind w:left="660" w:right="380" w:hanging="652"/>
        <w:spacing w:after="0" w:line="256" w:lineRule="auto"/>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litigation and other professional fees associated with our EO sterilization facilities. This amount also includes $2.3 million of interest expense, net associated with Term Loan B that was issued to finance the $408.0 million cost to settle 880+ pending and threatened EO claims against the Settling Defendants in Illinois under Settlement Agreements entered into on March 28, 2023, subject to substantially all of the plaintiffs providing opt-in consents to their individual settlement allocations and dismissing their claims with prejudice. See Note 15 “Commitments and Contingencies”.</w:t>
      </w:r>
    </w:p>
    <w:p>
      <w:pPr>
        <w:spacing w:after="0" w:line="3" w:lineRule="exact"/>
        <w:rPr>
          <w:rFonts w:ascii="Arial" w:cs="Arial" w:eastAsia="Arial" w:hAnsi="Arial"/>
          <w:sz w:val="18"/>
          <w:szCs w:val="18"/>
          <w:color w:val="auto"/>
        </w:rPr>
      </w:pPr>
    </w:p>
    <w:p>
      <w:pPr>
        <w:ind w:left="660" w:right="340" w:hanging="652"/>
        <w:spacing w:after="0" w:line="281" w:lineRule="auto"/>
        <w:tabs>
          <w:tab w:leader="none" w:pos="40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7"/>
          <w:szCs w:val="17"/>
          <w:color w:val="auto"/>
        </w:rPr>
      </w:pPr>
    </w:p>
    <w:p>
      <w:pPr>
        <w:ind w:left="660" w:right="460" w:hanging="652"/>
        <w:spacing w:after="0" w:line="273" w:lineRule="auto"/>
        <w:tabs>
          <w:tab w:leader="none" w:pos="4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1" w:lineRule="exact"/>
        <w:rPr>
          <w:rFonts w:ascii="Arial" w:cs="Arial" w:eastAsia="Arial" w:hAnsi="Arial"/>
          <w:sz w:val="18"/>
          <w:szCs w:val="18"/>
          <w:color w:val="auto"/>
        </w:rPr>
      </w:pPr>
    </w:p>
    <w:p>
      <w:pPr>
        <w:ind w:left="660" w:right="180" w:hanging="652"/>
        <w:spacing w:after="0" w:line="266" w:lineRule="auto"/>
        <w:tabs>
          <w:tab w:leader="none" w:pos="362"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660" w:right="160" w:hanging="652"/>
        <w:spacing w:after="0" w:line="281" w:lineRule="auto"/>
        <w:tabs>
          <w:tab w:leader="none" w:pos="362" w:val="left"/>
        </w:tabs>
        <w:numPr>
          <w:ilvl w:val="0"/>
          <w:numId w:val="26"/>
        </w:numPr>
        <w:rPr>
          <w:rFonts w:ascii="Arial" w:cs="Arial" w:eastAsia="Arial" w:hAnsi="Arial"/>
          <w:sz w:val="17"/>
          <w:szCs w:val="17"/>
          <w:color w:val="231F20"/>
        </w:rPr>
      </w:pPr>
      <w:r>
        <w:rPr>
          <w:rFonts w:ascii="Arial" w:cs="Arial" w:eastAsia="Arial" w:hAnsi="Arial"/>
          <w:sz w:val="17"/>
          <w:szCs w:val="17"/>
          <w:color w:val="auto"/>
        </w:rPr>
        <w:t>The three months ended March 31, 2023 excludes $2.3 million of interest expense, net on Term Loan B attributable to the loan proceeds that were used to fund the $408.0 million Illinois EO litigation settlement. The three months ended March 31, 2022 excludes a $6.3 million net increase in the fair value of interest rate derivatives not designated as hedging instruments recorded to interest expense.</w:t>
      </w:r>
    </w:p>
    <w:p>
      <w:pPr>
        <w:spacing w:after="0" w:line="1" w:lineRule="exact"/>
        <w:rPr>
          <w:rFonts w:ascii="Arial" w:cs="Arial" w:eastAsia="Arial" w:hAnsi="Arial"/>
          <w:sz w:val="17"/>
          <w:szCs w:val="17"/>
          <w:color w:val="231F20"/>
        </w:rPr>
      </w:pPr>
    </w:p>
    <w:p>
      <w:pPr>
        <w:ind w:left="400" w:hanging="392"/>
        <w:spacing w:after="0"/>
        <w:tabs>
          <w:tab w:leader="none" w:pos="40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Includes depreciation of Co-60 held at gamma irradiation sites.</w:t>
      </w:r>
    </w:p>
    <w:p>
      <w:pPr>
        <w:spacing w:after="0" w:line="49" w:lineRule="exact"/>
        <w:rPr>
          <w:rFonts w:ascii="Arial" w:cs="Arial" w:eastAsia="Arial" w:hAnsi="Arial"/>
          <w:sz w:val="18"/>
          <w:szCs w:val="18"/>
          <w:color w:val="231F20"/>
        </w:rPr>
      </w:pPr>
    </w:p>
    <w:p>
      <w:pPr>
        <w:ind w:left="660" w:right="20" w:hanging="652"/>
        <w:spacing w:after="0" w:line="266" w:lineRule="auto"/>
        <w:tabs>
          <w:tab w:leader="none" w:pos="362"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Represents the difference between income tax provision or benefit as determined under U.S. GAAP and the income tax provision or benefit associated with pre-tax adjustments described in footnote (i).</w:t>
      </w:r>
    </w:p>
    <w:p>
      <w:pPr>
        <w:ind w:left="660" w:right="620" w:hanging="652"/>
        <w:spacing w:after="0" w:line="342" w:lineRule="auto"/>
        <w:tabs>
          <w:tab w:leader="none" w:pos="4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$22.9 million and $19.8 million of the adjustments for the three months ended March 31, 2023 and 2022, respectively, are included in cost of revenues, primarily consisting of amortization of intangible assets, depreciation, and accretion of asset retirement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decision-maker evaluates performance and allocates resources within our business based on segment income, which excludes certain items which are included in income before tax as determined in our Consolidated Statements of Operations and Comprehensive Income. The accounting policies for our reportable segments are the same as those for the consolidated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time required to meet regulatory and logistics requirements for delivery of radioactive products, combined with accommodations made to our customers to minimize disruptions to their operations during the installation of Co-60,</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37" w:name="page38"/>
    <w:bookmarkEnd w:id="37"/>
    <w:p>
      <w:pPr>
        <w:jc w:val="both"/>
        <w:ind w:right="380"/>
        <w:spacing w:after="0" w:line="263" w:lineRule="auto"/>
        <w:rPr>
          <w:sz w:val="20"/>
          <w:szCs w:val="20"/>
          <w:color w:val="auto"/>
        </w:rPr>
      </w:pPr>
      <w:r>
        <w:rPr>
          <w:rFonts w:ascii="Arial" w:cs="Arial" w:eastAsia="Arial" w:hAnsi="Arial"/>
          <w:sz w:val="18"/>
          <w:szCs w:val="18"/>
          <w:color w:val="auto"/>
        </w:rPr>
        <w:t>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also impacted by Co-60 mix, harvest schedules, as well as customer, product and service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Nelson Labs business provides outsourced microbiological and analytical chemistry testing and advisory services for the medical device and pharmaceutical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our reportable segments, please refer to Note 17, “Segment Information” to our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March 31, 2023 and 2022</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compare segment net revenue and segment income for the three months ended March 31, 2023 to the three months ended March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2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10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60" w:type="dxa"/>
            <w:vAlign w:val="bottom"/>
          </w:tcPr>
          <w:p>
            <w:pPr>
              <w:spacing w:after="0"/>
              <w:rPr>
                <w:sz w:val="23"/>
                <w:szCs w:val="23"/>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35"/>
              <w:spacing w:after="0"/>
              <w:rPr>
                <w:sz w:val="20"/>
                <w:szCs w:val="20"/>
                <w:color w:val="auto"/>
              </w:rPr>
            </w:pPr>
            <w:r>
              <w:rPr>
                <w:rFonts w:ascii="Arial" w:cs="Arial" w:eastAsia="Arial" w:hAnsi="Arial"/>
                <w:sz w:val="18"/>
                <w:szCs w:val="18"/>
                <w:b w:val="1"/>
                <w:bCs w:val="1"/>
                <w:color w:val="auto"/>
              </w:rPr>
              <w:t>159,997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149,462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8,551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34,002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(74.9 %)</w:t>
            </w:r>
          </w:p>
        </w:tc>
        <w:tc>
          <w:tcPr>
            <w:tcW w:w="0" w:type="dxa"/>
            <w:vAlign w:val="bottom"/>
          </w:tcPr>
          <w:p>
            <w:pPr>
              <w:spacing w:after="0"/>
              <w:rPr>
                <w:sz w:val="1"/>
                <w:szCs w:val="1"/>
                <w:color w:val="auto"/>
              </w:rPr>
            </w:pP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b w:val="1"/>
                <w:bCs w:val="1"/>
                <w:color w:val="auto"/>
              </w:rPr>
              <w:t>52,042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53,290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35"/>
              <w:spacing w:after="0"/>
              <w:rPr>
                <w:sz w:val="20"/>
                <w:szCs w:val="20"/>
                <w:color w:val="auto"/>
              </w:rPr>
            </w:pPr>
            <w:r>
              <w:rPr>
                <w:rFonts w:ascii="Arial" w:cs="Arial" w:eastAsia="Arial" w:hAnsi="Arial"/>
                <w:sz w:val="18"/>
                <w:szCs w:val="18"/>
                <w:b w:val="1"/>
                <w:bCs w:val="1"/>
                <w:color w:val="auto"/>
              </w:rPr>
              <w:t>82,840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79,403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b w:val="1"/>
                <w:bCs w:val="1"/>
                <w:color w:val="auto"/>
              </w:rPr>
              <w:t>14,102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51.8 %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53.1 %</w:t>
            </w:r>
          </w:p>
        </w:tc>
        <w:tc>
          <w:tcPr>
            <w:tcW w:w="296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29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27.1 %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32.0 %</w:t>
            </w:r>
          </w:p>
        </w:tc>
        <w:tc>
          <w:tcPr>
            <w:tcW w:w="29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Sterigenics net revenues were $160.0 million for the three months ended March 31, 2023, an increase of $10.5 million, or 7.0%, as compared to the three months ended March 31, 2022. The increase reflects favorable impacts from pricing of 6.2% as well as volume and mix of 1.9%, partially offset by unfavorable impacts from changes in foreign currency exchange rates of 1.1%.</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Nordion net revenues were $8.6 million for the three months ended March 31, 2023, a decrease of $25.5 million, or 74.9%, as compared to the three months ended March 31, 2022. The decrease was driven by an expected volume decline and change in mix due to Co-60 harvest schedule timing, and an unfavorable impact from changes in foreign exchange rates.</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Nelson Labs net revenues were $52.0 million for the three months ended March 31, 2023, a decrease of $1.2 million, or 2.3%, as compared to the three months ended March 31, 2022. The decrease was attributable to volume decline and change in mix of 5.2% coupled with a 1.0% impact from changes in foreign currency exchange rates. Partially offsetting this decline was a favorable impact from pricing of 3.9%.</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Sterigenics segment income was $82.8 million for the three months ended March 31, 2023, an increase of $3.4 million, or 4.3%, as compared to the three months ended March 31, 2022. The increase in segment income was primarily a result of favorable customer pricing as well as volume and mix, as referenced above. The decline in segment income margin was driven by the impact of current staffing levels versus the typical lighter first-quarter volume relative to the remainder of the year coupled with inflation, partially offset by the impacts of favorable pricing.</w:t>
      </w:r>
    </w:p>
    <w:p>
      <w:pPr>
        <w:spacing w:after="0" w:line="17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Nordion segment income was $1.5 million for the three months ended March 31, 2023, a decrease of $17.4 million, or 91.9%, as compared to the three months ended March 31, 2022. The decrease in segment income and segment income margin was driven by expected volume decline and change in mix stemming from Co-60 harvest schedule timing, as referenced above.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Nelson Labs segment income was $14.1 million for the three months ended March 31, 2023, a decrease of $2.9 million, or 17.3%, as compared to the three months ended March 31, 2022. The decrease in segment income was primarily a result of volume decline and change in mix, partially offset by favorable pricing, as referenced above. Segment income margin decline was also driven by the impact of current staffing levels versus the typical lighter first-quarter volume relative to the remainder of the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As of March 31, 2023, we had $647.9 million of unrestricted cash and cash equivalents. This is an increase of $252.7 million from the balance at December 31, 2022. The increase in cash and cash equivalents was mainly attributable to $500.0 million in proceeds from the issuance of Term Loan B on February 23, 2023, partially offset by the $200.0 million paydown of the outstanding balance on the revolving credit facility. Our foreign subsidiaries held cash of approximately $140.2 million at March 31, 2023 and $158.3 million at December 31, 2022, to meet their liquidity needs. No material restrictions exist to accessing cash held by our foreign subsidiaries notwithstanding any potential tax consequences.</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23, 2023, we entered into the First Lien Credit Agreement (the “2023 Credit Agreement”), which provides for, among other things, a new Term Loan B facility in an aggregate principal amount of $500.0 million and bears interest, at the Company’s option, at a variable rate per annum equal to either (x) the Term SOFR Rate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this debt to fund a previously announced $408.0 million EO litigation settlement in Cook County, Illinois on May 1, 2023 and pay down existing borrowings under the Company’s revolving credit facility. In addition, the Company plans to use the remaining proceeds to further enhance liquidity and for general corporate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Uses of Cash</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expect that cash on hand, operating cash flows and amounts available under our credit facilities will provide sufficient working capital to operate our business, meet foreseeable liquidity requirements, including debt service on our long-term debt, make expected capital expenditures including investments in fixed assets to build and/or expand existing facilities, and meet litigation costs for at least the next 12 months. Our primary long-term liquidity requirements beyond the next 12 months will be to service our debt, make capital expenditures, and fund suitable business acquisitions. As of March 31, 2023,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March 31, 2023, our interest rate caps limit our cash flow exposure related to LIBOR for the total principal amount outstanding on our variable rate borrowings under the Term Loan. Refer to Note 16, “Financial Instruments and Financial Risk” under the heading “Derivative Instruments” for additional information regarding the interest rate caps used to manage economic risks associated with our variable rate borrowings.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three months ended March 31, 2023, our capital expenditures amounted to $45.0 million, compared to $35.5 million for the three months ended March 31, 2022.</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compared to the Three Months Ended March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716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7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33,871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2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273,916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 including restricted cash, during the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263,886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flows provided by operating activities decreased $16.1 million to net cash provided of $33.9 million for the three months ended March 31, 2023 compared to $50.0 million for the three months ended March 31, 2022. The decrease in cash flows from operating activities in the three months ended March 31, 2023 compared to the three months ended March 31, 2022 was driven primarily by a decrease in operating income of $20.1 million, partially offset by a decrease in cash used for working capital of $9.9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Cash used in investing activities increased $9.5 million to net cash used of $45.0 million for the three months ended March 31, 2023 compared to $35.5 million for the three months ended March 31, 2022.The variance was primarily driven by an increase in capital expenditures of $9.5 million in the first quarter of 2023 compared to the first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Cash provided by financing activities increased $274.4 million to net cash used of $273.9 million for the three months ended March 31, 2023 compared to $0.4 million for the three months ended March 31, 2022. The difference was mainly attributable to $500.0 million in proceeds from the issuance of Term Loan B on February 23, 2023, partially offset by the $200.0 million paydown of the outstanding balance on the revolving credit facility and the payment of $24.5 million of debt issuance costs incurred in connection with the issuance of Term Loan B and revolving credit facility amendment in the three months ended March 31, 2023, as described in “Debt Facilities” below. Financing activities for the three months ended March 31, 2022 were insignificant.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March 31, 2023 and December 31, 2022, total borrowings under the Term Loan were $1,763.1 million. The weighted average interest rate on borrowings under the Term Loan for the three months ended March 31, 2023 and March 31, 2022 was 7.44% and 3.25%,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ind w:right="40"/>
        <w:spacing w:after="0" w:line="269" w:lineRule="auto"/>
        <w:rPr>
          <w:sz w:val="20"/>
          <w:szCs w:val="20"/>
          <w:color w:val="auto"/>
        </w:rPr>
      </w:pPr>
      <w:r>
        <w:rPr>
          <w:rFonts w:ascii="Arial" w:cs="Arial" w:eastAsia="Arial" w:hAnsi="Arial"/>
          <w:sz w:val="17"/>
          <w:szCs w:val="17"/>
          <w:color w:val="auto"/>
        </w:rPr>
        <w:t>On February 23, 2023, we entered into the First Lien Credit Agreement (the “2023 Credit Agreement”), which provides for, among other things, a new Term Loan B facility in an aggregate principal amount of $500.0 million and bears interest, at the Company’s option, at a variable rate per annum equal to either (x) the Term SOFR Rate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this debt to fund a previously announced $408.0 million EO litigation settlement in Cook County, Illinois and pay down the $200.0 million of existing borrowings under the Revolving Credit Facility concurrent with the funding of this loan on February 23, 2023. In addition, the Company plans to use the remaining proceeds to further enhance liquidity and for general corporate purposes. The weighted average interest rate on borrowings under Term Loan B for the three months ended March 31, 2023 was 8.82%.</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March 21, 2023, the Company entered into the Revolving Credit Facility Amendment, which provides for an increase in the commitments under the existing Revolving Credit Facility in an aggregate principal amount of $76.3 million. In addition, certain of the lenders providing revolving credit commitments have provided additional commitments for the issuance of the letters of credit under the Revolving Credit Facility in an aggregate principal amount of $165.1 million. The Revolving Credit Facility Amendment also provides for the replacement of the LIBOR-based reference interest rate option for revolving loans with a reference rate option based upon the Term Secured Overnight Financing Rate (“Term SOFR”) or Daily Simple SOFR (“Daily SOFR”) plus an applicable credit spread adjustment of 0.1% (subject to a minimum floor of 0.0%). After giving effect to the Revolving Credit Facility Amendment, the aggregate amount of the Lenders' revolving commitments is $423.8 million and the aggregate amount of letter of credit commitments is $361.3 million. Letter of credit commitments are part of and not in addition to the aggregate revolving commitments. The maturity date of the Revolving Credit Facility remains June 13, 2026. As of March 31, 2023 there were no borrowings outstanding on the Revolving Credit Facility. The Company borrowed $200.0 million on the revolving credit facility during the fourth quarter of 2022, which was repaid in the first quarter of 2023, as noted above. The weighted average interest rate on outstanding borrowings under the Revolving Credit Facility for the three months ended March 31, 2023 was 7.47%.</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for payment in an aggregate amount in excess of $100.0 million, which judgment or judgments are not stayed or remain undischarged for a period of 60 consecutive days or if, in order to enforce such a judgment, a judgment creditor attached or levied upon assets that are material to the business and operations, taken as a whole, of the Company and certain of its subsidiaries. As of March 31, 2023, we were in compliance with all Senior Secured Credit Facilities and 2023 Credit Agreement covenants.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spacing w:after="0" w:line="19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March 31, 2023, the Company had $65.1 million of letters of credit issued against the Revolving Credit Facility, resulting in total availability under the Revolving Credit Facility of $358.7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Company utilizes interest rate derivatives to reduce the variability of cash flows in the interest payments associated with our variable rate debt due to changes in LIBOR and SOFR. For additional information on the derivative instruments described above, refer to Note 16, “Financial Instruments and Financial Risk”, </w:t>
      </w:r>
      <w:r>
        <w:rPr>
          <w:rFonts w:ascii="Arial" w:cs="Arial" w:eastAsia="Arial" w:hAnsi="Arial"/>
          <w:sz w:val="18"/>
          <w:szCs w:val="18"/>
          <w:i w:val="1"/>
          <w:iCs w:val="1"/>
          <w:color w:val="auto"/>
        </w:rPr>
        <w:t>“Derivatives Instruments.”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1" w:name="page42"/>
    <w:bookmarkEnd w:id="41"/>
    <w:p>
      <w:pPr>
        <w:spacing w:after="0" w:line="273" w:lineRule="auto"/>
        <w:rPr>
          <w:sz w:val="20"/>
          <w:szCs w:val="20"/>
          <w:color w:val="auto"/>
        </w:rPr>
      </w:pPr>
      <w:r>
        <w:rPr>
          <w:rFonts w:ascii="Arial" w:cs="Arial" w:eastAsia="Arial" w:hAnsi="Arial"/>
          <w:sz w:val="17"/>
          <w:szCs w:val="17"/>
          <w:color w:val="auto"/>
        </w:rPr>
        <w:t xml:space="preserve">Publication of all U.S. LIBOR tenors will cease after June 30, 2023. The most likely replacement benchmark is expected to be the Secured Overnight Financing Rate ("SOFR"), which has been recommended by financial regulators in the United States. We have identified our LIBOR-based exposure in our debt and outstanding interest rate derivative agreements and have addressed the LIBOR transition for those contracts. In accordance with ASC 848 </w:t>
      </w:r>
      <w:r>
        <w:rPr>
          <w:rFonts w:ascii="Arial" w:cs="Arial" w:eastAsia="Arial" w:hAnsi="Arial"/>
          <w:sz w:val="17"/>
          <w:szCs w:val="17"/>
          <w:i w:val="1"/>
          <w:iCs w:val="1"/>
          <w:color w:val="auto"/>
        </w:rPr>
        <w:t>Reference Rate Reform</w:t>
      </w:r>
      <w:r>
        <w:rPr>
          <w:rFonts w:ascii="Arial" w:cs="Arial" w:eastAsia="Arial" w:hAnsi="Arial"/>
          <w:sz w:val="17"/>
          <w:szCs w:val="17"/>
          <w:color w:val="auto"/>
        </w:rPr>
        <w:t>, we have elected to apply certain optional expedients for contract modifications and hedging relationships for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the benchmark interest rate transition. The optional expedients remove the requirement to remeasure contract modifications or dedesignate hedging relationships impacted by reference rate reform.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A comprehensive discussion of the Company’s critical accounting policies and management estimates made in connection with the preparation of the financial statements is included in Item 7 of our Annual Report on Form 10-K for the year ended December 31, 2022. There have been no significant changes in critical accounting policies, management estimates or accounting policies since the year ended December 31,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 to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Market risks are described within “Quantitative and Qualitative Disclosures About Market Risk” in Part II, Item 7A of our Annual Report on Form 10-K for the year ended December 31, 2022. These market risks have not materially changed for the three months ended March 31, 2023.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has evaluated the effectiveness of the Company’s “disclosure controls and procedures,” (as defined in Rules 13a-15(e) and 15d-15(e) under the Securities Exchange Act of 1934, as amended (“Exchange Act”)). Based upon their evaluation, the CEO and CFO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three months ended March 31, 2023,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material legal proceedings is included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Described in Note 15 “Commitments and Contingencies” of Our Consolidated Financial Statements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Note 15, “Commitments and Contingencies” to our consolidated financial statements for the three months ended March 31, 2023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15 “Commitments and Contingencies” for information regarding the following legal proceedings, which information is incorporated into this item by reference:</w:t>
      </w:r>
    </w:p>
    <w:p>
      <w:pPr>
        <w:spacing w:after="0" w:line="3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Ethylene Oxide Tort Litigation – Illinois, Georgia and New Mexico;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Mexico Attorney General Litigation;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Sotera Health Company Securities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That Are Not Described in Note 15 “Commitments and Contingencies” to Our Consolidated Financial Statements</w:t>
      </w:r>
    </w:p>
    <w:p>
      <w:pPr>
        <w:spacing w:after="0" w:line="13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addition to the matters that are identified in Note 15 “Commitments and Contingencies” to our consolidated financial statements for the three months ended March 31, 2023 contained in this Quarterly Report on Form 10-Q, and incorporated into this item by reference, the following matter also constitutes a pending legal proceeding, other than ordinary course litigation incidental to our business, to which we are or any of our subsidiaries is a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2010, the Dutch Public Prosecution Service started criminal proceedings against our subsidiary DEROSS Holding B.V. (“DEROSS”), in relation to alleged environmental permit violations for EO emissions in the period from 2004 to 2009 at its Zoetermeer processing facility. On the basis of the final indictment issued in April 2017, assuming a rarely applied increasing mechanism is not applied in this case, fines in the amount of €0.8 million (US$0.9 million) may be imposed. We have also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November 2010, the Public Prosecution Service also started a criminal financial investigation against DEROSS to determine whether it obtained illegal advantages by committing the alleged criminal offenses noted above. Any illegally obtained advantage could then be recovered from DEROSS in subsequent confiscation proceedings. The Public Prosecution Service estimates the illegally obtained advantage by DEROSS to be €0.6 million (US$0.7 million).</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February 2018, DEROSS and the two individuals received favorable judgments from the trial court, which did not hold any of them responsible for the alleged criminal offenses. In March 2018, the Public Prosecutor filed an appeal against the favorable judgments. The appeal procedure remains pending and will likely take several years to resolve.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An escrow account was established in 2011 to satisfy indemnity claims for losses related to this matter. The balance of special escrow funds as of</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March 31, 2023, was approximately US$1.8 million and additional cash collateral held by ABN Amro to provide security for the claims was approximately €2.4 million (US$2.6 million) as of March 31, 2023. At this time, we believe the indemnification receivable continues to be recoverable and plan to ensure escrow funds remain in place to cover outcomes of an appeal.</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jc w:val="both"/>
        <w:ind w:right="40"/>
        <w:spacing w:after="0" w:line="279" w:lineRule="auto"/>
        <w:rPr>
          <w:sz w:val="20"/>
          <w:szCs w:val="20"/>
          <w:color w:val="auto"/>
        </w:rPr>
      </w:pPr>
      <w:r>
        <w:rPr>
          <w:rFonts w:ascii="Arial" w:cs="Arial" w:eastAsia="Arial" w:hAnsi="Arial"/>
          <w:sz w:val="17"/>
          <w:szCs w:val="17"/>
          <w:color w:val="auto"/>
        </w:rPr>
        <w:t>While we have received letters from a small number of individuals claiming to live or work in the vicinity of the Zoetermeer facility, no civil claims have been filed against DEROSS or us. It is possible that these or other individuals living in the vicinity of the Zoetermeer facility may file civil claims at some time in the future. We have not provided for a contingency reserve in connection with any civil claims as we are unable to determine the probability of an unfavorable outcome and no reasonable estimate of a loss or range of losses, if any,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risk factor titled “We are subject to extensive regulatory requirements and routine regulatory audits in our operations. …” included in Part I, Item 1A, “Risk Factors” of our Annual Report on Form 10-K for the year ended December 31, 2022 is hereby updated by adding at the end thereof the paragraph immediately below. Other than such addition, the text of the risk factor is unchanged.</w:t>
      </w:r>
    </w:p>
    <w:p>
      <w:pPr>
        <w:spacing w:after="0" w:line="22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April 2023, the US Environmental Protection Agency (“USEPA”) proposed stricter EO regulations based on the 2016 IRIS Assessment, including (1) a proposed interim decision under the Federal Insecticide, Fungicide, and Rodenticide Act (FIFRA) that sets forth measures designed to mitigate EO exposure, in particular for workers exposed to EO in occupational settings, and (2) proposed amendments to the National Emission Standards for Hazardous Air Pollutants (NESHAP) that would require commercial EO sterilizers to implement additional air pollution control technologies, practices and procedures designed to further reduce EO emissions from EO facilities. These April 2023 proposals contain a number of proposed requirements that are inconsistent with existing industry practices and set forth proposed implementation timelines that would be difficult to meet at existing facilities for some of the proposed requirements; however, the proposals are currently undergoing public review and comment, which may lead to clarifications and revisions in the final USEPA regulations. Although we have been implementing enhancements at our EO sterilization facilities in the United States that we expect will facilitate our ability to meet many of the proposed requirements, certain facets of the proposed requirements are untested or not widely adopted at existing EO sterilization facilities. We are in the early stages of assessing the extent to which the proposals in their current form might require additional modifications and capital costs or might be unachievable at existing EO facilities throughout the industry.</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1"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following Exhibit Index are filed, furnished, or incorporated by reference as part of this Quarterly Report on Form 10-Q.</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4"/>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Furnished/Filed</w:t>
            </w:r>
          </w:p>
        </w:tc>
        <w:tc>
          <w:tcPr>
            <w:tcW w:w="0" w:type="dxa"/>
            <w:vAlign w:val="bottom"/>
          </w:tcPr>
          <w:p>
            <w:pPr>
              <w:spacing w:after="0"/>
              <w:rPr>
                <w:sz w:val="1"/>
                <w:szCs w:val="1"/>
                <w:color w:val="auto"/>
              </w:rPr>
            </w:pPr>
          </w:p>
        </w:tc>
      </w:tr>
      <w:tr>
        <w:trPr>
          <w:trHeight w:val="234"/>
        </w:trPr>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4480" w:type="dxa"/>
            <w:vAlign w:val="bottom"/>
            <w:gridSpan w:val="18"/>
          </w:tcPr>
          <w:p>
            <w:pPr>
              <w:spacing w:after="0"/>
              <w:rPr>
                <w:sz w:val="20"/>
                <w:szCs w:val="20"/>
                <w:color w:val="auto"/>
              </w:rPr>
            </w:pPr>
            <w:r>
              <w:rPr>
                <w:rFonts w:ascii="Arial" w:cs="Arial" w:eastAsia="Arial" w:hAnsi="Arial"/>
                <w:sz w:val="18"/>
                <w:szCs w:val="18"/>
                <w:b w:val="1"/>
                <w:bCs w:val="1"/>
                <w:color w:val="auto"/>
              </w:rPr>
              <w:t>Description of Exhibits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Filing Date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4480" w:type="dxa"/>
            <w:vAlign w:val="bottom"/>
            <w:gridSpan w:val="18"/>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w:t>
            </w: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89"/>
              </w:rPr>
              <w:t>Exchange Act Rules 13a-14(a) and 15d-14(a), as adopted</w:t>
            </w:r>
          </w:p>
        </w:tc>
        <w:tc>
          <w:tcPr>
            <w:tcW w:w="3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9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Certification of Principal Financial Officer pursuant to</w:t>
            </w:r>
          </w:p>
        </w:tc>
        <w:tc>
          <w:tcPr>
            <w:tcW w:w="500" w:type="dxa"/>
            <w:vAlign w:val="bottom"/>
            <w:gridSpan w:val="12"/>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89"/>
              </w:rPr>
              <w:t>Exchange Act Rules 13a-14(a) and 15d-14(a), as adopted</w:t>
            </w:r>
          </w:p>
        </w:tc>
        <w:tc>
          <w:tcPr>
            <w:tcW w:w="3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480" w:type="dxa"/>
            <w:vAlign w:val="bottom"/>
            <w:gridSpan w:val="18"/>
          </w:tcPr>
          <w:p>
            <w:pPr>
              <w:spacing w:after="0"/>
              <w:rPr>
                <w:sz w:val="20"/>
                <w:szCs w:val="20"/>
                <w:color w:val="auto"/>
              </w:rPr>
            </w:pPr>
            <w:r>
              <w:rPr>
                <w:rFonts w:ascii="Arial" w:cs="Arial" w:eastAsia="Arial" w:hAnsi="Arial"/>
                <w:sz w:val="18"/>
                <w:szCs w:val="18"/>
                <w:color w:val="0000FF"/>
                <w:w w:val="99"/>
              </w:rPr>
              <w:t>Certifications of Principal Executive Officer and Principal</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0"/>
              </w:rPr>
              <w:t>Financial Officer pursuant to 18 U.S.C. Section 1350, as</w:t>
            </w:r>
          </w:p>
        </w:tc>
        <w:tc>
          <w:tcPr>
            <w:tcW w:w="120" w:type="dxa"/>
            <w:vAlign w:val="bottom"/>
            <w:tcBorders>
              <w:top w:val="single" w:sz="8" w:color="0000FF"/>
            </w:tcBorders>
            <w:gridSpan w:val="3"/>
          </w:tcPr>
          <w:p>
            <w:pPr>
              <w:spacing w:after="0"/>
              <w:rPr>
                <w:sz w:val="17"/>
                <w:szCs w:val="17"/>
                <w:color w:val="auto"/>
              </w:rPr>
            </w:pPr>
          </w:p>
        </w:tc>
        <w:tc>
          <w:tcPr>
            <w:tcW w:w="28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80" w:type="dxa"/>
            <w:vAlign w:val="bottom"/>
            <w:gridSpan w:val="18"/>
            <w:vMerge w:val="restart"/>
          </w:tcPr>
          <w:p>
            <w:pPr>
              <w:spacing w:after="0" w:line="196" w:lineRule="exact"/>
              <w:rPr>
                <w:sz w:val="20"/>
                <w:szCs w:val="20"/>
                <w:color w:val="auto"/>
              </w:rPr>
            </w:pPr>
            <w:r>
              <w:rPr>
                <w:rFonts w:ascii="Arial" w:cs="Arial" w:eastAsia="Arial" w:hAnsi="Arial"/>
                <w:sz w:val="18"/>
                <w:szCs w:val="18"/>
                <w:color w:val="0000FF"/>
                <w:w w:val="93"/>
              </w:rPr>
              <w:t>adopted pursuant to Section 906 of the Sarbanes-Oxley Act</w:t>
            </w: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80" w:type="dxa"/>
            <w:vAlign w:val="bottom"/>
            <w:gridSpan w:val="18"/>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FF"/>
            </w:tcBorders>
            <w:gridSpan w:val="14"/>
          </w:tcPr>
          <w:p>
            <w:pPr>
              <w:spacing w:after="0" w:line="196" w:lineRule="exact"/>
              <w:rPr>
                <w:sz w:val="20"/>
                <w:szCs w:val="20"/>
                <w:color w:val="auto"/>
              </w:rPr>
            </w:pPr>
            <w:r>
              <w:rPr>
                <w:rFonts w:ascii="Arial" w:cs="Arial" w:eastAsia="Arial" w:hAnsi="Arial"/>
                <w:sz w:val="18"/>
                <w:szCs w:val="18"/>
                <w:color w:val="0000FF"/>
              </w:rPr>
              <w:t>of 2002</w:t>
            </w:r>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480" w:type="dxa"/>
            <w:vAlign w:val="bottom"/>
            <w:gridSpan w:val="18"/>
          </w:tcPr>
          <w:p>
            <w:pPr>
              <w:spacing w:after="0"/>
              <w:rPr>
                <w:rFonts w:ascii="Arial" w:cs="Arial" w:eastAsia="Arial" w:hAnsi="Arial"/>
                <w:sz w:val="18"/>
                <w:szCs w:val="18"/>
                <w:color w:val="0000FF"/>
                <w:w w:val="97"/>
              </w:rPr>
            </w:pPr>
            <w:hyperlink r:id="rId74">
              <w:r>
                <w:rPr>
                  <w:rFonts w:ascii="Arial" w:cs="Arial" w:eastAsia="Arial" w:hAnsi="Arial"/>
                  <w:sz w:val="18"/>
                  <w:szCs w:val="18"/>
                  <w:color w:val="0000FF"/>
                  <w:w w:val="97"/>
                </w:rPr>
                <w:t>Incremental Facility Amendment No. 2, dated as of March</w:t>
              </w:r>
            </w:hyperlink>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top w:val="single" w:sz="8" w:color="0000FF"/>
            </w:tcBorders>
            <w:gridSpan w:val="12"/>
          </w:tcPr>
          <w:p>
            <w:pPr>
              <w:spacing w:after="0" w:line="19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21, 2023, to the First Lien Credit Agreement dated as of</w:t>
              </w:r>
            </w:hyperlink>
          </w:p>
        </w:tc>
        <w:tc>
          <w:tcPr>
            <w:tcW w:w="26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December 13, 2019 by and among Sotera Health Company,</w:t>
              </w:r>
            </w:hyperlink>
          </w:p>
        </w:tc>
        <w:tc>
          <w:tcPr>
            <w:tcW w:w="18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Sotera Health Holdings, LLC, certain subsidiaries of Sotera</w:t>
              </w:r>
            </w:hyperlink>
          </w:p>
        </w:tc>
        <w:tc>
          <w:tcPr>
            <w:tcW w:w="160" w:type="dxa"/>
            <w:vAlign w:val="bottom"/>
            <w:gridSpan w:val="2"/>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80" w:type="dxa"/>
            <w:vAlign w:val="bottom"/>
          </w:tcPr>
          <w:p>
            <w:pPr>
              <w:jc w:val="right"/>
              <w:ind w:right="90"/>
              <w:spacing w:after="0" w:line="196" w:lineRule="exact"/>
              <w:rPr>
                <w:sz w:val="20"/>
                <w:szCs w:val="20"/>
                <w:color w:val="auto"/>
              </w:rPr>
            </w:pPr>
            <w:r>
              <w:rPr>
                <w:rFonts w:ascii="Arial" w:cs="Arial" w:eastAsia="Arial" w:hAnsi="Arial"/>
                <w:sz w:val="18"/>
                <w:szCs w:val="18"/>
                <w:color w:val="auto"/>
              </w:rPr>
              <w:t>001-39729</w:t>
            </w:r>
          </w:p>
        </w:tc>
        <w:tc>
          <w:tcPr>
            <w:tcW w:w="8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10.1</w:t>
            </w:r>
          </w:p>
        </w:tc>
        <w:tc>
          <w:tcPr>
            <w:tcW w:w="1000" w:type="dxa"/>
            <w:vAlign w:val="bottom"/>
          </w:tcPr>
          <w:p>
            <w:pPr>
              <w:ind w:left="120"/>
              <w:spacing w:after="0" w:line="196" w:lineRule="exact"/>
              <w:rPr>
                <w:sz w:val="20"/>
                <w:szCs w:val="20"/>
                <w:color w:val="auto"/>
              </w:rPr>
            </w:pPr>
            <w:r>
              <w:rPr>
                <w:rFonts w:ascii="Arial" w:cs="Arial" w:eastAsia="Arial" w:hAnsi="Arial"/>
                <w:sz w:val="18"/>
                <w:szCs w:val="18"/>
                <w:color w:val="auto"/>
                <w:w w:val="93"/>
              </w:rPr>
              <w:t>2023-03-22</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Health Company, JPMorgan Chase Bank, N.A., as First</w:t>
              </w:r>
            </w:hyperlink>
          </w:p>
        </w:tc>
        <w:tc>
          <w:tcPr>
            <w:tcW w:w="44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18"/>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Lien Administrative Agent and the lenders and issuing</w:t>
              </w:r>
            </w:hyperlink>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banks party thereto</w:t>
              </w:r>
            </w:hyperlink>
          </w:p>
        </w:tc>
        <w:tc>
          <w:tcPr>
            <w:tcW w:w="5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480" w:type="dxa"/>
            <w:vAlign w:val="bottom"/>
            <w:gridSpan w:val="18"/>
          </w:tcPr>
          <w:p>
            <w:pPr>
              <w:spacing w:after="0"/>
              <w:rPr>
                <w:sz w:val="20"/>
                <w:szCs w:val="20"/>
                <w:color w:val="auto"/>
              </w:rPr>
            </w:pPr>
            <w:r>
              <w:rPr>
                <w:rFonts w:ascii="Arial" w:cs="Arial" w:eastAsia="Arial" w:hAnsi="Arial"/>
                <w:sz w:val="18"/>
                <w:szCs w:val="18"/>
                <w:color w:val="0000FF"/>
                <w:w w:val="96"/>
              </w:rPr>
              <w:t>Settlement Agreement dated as of March 28, 2023 by and</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top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7"/>
              </w:rPr>
              <w:t>among Sotera Health LLC, Sterigenics U.S., LLC and</w:t>
            </w:r>
          </w:p>
        </w:tc>
        <w:tc>
          <w:tcPr>
            <w:tcW w:w="3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4"/>
              </w:rPr>
              <w:t>Plaintiffs’ Counsel (Illinois Ethylene Oxide Tort Litigation)</w:t>
            </w:r>
          </w:p>
        </w:tc>
        <w:tc>
          <w:tcPr>
            <w:tcW w:w="18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480" w:type="dxa"/>
            <w:vAlign w:val="bottom"/>
            <w:gridSpan w:val="18"/>
          </w:tcPr>
          <w:p>
            <w:pPr>
              <w:spacing w:after="0"/>
              <w:rPr>
                <w:sz w:val="20"/>
                <w:szCs w:val="20"/>
                <w:color w:val="auto"/>
              </w:rPr>
            </w:pPr>
            <w:r>
              <w:rPr>
                <w:rFonts w:ascii="Arial" w:cs="Arial" w:eastAsia="Arial" w:hAnsi="Arial"/>
                <w:sz w:val="18"/>
                <w:szCs w:val="18"/>
                <w:color w:val="0000FF"/>
              </w:rPr>
              <w:t>Willowbrook Group Settlement Agreement dated as of</w:t>
            </w: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March 28, 2023 by and among Sotera Health LLC,</w:t>
            </w:r>
          </w:p>
        </w:tc>
        <w:tc>
          <w:tcPr>
            <w:tcW w:w="300" w:type="dxa"/>
            <w:vAlign w:val="bottom"/>
            <w:tcBorders>
              <w:top w:val="single" w:sz="8" w:color="0000FF"/>
            </w:tcBorders>
            <w:gridSpan w:val="2"/>
          </w:tcPr>
          <w:p>
            <w:pPr>
              <w:spacing w:after="0"/>
              <w:rPr>
                <w:sz w:val="17"/>
                <w:szCs w:val="17"/>
                <w:color w:val="auto"/>
              </w:rPr>
            </w:pPr>
          </w:p>
        </w:tc>
        <w:tc>
          <w:tcPr>
            <w:tcW w:w="5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80" w:type="dxa"/>
            <w:vAlign w:val="bottom"/>
            <w:gridSpan w:val="18"/>
            <w:vMerge w:val="restart"/>
          </w:tcPr>
          <w:p>
            <w:pPr>
              <w:spacing w:after="0" w:line="196" w:lineRule="exact"/>
              <w:rPr>
                <w:sz w:val="20"/>
                <w:szCs w:val="20"/>
                <w:color w:val="auto"/>
              </w:rPr>
            </w:pPr>
            <w:r>
              <w:rPr>
                <w:rFonts w:ascii="Arial" w:cs="Arial" w:eastAsia="Arial" w:hAnsi="Arial"/>
                <w:sz w:val="18"/>
                <w:szCs w:val="18"/>
                <w:color w:val="0000FF"/>
                <w:w w:val="97"/>
              </w:rPr>
              <w:t>Sterigenics U.S., LLC and Plaintiff's Executive Committee</w:t>
            </w: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80" w:type="dxa"/>
            <w:vAlign w:val="bottom"/>
            <w:gridSpan w:val="18"/>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rPr>
              <w:t>(Illinois Ethylene Oxide Tort Litigation)</w:t>
            </w:r>
          </w:p>
        </w:tc>
        <w:tc>
          <w:tcPr>
            <w:tcW w:w="2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58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480" w:type="dxa"/>
            <w:vAlign w:val="bottom"/>
            <w:gridSpan w:val="18"/>
          </w:tcPr>
          <w:p>
            <w:pPr>
              <w:spacing w:after="0"/>
              <w:rPr>
                <w:sz w:val="20"/>
                <w:szCs w:val="20"/>
                <w:color w:val="auto"/>
              </w:rPr>
            </w:pPr>
            <w:r>
              <w:rPr>
                <w:rFonts w:ascii="Arial" w:cs="Arial" w:eastAsia="Arial" w:hAnsi="Arial"/>
                <w:sz w:val="18"/>
                <w:szCs w:val="18"/>
                <w:color w:val="auto"/>
              </w:rPr>
              <w:t>Inline XBRL Instance Document - The XBRL Instance</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80" w:type="dxa"/>
            <w:vAlign w:val="bottom"/>
            <w:gridSpan w:val="18"/>
          </w:tcPr>
          <w:p>
            <w:pPr>
              <w:spacing w:after="0" w:line="124" w:lineRule="exact"/>
              <w:rPr>
                <w:sz w:val="20"/>
                <w:szCs w:val="20"/>
                <w:color w:val="auto"/>
              </w:rPr>
            </w:pPr>
            <w:r>
              <w:rPr>
                <w:rFonts w:ascii="Arial" w:cs="Arial" w:eastAsia="Arial" w:hAnsi="Arial"/>
                <w:sz w:val="13"/>
                <w:szCs w:val="13"/>
                <w:color w:val="auto"/>
              </w:rPr>
              <w:t>Document does not appear in the Interactive Data File</w:t>
            </w:r>
          </w:p>
        </w:tc>
        <w:tc>
          <w:tcPr>
            <w:tcW w:w="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500" w:type="dxa"/>
            <w:vAlign w:val="bottom"/>
            <w:vMerge w:val="restart"/>
          </w:tcPr>
          <w:p>
            <w:pPr>
              <w:spacing w:after="0"/>
              <w:rPr>
                <w:sz w:val="20"/>
                <w:szCs w:val="20"/>
                <w:color w:val="auto"/>
              </w:rPr>
            </w:pPr>
            <w:r>
              <w:rPr>
                <w:rFonts w:ascii="Arial" w:cs="Arial" w:eastAsia="Arial" w:hAnsi="Arial"/>
                <w:sz w:val="18"/>
                <w:szCs w:val="18"/>
                <w:color w:val="auto"/>
              </w:rPr>
              <w:t>because its XBRL tags are embedded within the Inline</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8"/>
        </w:trPr>
        <w:tc>
          <w:tcPr>
            <w:tcW w:w="6500" w:type="dxa"/>
            <w:vAlign w:val="bottom"/>
            <w:vMerge w:val="continue"/>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XBRL document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1255" w:right="339" w:bottom="1440" w:gutter="0" w:footer="0" w:header="0"/>
        </w:sect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460" w:type="dxa"/>
            <w:vAlign w:val="bottom"/>
          </w:tcPr>
          <w:p>
            <w:pPr>
              <w:ind w:left="3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Label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460" w:type="dxa"/>
            <w:vAlign w:val="bottom"/>
          </w:tcPr>
          <w:p>
            <w:pPr>
              <w:ind w:left="30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bl>
    <w:p>
      <w:pPr>
        <w:spacing w:after="0" w:line="40" w:lineRule="exact"/>
        <w:rPr>
          <w:sz w:val="20"/>
          <w:szCs w:val="20"/>
          <w:color w:val="auto"/>
        </w:rPr>
      </w:pPr>
    </w:p>
    <w:p>
      <w:pPr>
        <w:ind w:left="1300" w:right="4000" w:hanging="127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7" w:lineRule="exact"/>
        <w:rPr>
          <w:sz w:val="20"/>
          <w:szCs w:val="20"/>
          <w:color w:val="auto"/>
        </w:rPr>
      </w:pPr>
    </w:p>
    <w:p>
      <w:pPr>
        <w:sectPr>
          <w:pgSz w:w="11900" w:h="16838" w:orient="portrait"/>
          <w:cols w:equalWidth="0" w:num="2">
            <w:col w:w="9660" w:space="720"/>
            <w:col w:w="860"/>
          </w:cols>
          <w:pgMar w:left="320" w:top="1255" w:right="339"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SOTERA HEALTH COMPANY</w:t>
      </w:r>
    </w:p>
    <w:p>
      <w:pPr>
        <w:spacing w:after="0" w:line="320"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20"/>
              <w:spacing w:after="0"/>
              <w:rPr>
                <w:sz w:val="20"/>
                <w:szCs w:val="20"/>
                <w:color w:val="auto"/>
              </w:rPr>
            </w:pPr>
            <w:r>
              <w:rPr>
                <w:rFonts w:ascii="Arial" w:cs="Arial" w:eastAsia="Arial" w:hAnsi="Arial"/>
                <w:sz w:val="18"/>
                <w:szCs w:val="18"/>
                <w:color w:val="auto"/>
              </w:rPr>
              <w:t>/s/ Michael F. Biehl</w:t>
            </w:r>
          </w:p>
        </w:tc>
      </w:tr>
      <w:tr>
        <w:trPr>
          <w:trHeight w:val="27"/>
        </w:trPr>
        <w:tc>
          <w:tcPr>
            <w:tcW w:w="7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20"/>
              <w:spacing w:after="0"/>
              <w:rPr>
                <w:sz w:val="20"/>
                <w:szCs w:val="20"/>
                <w:color w:val="auto"/>
              </w:rPr>
            </w:pPr>
            <w:r>
              <w:rPr>
                <w:rFonts w:ascii="Arial" w:cs="Arial" w:eastAsia="Arial" w:hAnsi="Arial"/>
                <w:sz w:val="18"/>
                <w:szCs w:val="18"/>
                <w:color w:val="auto"/>
              </w:rPr>
              <w:t>Michael F. Biehl</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70"/>
        </w:trPr>
        <w:tc>
          <w:tcPr>
            <w:tcW w:w="760" w:type="dxa"/>
            <w:vAlign w:val="bottom"/>
          </w:tcPr>
          <w:p>
            <w:pPr>
              <w:spacing w:after="0"/>
              <w:rPr>
                <w:sz w:val="23"/>
                <w:szCs w:val="23"/>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May 3,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10.2</w:t>
      </w:r>
    </w:p>
    <w:p>
      <w:pPr>
        <w:spacing w:after="0" w:line="355" w:lineRule="exact"/>
        <w:rPr>
          <w:sz w:val="20"/>
          <w:szCs w:val="20"/>
          <w:color w:val="auto"/>
        </w:rPr>
      </w:pPr>
    </w:p>
    <w:p>
      <w:pPr>
        <w:jc w:val="both"/>
        <w:ind w:right="980" w:firstLine="53"/>
        <w:spacing w:after="0" w:line="347" w:lineRule="auto"/>
        <w:rPr>
          <w:sz w:val="20"/>
          <w:szCs w:val="20"/>
          <w:color w:val="auto"/>
        </w:rPr>
      </w:pPr>
      <w:r>
        <w:rPr>
          <w:rFonts w:ascii="Arial" w:cs="Arial" w:eastAsia="Arial" w:hAnsi="Arial"/>
          <w:sz w:val="16"/>
          <w:szCs w:val="16"/>
          <w:b w:val="1"/>
          <w:bCs w:val="1"/>
          <w:color w:val="auto"/>
        </w:rPr>
        <w:t>[Certain portions of this exhibit have been redacted pursuant to Item 601(b)(10)(iv) of Regulation S-K and marked with asterisks. The omitted information is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u w:val="single" w:color="auto"/>
          <w:color w:val="auto"/>
        </w:rPr>
        <w:t>SETTLEMENT AGREEMENT</w:t>
      </w:r>
    </w:p>
    <w:p>
      <w:pPr>
        <w:spacing w:after="0" w:line="179"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between and among</w:t>
      </w:r>
    </w:p>
    <w:p>
      <w:pPr>
        <w:spacing w:after="0" w:line="179"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Plaintiffs’ Counsel (as defined herein)</w:t>
      </w:r>
    </w:p>
    <w:p>
      <w:pPr>
        <w:spacing w:after="0" w:line="179"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Sotera Health (as defined herein)</w:t>
      </w:r>
    </w:p>
    <w:p>
      <w:pPr>
        <w:spacing w:after="0" w:line="179"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Sterigenics US (as defined herein)</w:t>
      </w:r>
    </w:p>
    <w:p>
      <w:pPr>
        <w:sectPr>
          <w:pgSz w:w="11900" w:h="16838" w:orient="portrait"/>
          <w:cols w:equalWidth="0" w:num="1">
            <w:col w:w="10260"/>
          </w:cols>
          <w:pgMar w:left="1300" w:top="10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980" w:type="dxa"/>
            <w:vAlign w:val="bottom"/>
            <w:gridSpan w:val="3"/>
          </w:tcPr>
          <w:p>
            <w:pPr>
              <w:ind w:left="420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7"/>
                <w:szCs w:val="17"/>
                <w:color w:val="auto"/>
              </w:rPr>
            </w:pPr>
          </w:p>
        </w:tc>
      </w:tr>
      <w:tr>
        <w:trPr>
          <w:trHeight w:val="466"/>
        </w:trPr>
        <w:tc>
          <w:tcPr>
            <w:tcW w:w="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304"/>
        </w:trPr>
        <w:tc>
          <w:tcPr>
            <w:tcW w:w="10420" w:type="dxa"/>
            <w:vAlign w:val="bottom"/>
            <w:gridSpan w:val="4"/>
          </w:tcPr>
          <w:p>
            <w:pPr>
              <w:spacing w:after="0"/>
              <w:rPr>
                <w:sz w:val="20"/>
                <w:szCs w:val="20"/>
                <w:color w:val="auto"/>
              </w:rPr>
            </w:pPr>
            <w:r>
              <w:rPr>
                <w:rFonts w:ascii="Arial" w:cs="Arial" w:eastAsia="Arial" w:hAnsi="Arial"/>
                <w:sz w:val="18"/>
                <w:szCs w:val="18"/>
                <w:color w:val="auto"/>
              </w:rPr>
              <w:t>RECITALS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DEFINITIONS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SETTLING CLAIMANT RELEASES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CONSEQUENCES OF EXERCISE OF WALK AWAY RIGHT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SETTLING DEFENDANTS FUNDING OBLIGATIONS</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QUALIFIED SETTLEMENT FUND</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PENDING LITIGATION</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SUBROGATION CLAIMS, LIENS, AND OTHER THIRD PARTY CLAIMS</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4"/>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CONFIDENTIALITY; PUBLIC STATEMENTS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9980" w:type="dxa"/>
            <w:vAlign w:val="bottom"/>
            <w:gridSpan w:val="3"/>
          </w:tcPr>
          <w:p>
            <w:pPr>
              <w:ind w:left="340"/>
              <w:spacing w:after="0"/>
              <w:rPr>
                <w:sz w:val="20"/>
                <w:szCs w:val="20"/>
                <w:color w:val="auto"/>
              </w:rPr>
            </w:pPr>
            <w:r>
              <w:rPr>
                <w:rFonts w:ascii="Arial" w:cs="Arial" w:eastAsia="Arial" w:hAnsi="Arial"/>
                <w:sz w:val="18"/>
                <w:szCs w:val="18"/>
                <w:color w:val="auto"/>
              </w:rPr>
              <w:t>MISCELLANEOUS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800"/>
          </w:cols>
          <w:pgMar w:left="340" w:top="1391" w:right="759" w:bottom="1440" w:gutter="0" w:footer="0" w:header="0"/>
        </w:sectPr>
      </w:pPr>
    </w:p>
    <w:bookmarkStart w:id="48" w:name="page49"/>
    <w:bookmarkEnd w:id="48"/>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EXHIBITS AND APPENDICES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20"/>
        <w:spacing w:after="0"/>
        <w:tabs>
          <w:tab w:leader="none" w:pos="30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Executed Releases by all Settling Claimants</w:t>
      </w:r>
    </w:p>
    <w:p>
      <w:pPr>
        <w:spacing w:after="0" w:line="77" w:lineRule="exact"/>
        <w:rPr>
          <w:sz w:val="20"/>
          <w:szCs w:val="20"/>
          <w:color w:val="auto"/>
        </w:rPr>
      </w:pPr>
    </w:p>
    <w:p>
      <w:pPr>
        <w:ind w:left="2020"/>
        <w:spacing w:after="0"/>
        <w:tabs>
          <w:tab w:leader="none" w:pos="30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Escrow Agreement</w:t>
      </w:r>
    </w:p>
    <w:p>
      <w:pPr>
        <w:spacing w:after="0" w:line="77"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Settlement Funds Allocation between the Settling</w:t>
      </w:r>
    </w:p>
    <w:p>
      <w:pPr>
        <w:spacing w:after="0" w:line="46" w:lineRule="exact"/>
        <w:rPr>
          <w:sz w:val="20"/>
          <w:szCs w:val="20"/>
          <w:color w:val="auto"/>
        </w:rPr>
      </w:pPr>
    </w:p>
    <w:p>
      <w:pPr>
        <w:ind w:left="2020"/>
        <w:spacing w:after="0"/>
        <w:tabs>
          <w:tab w:leader="none" w:pos="30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Claimants</w:t>
      </w:r>
    </w:p>
    <w:p>
      <w:pPr>
        <w:spacing w:after="0" w:line="62" w:lineRule="exact"/>
        <w:rPr>
          <w:sz w:val="20"/>
          <w:szCs w:val="20"/>
          <w:color w:val="auto"/>
        </w:rPr>
      </w:pPr>
    </w:p>
    <w:p>
      <w:pPr>
        <w:ind w:left="2020"/>
        <w:spacing w:after="0"/>
        <w:tabs>
          <w:tab w:leader="none" w:pos="302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Stipulated Dismissals</w:t>
      </w:r>
    </w:p>
    <w:p>
      <w:pPr>
        <w:sectPr>
          <w:pgSz w:w="11900" w:h="16838" w:orient="portrait"/>
          <w:cols w:equalWidth="0" w:num="1">
            <w:col w:w="9019"/>
          </w:cols>
          <w:pgMar w:left="1440" w:top="1440" w:right="1440" w:bottom="1440" w:gutter="0" w:footer="0" w:header="0"/>
        </w:sectPr>
      </w:pPr>
    </w:p>
    <w:bookmarkStart w:id="49" w:name="page50"/>
    <w:bookmarkEnd w:id="49"/>
    <w:p>
      <w:pPr>
        <w:jc w:val="center"/>
        <w:ind w:right="-283"/>
        <w:spacing w:after="0"/>
        <w:rPr>
          <w:sz w:val="20"/>
          <w:szCs w:val="20"/>
          <w:color w:val="auto"/>
        </w:rPr>
      </w:pPr>
      <w:r>
        <w:rPr>
          <w:rFonts w:ascii="Arial" w:cs="Arial" w:eastAsia="Arial" w:hAnsi="Arial"/>
          <w:sz w:val="18"/>
          <w:szCs w:val="18"/>
          <w:b w:val="1"/>
          <w:bCs w:val="1"/>
          <w:u w:val="single" w:color="auto"/>
          <w:color w:val="auto"/>
        </w:rPr>
        <w:t>SETTLEMENT AGREEMENT</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This SETTLEMENT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March 28, 2023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among: (i) Sotera</w:t>
      </w:r>
    </w:p>
    <w:p>
      <w:pPr>
        <w:spacing w:after="0" w:line="10" w:lineRule="exact"/>
        <w:rPr>
          <w:sz w:val="20"/>
          <w:szCs w:val="20"/>
          <w:color w:val="auto"/>
        </w:rPr>
      </w:pPr>
    </w:p>
    <w:p>
      <w:pPr>
        <w:jc w:val="both"/>
        <w:ind w:left="4"/>
        <w:spacing w:after="0" w:line="218" w:lineRule="auto"/>
        <w:rPr>
          <w:sz w:val="20"/>
          <w:szCs w:val="20"/>
          <w:color w:val="auto"/>
        </w:rPr>
      </w:pPr>
      <w:r>
        <w:rPr>
          <w:rFonts w:ascii="Arial" w:cs="Arial" w:eastAsia="Arial" w:hAnsi="Arial"/>
          <w:sz w:val="18"/>
          <w:szCs w:val="18"/>
          <w:color w:val="auto"/>
        </w:rPr>
        <w:t>Health LLC, a Delaware limited liability company (“</w:t>
      </w:r>
      <w:r>
        <w:rPr>
          <w:rFonts w:ascii="Arial" w:cs="Arial" w:eastAsia="Arial" w:hAnsi="Arial"/>
          <w:sz w:val="18"/>
          <w:szCs w:val="18"/>
          <w:u w:val="single" w:color="auto"/>
          <w:color w:val="auto"/>
        </w:rPr>
        <w:t>Sotera Health</w:t>
      </w:r>
      <w:r>
        <w:rPr>
          <w:rFonts w:ascii="Arial" w:cs="Arial" w:eastAsia="Arial" w:hAnsi="Arial"/>
          <w:sz w:val="18"/>
          <w:szCs w:val="18"/>
          <w:color w:val="auto"/>
        </w:rPr>
        <w:t>”); (ii) Sterigenics U.S., LLC, a Delaware limited liability company (“</w:t>
      </w:r>
      <w:r>
        <w:rPr>
          <w:rFonts w:ascii="Arial" w:cs="Arial" w:eastAsia="Arial" w:hAnsi="Arial"/>
          <w:sz w:val="18"/>
          <w:szCs w:val="18"/>
          <w:u w:val="single" w:color="auto"/>
          <w:color w:val="auto"/>
        </w:rPr>
        <w:t>Sterigenics</w:t>
      </w:r>
      <w:r>
        <w:rPr>
          <w:rFonts w:ascii="Arial" w:cs="Arial" w:eastAsia="Arial" w:hAnsi="Arial"/>
          <w:sz w:val="18"/>
          <w:szCs w:val="18"/>
          <w:color w:val="auto"/>
        </w:rPr>
        <w:t xml:space="preserve"> </w:t>
      </w:r>
      <w:r>
        <w:rPr>
          <w:rFonts w:ascii="Arial" w:cs="Arial" w:eastAsia="Arial" w:hAnsi="Arial"/>
          <w:sz w:val="18"/>
          <w:szCs w:val="18"/>
          <w:u w:val="single" w:color="auto"/>
          <w:color w:val="auto"/>
        </w:rPr>
        <w:t>US</w:t>
      </w:r>
      <w:r>
        <w:rPr>
          <w:rFonts w:ascii="Arial" w:cs="Arial" w:eastAsia="Arial" w:hAnsi="Arial"/>
          <w:sz w:val="18"/>
          <w:szCs w:val="18"/>
          <w:color w:val="auto"/>
        </w:rPr>
        <w:t>” and, together with Sotera Health, the “</w:t>
      </w:r>
      <w:r>
        <w:rPr>
          <w:rFonts w:ascii="Arial" w:cs="Arial" w:eastAsia="Arial" w:hAnsi="Arial"/>
          <w:sz w:val="18"/>
          <w:szCs w:val="18"/>
          <w:u w:val="single" w:color="auto"/>
          <w:color w:val="auto"/>
        </w:rPr>
        <w:t>Settling Defendants</w:t>
      </w:r>
      <w:r>
        <w:rPr>
          <w:rFonts w:ascii="Arial" w:cs="Arial" w:eastAsia="Arial" w:hAnsi="Arial"/>
          <w:sz w:val="18"/>
          <w:szCs w:val="18"/>
          <w:color w:val="auto"/>
        </w:rPr>
        <w:t>”); and (iii) Plaintiffs’ Counsel (as defined herein). Each of Plaintiffs’ Counsel, Sotera Health, and Sterigenics US is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are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80" w:lineRule="exact"/>
        <w:rPr>
          <w:sz w:val="20"/>
          <w:szCs w:val="20"/>
          <w:color w:val="auto"/>
        </w:rPr>
      </w:pPr>
    </w:p>
    <w:p>
      <w:pPr>
        <w:jc w:val="center"/>
        <w:ind w:right="-283"/>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4" w:firstLine="644"/>
        <w:spacing w:after="0" w:line="225" w:lineRule="auto"/>
        <w:tabs>
          <w:tab w:leader="none" w:pos="119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Parties are entering into this Agreement, solely in connection with the Settling Claimants (as defined herein), to resolve any lawsuits, disputes, and/or claims, whether filed or unfiled, that have been, or may in the future be, asserted against the Settling Defendants or any other Released Parties (as defined herein) regarding (i) injuries arising from, relating to, or in connection with the alleged use or emissions of ethylene oxide from Sterigenics US’s or any Released Party’s operations in or around Willowbrook, Illinois (the “</w:t>
      </w:r>
      <w:r>
        <w:rPr>
          <w:rFonts w:ascii="Arial" w:cs="Arial" w:eastAsia="Arial" w:hAnsi="Arial"/>
          <w:sz w:val="17"/>
          <w:szCs w:val="17"/>
          <w:u w:val="single" w:color="auto"/>
          <w:color w:val="auto"/>
        </w:rPr>
        <w:t>Event</w:t>
      </w:r>
      <w:r>
        <w:rPr>
          <w:rFonts w:ascii="Arial" w:cs="Arial" w:eastAsia="Arial" w:hAnsi="Arial"/>
          <w:sz w:val="17"/>
          <w:szCs w:val="17"/>
          <w:color w:val="auto"/>
        </w:rPr>
        <w:t>”), (ii) any conduct arising from, relating to, or in connection with litigation concerning the Event, (iii) any actions, citations, or potential actions or citations to enforce or collect on a judgment or verdict obtained in any case arising from, relating to, or in connection with the Event, and (iv) any transfer of assets to or from any Released Party to any other entity or person ((i), (ii), (iii) and (iv) individually, the “</w:t>
      </w:r>
      <w:r>
        <w:rPr>
          <w:rFonts w:ascii="Arial" w:cs="Arial" w:eastAsia="Arial" w:hAnsi="Arial"/>
          <w:sz w:val="17"/>
          <w:szCs w:val="17"/>
          <w:u w:val="single" w:color="auto"/>
          <w:color w:val="auto"/>
        </w:rPr>
        <w:t>Claim</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Claims</w:t>
      </w:r>
      <w:r>
        <w:rPr>
          <w:rFonts w:ascii="Arial" w:cs="Arial" w:eastAsia="Arial" w:hAnsi="Arial"/>
          <w:sz w:val="17"/>
          <w:szCs w:val="17"/>
          <w:color w:val="auto"/>
        </w:rPr>
        <w:t>”). For the avoidance of doubt, Event-related Claims include (without limitation) injuries—arising from, relating to, or in connection with the alleged use or emissions of ethylene oxide from Sterigenics US’s Willowbrook facility—that may develop in the future, whether the alleged injury relates to an entirely new diagnosis or a recurrence of an earlier medical diagnosis. Event-related Claims do not include claims regarding injuries that are unrelated or not alleged to be related to ethylene oxide exposure in or around Willowbrook, Illinois (e.g., a claim arising from a vehicle accident between a Released Party and an employee driving a vehicle belonging to a Settling Defendant).</w:t>
      </w:r>
    </w:p>
    <w:p>
      <w:pPr>
        <w:spacing w:after="0" w:line="203" w:lineRule="exact"/>
        <w:rPr>
          <w:rFonts w:ascii="Arial" w:cs="Arial" w:eastAsia="Arial" w:hAnsi="Arial"/>
          <w:sz w:val="17"/>
          <w:szCs w:val="17"/>
          <w:color w:val="auto"/>
        </w:rPr>
      </w:pPr>
    </w:p>
    <w:p>
      <w:pPr>
        <w:jc w:val="both"/>
        <w:ind w:left="4" w:firstLine="644"/>
        <w:spacing w:after="0" w:line="236" w:lineRule="auto"/>
        <w:tabs>
          <w:tab w:leader="none" w:pos="1181"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Settling Defendants deny any liability or wrongdoing, and assert that they have meritorious defenses to the Settling Claimants’ Claims. This Agreement will not be construed as evidence of or as an admission by Settling Defendants of any fault, liability, wrongdoing, or damages whatsoever. While denying any liability or wrongdoing, Settling Defendants wish to resolve the Settling Claimants’ Claims in order to achieve closure and finality and to avoid the costs, expense, time, efforts, disruption, and uncertainty inherent in litigation.</w:t>
      </w:r>
    </w:p>
    <w:p>
      <w:pPr>
        <w:spacing w:after="0" w:line="20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WHEREFORE, the Parties, by and through counsel, hereby agree as follows:</w:t>
      </w:r>
    </w:p>
    <w:p>
      <w:pPr>
        <w:spacing w:after="0" w:line="221" w:lineRule="exact"/>
        <w:rPr>
          <w:sz w:val="20"/>
          <w:szCs w:val="20"/>
          <w:color w:val="auto"/>
        </w:rPr>
      </w:pPr>
    </w:p>
    <w:p>
      <w:pPr>
        <w:ind w:left="644" w:hanging="644"/>
        <w:spacing w:after="0"/>
        <w:tabs>
          <w:tab w:leader="none" w:pos="64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6"/>
          <w:szCs w:val="16"/>
          <w:color w:val="auto"/>
        </w:rPr>
        <w:t>For purposes of this Agreement, the following terms (designated by initial capitalization) shall have the meanings set forth in this section.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terms, also designated by initial capitalization, may be defined elsewhere in the Agreement.</w:t>
      </w:r>
    </w:p>
    <w:p>
      <w:pPr>
        <w:spacing w:after="0" w:line="205"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25"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or “</w:t>
      </w:r>
      <w:r>
        <w:rPr>
          <w:rFonts w:ascii="Arial" w:cs="Arial" w:eastAsia="Arial" w:hAnsi="Arial"/>
          <w:sz w:val="16"/>
          <w:szCs w:val="16"/>
          <w:u w:val="single" w:color="auto"/>
          <w:color w:val="auto"/>
        </w:rPr>
        <w:t>Actions</w:t>
      </w:r>
      <w:r>
        <w:rPr>
          <w:rFonts w:ascii="Arial" w:cs="Arial" w:eastAsia="Arial" w:hAnsi="Arial"/>
          <w:sz w:val="16"/>
          <w:szCs w:val="16"/>
          <w:color w:val="auto"/>
        </w:rPr>
        <w:t>” means any filed legal action or proceeding asserting Claims.</w:t>
      </w:r>
    </w:p>
    <w:p>
      <w:pPr>
        <w:spacing w:after="0" w:line="279" w:lineRule="exact"/>
        <w:rPr>
          <w:sz w:val="20"/>
          <w:szCs w:val="20"/>
          <w:color w:val="auto"/>
        </w:rPr>
      </w:pPr>
    </w:p>
    <w:p>
      <w:pPr>
        <w:ind w:left="4" w:firstLine="648"/>
        <w:spacing w:after="0" w:line="250"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Settlement Agreement, including any and all Exhibits and Appendices, as it may be amended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in accordance with its terms.</w:t>
      </w:r>
    </w:p>
    <w:p>
      <w:pPr>
        <w:spacing w:after="0" w:line="178"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day when banks are closed or authorized to be closed in Chicago,</w:t>
      </w:r>
    </w:p>
    <w:p>
      <w:pPr>
        <w:ind w:left="4"/>
        <w:spacing w:after="0"/>
        <w:rPr>
          <w:sz w:val="20"/>
          <w:szCs w:val="20"/>
          <w:color w:val="auto"/>
        </w:rPr>
      </w:pPr>
      <w:r>
        <w:rPr>
          <w:rFonts w:ascii="Arial" w:cs="Arial" w:eastAsia="Arial" w:hAnsi="Arial"/>
          <w:sz w:val="18"/>
          <w:szCs w:val="18"/>
          <w:color w:val="auto"/>
        </w:rPr>
        <w:t>Illinois.</w:t>
      </w:r>
    </w:p>
    <w:p>
      <w:pPr>
        <w:spacing w:after="0" w:line="205"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or “</w:t>
      </w:r>
      <w:r>
        <w:rPr>
          <w:rFonts w:ascii="Arial" w:cs="Arial" w:eastAsia="Arial" w:hAnsi="Arial"/>
          <w:sz w:val="16"/>
          <w:szCs w:val="16"/>
          <w:u w:val="single" w:color="auto"/>
          <w:color w:val="auto"/>
        </w:rPr>
        <w:t>Claims</w:t>
      </w:r>
      <w:r>
        <w:rPr>
          <w:rFonts w:ascii="Arial" w:cs="Arial" w:eastAsia="Arial" w:hAnsi="Arial"/>
          <w:sz w:val="16"/>
          <w:szCs w:val="16"/>
          <w:color w:val="auto"/>
        </w:rPr>
        <w:t>” have the meanings set forth in Recital A.</w:t>
      </w:r>
    </w:p>
    <w:p>
      <w:pPr>
        <w:spacing w:after="0" w:line="225" w:lineRule="exact"/>
        <w:rPr>
          <w:sz w:val="20"/>
          <w:szCs w:val="20"/>
          <w:color w:val="auto"/>
        </w:rPr>
      </w:pPr>
    </w:p>
    <w:p>
      <w:pPr>
        <w:ind w:left="4" w:firstLine="648"/>
        <w:spacing w:after="0" w:line="294"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All references to the Code, United States Treasury Regulations,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pronouncements shall be deemed to include references to any applicable successor regulations or amending pronouncement.</w:t>
      </w:r>
    </w:p>
    <w:p>
      <w:pPr>
        <w:spacing w:after="0" w:line="157"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Escrow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225"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Escrow Agent</w:t>
      </w:r>
      <w:r>
        <w:rPr>
          <w:rFonts w:ascii="Arial" w:cs="Arial" w:eastAsia="Arial" w:hAnsi="Arial"/>
          <w:sz w:val="16"/>
          <w:szCs w:val="16"/>
          <w:color w:val="auto"/>
        </w:rPr>
        <w:t>” means Citibank, N.A.</w:t>
      </w:r>
    </w:p>
    <w:p>
      <w:pPr>
        <w:spacing w:after="0" w:line="225" w:lineRule="exact"/>
        <w:rPr>
          <w:sz w:val="20"/>
          <w:szCs w:val="20"/>
          <w:color w:val="auto"/>
        </w:rPr>
      </w:pPr>
    </w:p>
    <w:p>
      <w:pPr>
        <w:ind w:left="4" w:firstLine="648"/>
        <w:spacing w:after="0" w:line="237"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the Escrow Agreement,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to be entered into by</w:t>
      </w:r>
      <w:r>
        <w:rPr>
          <w:rFonts w:ascii="Arial" w:cs="Arial" w:eastAsia="Arial" w:hAnsi="Arial"/>
          <w:sz w:val="18"/>
          <w:szCs w:val="18"/>
          <w:b w:val="1"/>
          <w:bCs w:val="1"/>
          <w:color w:val="auto"/>
        </w:rPr>
        <w:t xml:space="preserve"> </w:t>
      </w:r>
      <w:r>
        <w:rPr>
          <w:rFonts w:ascii="Arial" w:cs="Arial" w:eastAsia="Arial" w:hAnsi="Arial"/>
          <w:sz w:val="18"/>
          <w:szCs w:val="18"/>
          <w:color w:val="auto"/>
        </w:rPr>
        <w:t>Sterigenics US, a PEC representative, and the Escrow Agent.</w:t>
      </w:r>
    </w:p>
    <w:p>
      <w:pPr>
        <w:sectPr>
          <w:pgSz w:w="11900" w:h="16838" w:orient="portrait"/>
          <w:cols w:equalWidth="0" w:num="1">
            <w:col w:w="10724"/>
          </w:cols>
          <w:pgMar w:left="436" w:top="1404"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0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724"/>
          </w:cols>
          <w:pgMar w:left="436" w:top="1404" w:right="739" w:bottom="1440" w:gutter="0" w:footer="0" w:header="0"/>
          <w:type w:val="continuous"/>
        </w:sectPr>
      </w:pPr>
    </w:p>
    <w:bookmarkStart w:id="50" w:name="page51"/>
    <w:bookmarkEnd w:id="50"/>
    <w:p>
      <w:pPr>
        <w:jc w:val="both"/>
        <w:ind w:right="20" w:firstLine="648"/>
        <w:spacing w:after="0" w:line="250"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u w:val="single" w:color="auto"/>
          <w:color w:val="auto"/>
        </w:rPr>
        <w:t>Escrow Funding Date</w:t>
      </w:r>
      <w:r>
        <w:rPr>
          <w:rFonts w:ascii="Arial" w:cs="Arial" w:eastAsia="Arial" w:hAnsi="Arial"/>
          <w:sz w:val="18"/>
          <w:szCs w:val="18"/>
          <w:color w:val="auto"/>
        </w:rPr>
        <w:t>” means (x) if the Funding Conditions (as defined herein) are satisfied, May 1, 2023, or (y) if the Funding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are not satisfied on May 1, 2023, within five Business Days of the day when the Funding Conditions are satisfied.</w:t>
      </w:r>
    </w:p>
    <w:p>
      <w:pPr>
        <w:spacing w:after="0" w:line="190"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order for which (a) no further judicial or other review is available, or (b) the time for further judicial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review has passed with no appeal or request for judicial review having been taken.</w:t>
      </w:r>
    </w:p>
    <w:p>
      <w:pPr>
        <w:spacing w:after="0" w:line="19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Funding Conditions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u w:val="single" w:color="auto"/>
          <w:color w:val="auto"/>
        </w:rPr>
        <w:t>Good Faith Settlement Determination</w:t>
      </w:r>
      <w:r>
        <w:rPr>
          <w:rFonts w:ascii="Arial" w:cs="Arial" w:eastAsia="Arial" w:hAnsi="Arial"/>
          <w:sz w:val="16"/>
          <w:szCs w:val="16"/>
          <w:color w:val="auto"/>
        </w:rPr>
        <w:t>” means (i) the determination by a court of competent jurisdiction that this Agreement is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faith” for purposes of 740 ILCS 100/2 or the analogous law of any jurisdiction where such determination is sought, and (ii) the court approval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the Account as a qualified settlement fund that will satisfy the requirements of Section 1.468B-1(c) of the Treasury Regulations.</w:t>
      </w:r>
    </w:p>
    <w:p>
      <w:pPr>
        <w:spacing w:after="0" w:line="205"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(i) the United States federal government, or any state, the District of Columbia, territory, or</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of the United States, or other political subdivision within the United States, and (ii) any department or agency of a government referenced in (i) above, including (without limitation) the Securities and Exchange Commission.</w:t>
      </w:r>
    </w:p>
    <w:p>
      <w:pPr>
        <w:spacing w:after="0" w:line="19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u w:val="single" w:color="auto"/>
          <w:color w:val="auto"/>
        </w:rPr>
        <w:t>Group Settlement Agreement</w:t>
      </w:r>
      <w:r>
        <w:rPr>
          <w:rFonts w:ascii="Arial" w:cs="Arial" w:eastAsia="Arial" w:hAnsi="Arial"/>
          <w:sz w:val="18"/>
          <w:szCs w:val="18"/>
          <w:color w:val="auto"/>
        </w:rPr>
        <w:t>” means that certain Settlement Agreement, by and between the Settling Defendants and PEC, dated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28, 2023.</w:t>
      </w:r>
    </w:p>
    <w:p>
      <w:pPr>
        <w:spacing w:after="0" w:line="1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Group Settlement Funding Date</w:t>
      </w:r>
      <w:r>
        <w:rPr>
          <w:rFonts w:ascii="Arial" w:cs="Arial" w:eastAsia="Arial" w:hAnsi="Arial"/>
          <w:sz w:val="16"/>
          <w:szCs w:val="16"/>
          <w:color w:val="auto"/>
        </w:rPr>
        <w:t>” means the QSF Funding Date (as defined in Section 7.1 of the Group Settlement Agreement).</w:t>
      </w:r>
    </w:p>
    <w:p>
      <w:pPr>
        <w:spacing w:after="0" w:line="26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GTCR</w:t>
      </w:r>
      <w:r>
        <w:rPr>
          <w:rFonts w:ascii="Arial" w:cs="Arial" w:eastAsia="Arial" w:hAnsi="Arial"/>
          <w:sz w:val="16"/>
          <w:szCs w:val="16"/>
          <w:color w:val="auto"/>
        </w:rPr>
        <w:t>” means GTCR LLC; GTCR L.L.C.; and GTCR Golder Rauner II, L.L.C.;</w:t>
      </w:r>
    </w:p>
    <w:p>
      <w:pPr>
        <w:spacing w:after="0" w:line="232" w:lineRule="auto"/>
        <w:rPr>
          <w:sz w:val="20"/>
          <w:szCs w:val="20"/>
          <w:color w:val="auto"/>
        </w:rPr>
      </w:pPr>
      <w:r>
        <w:rPr>
          <w:rFonts w:ascii="Arial" w:cs="Arial" w:eastAsia="Arial" w:hAnsi="Arial"/>
          <w:sz w:val="17"/>
          <w:szCs w:val="17"/>
          <w:color w:val="auto"/>
        </w:rPr>
        <w:t>all funds associated with GTCR LLC; GTCR L.L.C.; and GTCR Golder Rauner II, L.L.C.; including (without limitation) GTCR Fund IX/A, L.P.;</w:t>
      </w:r>
    </w:p>
    <w:p>
      <w:pPr>
        <w:spacing w:after="0" w:line="203" w:lineRule="auto"/>
        <w:rPr>
          <w:sz w:val="20"/>
          <w:szCs w:val="20"/>
          <w:color w:val="auto"/>
        </w:rPr>
      </w:pPr>
      <w:r>
        <w:rPr>
          <w:rFonts w:ascii="Arial" w:cs="Arial" w:eastAsia="Arial" w:hAnsi="Arial"/>
          <w:sz w:val="18"/>
          <w:szCs w:val="18"/>
          <w:color w:val="auto"/>
        </w:rPr>
        <w:t>GTCR Fund IX/B, L.P.; GTCR Co-Invest III, L.P.; GTCR Fund XI/A LP; GTCR Fund XI/CLP; GTCR Partners XI/A&amp;C LP; GTCR Co-</w:t>
      </w:r>
    </w:p>
    <w:p>
      <w:pPr>
        <w:jc w:val="both"/>
        <w:ind w:right="20"/>
        <w:spacing w:after="0" w:line="223" w:lineRule="auto"/>
        <w:rPr>
          <w:sz w:val="20"/>
          <w:szCs w:val="20"/>
          <w:color w:val="auto"/>
        </w:rPr>
      </w:pPr>
      <w:r>
        <w:rPr>
          <w:rFonts w:ascii="Arial" w:cs="Arial" w:eastAsia="Arial" w:hAnsi="Arial"/>
          <w:sz w:val="17"/>
          <w:szCs w:val="17"/>
          <w:color w:val="auto"/>
        </w:rPr>
        <w:t>Invest XI LP; GTCR Investment XI LLC; GTCR Fund XI/A VCOC; GTCR Fund XI/C VCOC; and the respective affiliates, managers, limited partners, and members of (i) GTCR LLC; GTCR L.L.C.; GTCR Golder Rauner II, L.L.C.; and (ii) the funds associated with GTCR LLC; GTCR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L.L.C.; and GTCR Golder Rauner II, L.L.C.</w:t>
      </w:r>
    </w:p>
    <w:p>
      <w:pPr>
        <w:spacing w:after="0" w:line="20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Kamuda Case</w:t>
      </w:r>
      <w:r>
        <w:rPr>
          <w:rFonts w:ascii="Arial" w:cs="Arial" w:eastAsia="Arial" w:hAnsi="Arial"/>
          <w:sz w:val="16"/>
          <w:szCs w:val="16"/>
          <w:color w:val="auto"/>
        </w:rPr>
        <w:t xml:space="preserve">” means </w:t>
      </w:r>
      <w:r>
        <w:rPr>
          <w:rFonts w:ascii="Arial" w:cs="Arial" w:eastAsia="Arial" w:hAnsi="Arial"/>
          <w:sz w:val="16"/>
          <w:szCs w:val="16"/>
          <w:i w:val="1"/>
          <w:iCs w:val="1"/>
          <w:color w:val="auto"/>
        </w:rPr>
        <w:t>Kamuda v. Sterigenics U.S., LLC</w:t>
      </w:r>
      <w:r>
        <w:rPr>
          <w:rFonts w:ascii="Arial" w:cs="Arial" w:eastAsia="Arial" w:hAnsi="Arial"/>
          <w:sz w:val="16"/>
          <w:szCs w:val="16"/>
          <w:color w:val="auto"/>
        </w:rPr>
        <w:t>, Case No. 18-L-010475.</w:t>
      </w:r>
    </w:p>
    <w:p>
      <w:pPr>
        <w:spacing w:after="0" w:line="225"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u w:val="single" w:color="auto"/>
          <w:color w:val="auto"/>
        </w:rPr>
        <w:t>Legal Representative</w:t>
      </w:r>
      <w:r>
        <w:rPr>
          <w:rFonts w:ascii="Arial" w:cs="Arial" w:eastAsia="Arial" w:hAnsi="Arial"/>
          <w:sz w:val="18"/>
          <w:szCs w:val="18"/>
          <w:color w:val="auto"/>
        </w:rPr>
        <w:t>” means, as to any natural person, whether living or deceased, the estate, executor, administrator, guardian,</w:t>
      </w:r>
      <w:r>
        <w:rPr>
          <w:rFonts w:ascii="Arial" w:cs="Arial" w:eastAsia="Arial" w:hAnsi="Arial"/>
          <w:sz w:val="18"/>
          <w:szCs w:val="18"/>
          <w:b w:val="1"/>
          <w:bCs w:val="1"/>
          <w:color w:val="auto"/>
        </w:rPr>
        <w:t xml:space="preserve"> </w:t>
      </w:r>
      <w:r>
        <w:rPr>
          <w:rFonts w:ascii="Arial" w:cs="Arial" w:eastAsia="Arial" w:hAnsi="Arial"/>
          <w:sz w:val="18"/>
          <w:szCs w:val="18"/>
          <w:color w:val="auto"/>
        </w:rPr>
        <w:t>conservator, or other legal representative thereof.</w:t>
      </w:r>
    </w:p>
    <w:p>
      <w:pPr>
        <w:spacing w:after="0" w:line="19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known, actual, or asserted lien, subrogation right, third-party interest or adverse claim, whether statutory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in relation to Medicare or Medicaid, any Governmental Authority, third-party provider/payor, bankruptcy trustee, or any lawyer or law</w:t>
      </w:r>
    </w:p>
    <w:p>
      <w:pPr>
        <w:spacing w:after="0"/>
        <w:rPr>
          <w:sz w:val="20"/>
          <w:szCs w:val="20"/>
          <w:color w:val="auto"/>
        </w:rPr>
      </w:pPr>
      <w:r>
        <w:rPr>
          <w:rFonts w:ascii="Arial" w:cs="Arial" w:eastAsia="Arial" w:hAnsi="Arial"/>
          <w:sz w:val="18"/>
          <w:szCs w:val="18"/>
          <w:color w:val="auto"/>
        </w:rPr>
        <w:t>firm related to any Claim.</w:t>
      </w:r>
    </w:p>
    <w:p>
      <w:pPr>
        <w:spacing w:after="0" w:line="20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Lienholder</w:t>
      </w:r>
      <w:r>
        <w:rPr>
          <w:rFonts w:ascii="Arial" w:cs="Arial" w:eastAsia="Arial" w:hAnsi="Arial"/>
          <w:sz w:val="16"/>
          <w:szCs w:val="16"/>
          <w:color w:val="auto"/>
        </w:rPr>
        <w:t>” means a Person who holds a Lien.</w:t>
      </w:r>
    </w:p>
    <w:p>
      <w:pPr>
        <w:spacing w:after="0" w:line="225"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u w:val="single" w:color="auto"/>
          <w:color w:val="auto"/>
        </w:rPr>
        <w:t>Mediator</w:t>
      </w:r>
      <w:r>
        <w:rPr>
          <w:rFonts w:ascii="Arial" w:cs="Arial" w:eastAsia="Arial" w:hAnsi="Arial"/>
          <w:sz w:val="18"/>
          <w:szCs w:val="18"/>
          <w:color w:val="auto"/>
        </w:rPr>
        <w:t>” means Miles Ruthberg or, should a replacement or alternate be necessary, any replacement or alternate jointly selected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w:t>
      </w:r>
    </w:p>
    <w:p>
      <w:pPr>
        <w:spacing w:after="0" w:line="19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MMSEA</w:t>
      </w:r>
      <w:r>
        <w:rPr>
          <w:rFonts w:ascii="Arial" w:cs="Arial" w:eastAsia="Arial" w:hAnsi="Arial"/>
          <w:sz w:val="16"/>
          <w:szCs w:val="16"/>
          <w:color w:val="auto"/>
        </w:rPr>
        <w:t>” means the Medicare, Medicaid, and SCHIP Extension Act of 2007 and its applicable regulations.</w:t>
      </w:r>
    </w:p>
    <w:p>
      <w:pPr>
        <w:spacing w:after="0" w:line="225"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u w:val="single" w:color="auto"/>
          <w:color w:val="auto"/>
        </w:rPr>
        <w:t>PEC</w:t>
      </w:r>
      <w:r>
        <w:rPr>
          <w:rFonts w:ascii="Arial" w:cs="Arial" w:eastAsia="Arial" w:hAnsi="Arial"/>
          <w:sz w:val="17"/>
          <w:szCs w:val="17"/>
          <w:color w:val="auto"/>
        </w:rPr>
        <w:t>” or “</w:t>
      </w:r>
      <w:r>
        <w:rPr>
          <w:rFonts w:ascii="Arial" w:cs="Arial" w:eastAsia="Arial" w:hAnsi="Arial"/>
          <w:sz w:val="17"/>
          <w:szCs w:val="17"/>
          <w:u w:val="single" w:color="auto"/>
          <w:color w:val="auto"/>
        </w:rPr>
        <w:t>Plaintiffs’ Executive Committee</w:t>
      </w:r>
      <w:r>
        <w:rPr>
          <w:rFonts w:ascii="Arial" w:cs="Arial" w:eastAsia="Arial" w:hAnsi="Arial"/>
          <w:sz w:val="17"/>
          <w:szCs w:val="17"/>
          <w:color w:val="auto"/>
        </w:rPr>
        <w:t>” refers to and includes the following firms: Salvi, Schostok &amp; Pritchard, PC;</w:t>
      </w:r>
      <w:r>
        <w:rPr>
          <w:rFonts w:ascii="Arial" w:cs="Arial" w:eastAsia="Arial" w:hAnsi="Arial"/>
          <w:sz w:val="17"/>
          <w:szCs w:val="17"/>
          <w:b w:val="1"/>
          <w:bCs w:val="1"/>
          <w:color w:val="auto"/>
        </w:rPr>
        <w:t xml:space="preserve"> </w:t>
      </w:r>
      <w:r>
        <w:rPr>
          <w:rFonts w:ascii="Arial" w:cs="Arial" w:eastAsia="Arial" w:hAnsi="Arial"/>
          <w:sz w:val="17"/>
          <w:szCs w:val="17"/>
          <w:color w:val="auto"/>
        </w:rPr>
        <w:t>Romanucci &amp; Blandin, LLC; Hart McLaughlin &amp; Eldridge, LLC; The Collins Law Firm, PC; Smith LaCien, LLP; Tomasik Kotin Kasserman, LLC;</w:t>
      </w:r>
    </w:p>
    <w:p>
      <w:pPr>
        <w:spacing w:after="0"/>
        <w:rPr>
          <w:sz w:val="20"/>
          <w:szCs w:val="20"/>
          <w:color w:val="auto"/>
        </w:rPr>
      </w:pPr>
      <w:r>
        <w:rPr>
          <w:rFonts w:ascii="Arial" w:cs="Arial" w:eastAsia="Arial" w:hAnsi="Arial"/>
          <w:sz w:val="18"/>
          <w:szCs w:val="18"/>
          <w:color w:val="auto"/>
        </w:rPr>
        <w:t>and Miner Barnhill &amp; Galland, PC.</w:t>
      </w:r>
    </w:p>
    <w:p>
      <w:pPr>
        <w:spacing w:after="0" w:line="20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Pending Actions</w:t>
      </w:r>
      <w:r>
        <w:rPr>
          <w:rFonts w:ascii="Arial" w:cs="Arial" w:eastAsia="Arial" w:hAnsi="Arial"/>
          <w:sz w:val="16"/>
          <w:szCs w:val="16"/>
          <w:color w:val="auto"/>
        </w:rPr>
        <w:t>” means all pending Actions filed by Settling Claimants.</w:t>
      </w:r>
    </w:p>
    <w:p>
      <w:pPr>
        <w:spacing w:after="0" w:line="225"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corporation, Governmental Authority, limited liability company, other company, trust,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association, partnership, or other enterprise or entity, or the Legal Representative of any of the foregoing.</w:t>
      </w:r>
    </w:p>
    <w:p>
      <w:pPr>
        <w:spacing w:after="0" w:line="19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w:t>
      </w:r>
      <w:r>
        <w:rPr>
          <w:rFonts w:ascii="Arial" w:cs="Arial" w:eastAsia="Arial" w:hAnsi="Arial"/>
          <w:sz w:val="17"/>
          <w:szCs w:val="17"/>
          <w:u w:val="single" w:color="auto"/>
          <w:color w:val="auto"/>
        </w:rPr>
        <w:t>Plaintiffs’ Counsel</w:t>
      </w:r>
      <w:r>
        <w:rPr>
          <w:rFonts w:ascii="Arial" w:cs="Arial" w:eastAsia="Arial" w:hAnsi="Arial"/>
          <w:sz w:val="17"/>
          <w:szCs w:val="17"/>
          <w:color w:val="auto"/>
        </w:rPr>
        <w:t>” means, individually and collectively as the context may require, any lawyers and law firms representing</w:t>
      </w:r>
      <w:r>
        <w:rPr>
          <w:rFonts w:ascii="Arial" w:cs="Arial" w:eastAsia="Arial" w:hAnsi="Arial"/>
          <w:sz w:val="17"/>
          <w:szCs w:val="17"/>
          <w:b w:val="1"/>
          <w:bCs w:val="1"/>
          <w:color w:val="auto"/>
        </w:rPr>
        <w:t xml:space="preserve"> </w:t>
      </w:r>
      <w:r>
        <w:rPr>
          <w:rFonts w:ascii="Arial" w:cs="Arial" w:eastAsia="Arial" w:hAnsi="Arial"/>
          <w:sz w:val="17"/>
          <w:szCs w:val="17"/>
          <w:color w:val="auto"/>
        </w:rPr>
        <w:t>Settling Claimants. As of the Effective Date, this includes Salvi, Schostok &amp; Pritchard PC for Susan and Brian Kamuda; Smith LaCien LLP for</w:t>
      </w:r>
    </w:p>
    <w:p>
      <w:pPr>
        <w:spacing w:after="0"/>
        <w:rPr>
          <w:sz w:val="20"/>
          <w:szCs w:val="20"/>
          <w:color w:val="auto"/>
        </w:rPr>
      </w:pPr>
      <w:r>
        <w:rPr>
          <w:rFonts w:ascii="Arial" w:cs="Arial" w:eastAsia="Arial" w:hAnsi="Arial"/>
          <w:sz w:val="18"/>
          <w:szCs w:val="18"/>
          <w:color w:val="auto"/>
        </w:rPr>
        <w:t>Teresa and Doug Fornek; and Romanucci &amp; Blandin, LLC and Hart McLaughlin &amp; Eldridge, LLC for Heather and Michael Schumacher.</w:t>
      </w:r>
    </w:p>
    <w:p>
      <w:pPr>
        <w:sectPr>
          <w:pgSz w:w="11900" w:h="16838" w:orient="portrait"/>
          <w:cols w:equalWidth="0" w:num="1">
            <w:col w:w="10740"/>
          </w:cols>
          <w:pgMar w:left="440" w:top="132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40"/>
          </w:cols>
          <w:pgMar w:left="440" w:top="1323" w:right="719" w:bottom="1440" w:gutter="0" w:footer="0" w:header="0"/>
          <w:type w:val="continuous"/>
        </w:sectPr>
      </w:pPr>
    </w:p>
    <w:bookmarkStart w:id="51" w:name="page52"/>
    <w:bookmarkEnd w:id="51"/>
    <w:p>
      <w:pPr>
        <w:spacing w:after="0" w:line="140"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1.28. </w:t>
      </w:r>
      <w:r>
        <w:rPr>
          <w:rFonts w:ascii="Arial" w:cs="Arial" w:eastAsia="Arial" w:hAnsi="Arial"/>
          <w:sz w:val="16"/>
          <w:szCs w:val="16"/>
          <w:color w:val="auto"/>
        </w:rPr>
        <w:t>“</w:t>
      </w:r>
      <w:r>
        <w:rPr>
          <w:rFonts w:ascii="Arial" w:cs="Arial" w:eastAsia="Arial" w:hAnsi="Arial"/>
          <w:sz w:val="16"/>
          <w:szCs w:val="16"/>
          <w:u w:val="single" w:color="auto"/>
          <w:color w:val="auto"/>
        </w:rPr>
        <w:t>QSF Administrator</w:t>
      </w:r>
      <w:r>
        <w:rPr>
          <w:rFonts w:ascii="Arial" w:cs="Arial" w:eastAsia="Arial" w:hAnsi="Arial"/>
          <w:sz w:val="16"/>
          <w:szCs w:val="16"/>
          <w:color w:val="auto"/>
        </w:rPr>
        <w:t>” means the Person(s) selected by Plaintiffs’ Counsel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5.4</w:t>
      </w:r>
      <w:r>
        <w:rPr>
          <w:rFonts w:ascii="Arial" w:cs="Arial" w:eastAsia="Arial" w:hAnsi="Arial"/>
          <w:sz w:val="16"/>
          <w:szCs w:val="16"/>
          <w:b w:val="1"/>
          <w:bCs w:val="1"/>
          <w:color w:val="auto"/>
        </w:rPr>
        <w:t xml:space="preserve"> </w:t>
      </w:r>
      <w:r>
        <w:rPr>
          <w:rFonts w:ascii="Arial" w:cs="Arial" w:eastAsia="Arial" w:hAnsi="Arial"/>
          <w:sz w:val="16"/>
          <w:szCs w:val="16"/>
          <w:color w:val="auto"/>
        </w:rPr>
        <w:t>to perform the responsibilities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to the QSF Administrator under this Agreement (including administering the QSF (as defined herein)), and any replacement or alternate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QSF Administrator should a replacement or alternate be necessary.</w:t>
      </w:r>
    </w:p>
    <w:p>
      <w:pPr>
        <w:spacing w:after="0" w:line="259"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Qualified Settlement Fund</w:t>
      </w:r>
      <w:r>
        <w:rPr>
          <w:rFonts w:ascii="Arial" w:cs="Arial" w:eastAsia="Arial" w:hAnsi="Arial"/>
          <w:sz w:val="16"/>
          <w:szCs w:val="16"/>
          <w:color w:val="auto"/>
        </w:rPr>
        <w:t>” or “</w:t>
      </w:r>
      <w:r>
        <w:rPr>
          <w:rFonts w:ascii="Arial" w:cs="Arial" w:eastAsia="Arial" w:hAnsi="Arial"/>
          <w:sz w:val="16"/>
          <w:szCs w:val="16"/>
          <w:u w:val="single" w:color="auto"/>
          <w:color w:val="auto"/>
        </w:rPr>
        <w:t>QSF</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25" w:lineRule="exact"/>
        <w:rPr>
          <w:sz w:val="20"/>
          <w:szCs w:val="20"/>
          <w:color w:val="auto"/>
        </w:rPr>
      </w:pPr>
    </w:p>
    <w:p>
      <w:pPr>
        <w:jc w:val="both"/>
        <w:ind w:left="4" w:firstLine="648"/>
        <w:spacing w:after="0" w:line="237"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the form of release to be submitted by Settling Claimants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and any modified form of release necessary to conform with applicable state law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99"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Released Party</w:t>
      </w:r>
      <w:r>
        <w:rPr>
          <w:rFonts w:ascii="Arial" w:cs="Arial" w:eastAsia="Arial" w:hAnsi="Arial"/>
          <w:sz w:val="16"/>
          <w:szCs w:val="16"/>
          <w:color w:val="auto"/>
        </w:rPr>
        <w:t>” or “</w:t>
      </w:r>
      <w:r>
        <w:rPr>
          <w:rFonts w:ascii="Arial" w:cs="Arial" w:eastAsia="Arial" w:hAnsi="Arial"/>
          <w:sz w:val="16"/>
          <w:szCs w:val="16"/>
          <w:u w:val="single" w:color="auto"/>
          <w:color w:val="auto"/>
        </w:rPr>
        <w:t>Released Parties</w:t>
      </w:r>
      <w:r>
        <w:rPr>
          <w:rFonts w:ascii="Arial" w:cs="Arial" w:eastAsia="Arial" w:hAnsi="Arial"/>
          <w:sz w:val="16"/>
          <w:szCs w:val="16"/>
          <w:color w:val="auto"/>
        </w:rPr>
        <w:t>” means Sterigenics US, the Sotera Health Parties (as defined herein), Warburg Pincus (as</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defined herein), GTCR, and all their affiliates, predecessors, successors, direct or indirect parents, direct or indirect subsidiaries, assigns, as well as any current, former, direct or indirect partners, managers, members, shareholders, employees, directors, officers, management companies, incorporators, investors, landlords, tenants, suppliers, service providers, customers, consultants, attorneys, agents, declarants, affiants, or other</w:t>
      </w:r>
    </w:p>
    <w:p>
      <w:pPr>
        <w:spacing w:after="0" w:line="2"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representatives, including (without limitation)***** Released Parties also refers to the Released Parties’ insurers, including (without limitation) Steadfast Insurance Company/Zurich Insurance Group and National Union/AIG.</w:t>
      </w:r>
    </w:p>
    <w:p>
      <w:pPr>
        <w:spacing w:after="0" w:line="198"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color w:val="auto"/>
        </w:rPr>
        <w:t>“</w:t>
      </w:r>
      <w:r>
        <w:rPr>
          <w:rFonts w:ascii="Arial" w:cs="Arial" w:eastAsia="Arial" w:hAnsi="Arial"/>
          <w:sz w:val="16"/>
          <w:szCs w:val="16"/>
          <w:u w:val="single" w:color="auto"/>
          <w:color w:val="auto"/>
        </w:rPr>
        <w:t>Settlement Administration Expenses</w:t>
      </w:r>
      <w:r>
        <w:rPr>
          <w:rFonts w:ascii="Arial" w:cs="Arial" w:eastAsia="Arial" w:hAnsi="Arial"/>
          <w:sz w:val="16"/>
          <w:szCs w:val="16"/>
          <w:color w:val="auto"/>
        </w:rPr>
        <w:t>” means the expenses incurred in connection with the administration of this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expenses associated with (i) establishing or maintaining the Escrow Account and (ii) establishing or maintaining the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QSF.</w:t>
      </w:r>
    </w:p>
    <w:p>
      <w:pPr>
        <w:spacing w:after="0" w:line="205"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Settlement Funding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25"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Settlement Funds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25" w:lineRule="exact"/>
        <w:rPr>
          <w:sz w:val="20"/>
          <w:szCs w:val="20"/>
          <w:color w:val="auto"/>
        </w:rPr>
      </w:pPr>
    </w:p>
    <w:p>
      <w:pPr>
        <w:jc w:val="both"/>
        <w:ind w:left="4" w:firstLine="648"/>
        <w:spacing w:after="0" w:line="237"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u w:val="single" w:color="auto"/>
          <w:color w:val="auto"/>
        </w:rPr>
        <w:t>Settling Claimants</w:t>
      </w:r>
      <w:r>
        <w:rPr>
          <w:rFonts w:ascii="Arial" w:cs="Arial" w:eastAsia="Arial" w:hAnsi="Arial"/>
          <w:sz w:val="18"/>
          <w:szCs w:val="18"/>
          <w:color w:val="auto"/>
        </w:rPr>
        <w:t>” refers to, individually and collectively as the context may require, Susan Kamuda, Brian Kamuda, Teresa</w:t>
      </w:r>
      <w:r>
        <w:rPr>
          <w:rFonts w:ascii="Arial" w:cs="Arial" w:eastAsia="Arial" w:hAnsi="Arial"/>
          <w:sz w:val="18"/>
          <w:szCs w:val="18"/>
          <w:b w:val="1"/>
          <w:bCs w:val="1"/>
          <w:color w:val="auto"/>
        </w:rPr>
        <w:t xml:space="preserve"> </w:t>
      </w:r>
      <w:r>
        <w:rPr>
          <w:rFonts w:ascii="Arial" w:cs="Arial" w:eastAsia="Arial" w:hAnsi="Arial"/>
          <w:sz w:val="18"/>
          <w:szCs w:val="18"/>
          <w:color w:val="auto"/>
        </w:rPr>
        <w:t>Fornek, Doug Fornek, Heather Schumacher, and Michael Schumacher.</w:t>
      </w:r>
    </w:p>
    <w:p>
      <w:pPr>
        <w:spacing w:after="0" w:line="199" w:lineRule="exact"/>
        <w:rPr>
          <w:sz w:val="20"/>
          <w:szCs w:val="20"/>
          <w:color w:val="auto"/>
        </w:rPr>
      </w:pPr>
    </w:p>
    <w:p>
      <w:pPr>
        <w:jc w:val="both"/>
        <w:ind w:left="4" w:firstLine="648"/>
        <w:spacing w:after="0" w:line="237"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u w:val="single" w:color="auto"/>
          <w:color w:val="auto"/>
        </w:rPr>
        <w:t>Sotera Health Parties</w:t>
      </w:r>
      <w:r>
        <w:rPr>
          <w:rFonts w:ascii="Arial" w:cs="Arial" w:eastAsia="Arial" w:hAnsi="Arial"/>
          <w:sz w:val="18"/>
          <w:szCs w:val="18"/>
          <w:color w:val="auto"/>
        </w:rPr>
        <w:t>” means Sotera Health Company; Sotera Health Holdings LLC; Sotera Health LLC; Sotera Health Topco</w:t>
      </w:r>
      <w:r>
        <w:rPr>
          <w:rFonts w:ascii="Arial" w:cs="Arial" w:eastAsia="Arial" w:hAnsi="Arial"/>
          <w:sz w:val="18"/>
          <w:szCs w:val="18"/>
          <w:b w:val="1"/>
          <w:bCs w:val="1"/>
          <w:color w:val="auto"/>
        </w:rPr>
        <w:t xml:space="preserve"> </w:t>
      </w:r>
      <w:r>
        <w:rPr>
          <w:rFonts w:ascii="Arial" w:cs="Arial" w:eastAsia="Arial" w:hAnsi="Arial"/>
          <w:sz w:val="18"/>
          <w:szCs w:val="18"/>
          <w:color w:val="auto"/>
        </w:rPr>
        <w:t>Parent, LP; and Sotera Health GP, LLC.</w:t>
      </w:r>
    </w:p>
    <w:p>
      <w:pPr>
        <w:spacing w:after="0" w:line="199"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u w:val="single" w:color="auto"/>
          <w:color w:val="auto"/>
        </w:rPr>
        <w:t>Walk Away Right</w:t>
      </w:r>
      <w:r>
        <w:rPr>
          <w:rFonts w:ascii="Arial" w:cs="Arial" w:eastAsia="Arial" w:hAnsi="Arial"/>
          <w:sz w:val="18"/>
          <w:szCs w:val="18"/>
          <w:color w:val="auto"/>
        </w:rPr>
        <w:t>“ means the option to immediately terminate and nullify this Agreement in the event the Group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has been terminated.</w:t>
      </w:r>
    </w:p>
    <w:p>
      <w:pPr>
        <w:spacing w:after="0" w:line="190" w:lineRule="exact"/>
        <w:rPr>
          <w:sz w:val="20"/>
          <w:szCs w:val="20"/>
          <w:color w:val="auto"/>
        </w:rPr>
      </w:pPr>
    </w:p>
    <w:p>
      <w:pPr>
        <w:jc w:val="both"/>
        <w:ind w:left="4" w:firstLine="648"/>
        <w:spacing w:after="0" w:line="243" w:lineRule="auto"/>
        <w:rPr>
          <w:sz w:val="20"/>
          <w:szCs w:val="20"/>
          <w:color w:val="auto"/>
        </w:rPr>
      </w:pPr>
      <w:r>
        <w:rPr>
          <w:rFonts w:ascii="Arial" w:cs="Arial" w:eastAsia="Arial" w:hAnsi="Arial"/>
          <w:sz w:val="16"/>
          <w:szCs w:val="16"/>
          <w:b w:val="1"/>
          <w:bCs w:val="1"/>
          <w:color w:val="auto"/>
        </w:rPr>
        <w:t xml:space="preserve">1.38. </w:t>
      </w:r>
      <w:r>
        <w:rPr>
          <w:rFonts w:ascii="Arial" w:cs="Arial" w:eastAsia="Arial" w:hAnsi="Arial"/>
          <w:sz w:val="16"/>
          <w:szCs w:val="16"/>
          <w:color w:val="auto"/>
        </w:rPr>
        <w:t>“</w:t>
      </w:r>
      <w:r>
        <w:rPr>
          <w:rFonts w:ascii="Arial" w:cs="Arial" w:eastAsia="Arial" w:hAnsi="Arial"/>
          <w:sz w:val="16"/>
          <w:szCs w:val="16"/>
          <w:u w:val="single" w:color="auto"/>
          <w:color w:val="auto"/>
        </w:rPr>
        <w:t>Warburg Pincus</w:t>
      </w:r>
      <w:r>
        <w:rPr>
          <w:rFonts w:ascii="Arial" w:cs="Arial" w:eastAsia="Arial" w:hAnsi="Arial"/>
          <w:sz w:val="16"/>
          <w:szCs w:val="16"/>
          <w:color w:val="auto"/>
        </w:rPr>
        <w:t>” refers to Warburg Pincus LLC and all funds, general partners, and management companies associated with 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managed by Warburg Pincus LLC or its affiliates, including (without limitation) Warburg Pincus Private Equity XI, LP; Warburg Pincus Private Equity XI-B, LP; Warburg Pincus Private Equity XI-C, LP; Warburg Pincus XI Partners, LP; WP XI Partners, LP; Warburg Pincus XI, LP; WP</w:t>
      </w:r>
    </w:p>
    <w:p>
      <w:pPr>
        <w:spacing w:after="0" w:line="1" w:lineRule="exact"/>
        <w:rPr>
          <w:sz w:val="20"/>
          <w:szCs w:val="20"/>
          <w:color w:val="auto"/>
        </w:rPr>
      </w:pPr>
    </w:p>
    <w:p>
      <w:pPr>
        <w:jc w:val="both"/>
        <w:ind w:left="4"/>
        <w:spacing w:after="0" w:line="221" w:lineRule="auto"/>
        <w:rPr>
          <w:sz w:val="20"/>
          <w:szCs w:val="20"/>
          <w:color w:val="auto"/>
        </w:rPr>
      </w:pPr>
      <w:r>
        <w:rPr>
          <w:rFonts w:ascii="Arial" w:cs="Arial" w:eastAsia="Arial" w:hAnsi="Arial"/>
          <w:sz w:val="17"/>
          <w:szCs w:val="17"/>
          <w:color w:val="auto"/>
        </w:rPr>
        <w:t>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w:t>
      </w:r>
    </w:p>
    <w:p>
      <w:pPr>
        <w:jc w:val="both"/>
        <w:ind w:left="4"/>
        <w:spacing w:after="0" w:line="226" w:lineRule="auto"/>
        <w:rPr>
          <w:sz w:val="20"/>
          <w:szCs w:val="20"/>
          <w:color w:val="auto"/>
        </w:rPr>
      </w:pPr>
      <w:r>
        <w:rPr>
          <w:rFonts w:ascii="Arial" w:cs="Arial" w:eastAsia="Arial" w:hAnsi="Arial"/>
          <w:sz w:val="18"/>
          <w:szCs w:val="18"/>
          <w:color w:val="auto"/>
        </w:rPr>
        <w:t>Warburg Pincus Partners II Holdings (Cayman), LP; WPP II Administrative (Cayman), LLC; and their respective affiliates, parents, subsidiaries, members, officers, directors, partners, and limited partners.</w:t>
      </w:r>
    </w:p>
    <w:p>
      <w:pPr>
        <w:spacing w:after="0" w:line="198" w:lineRule="exact"/>
        <w:rPr>
          <w:sz w:val="20"/>
          <w:szCs w:val="20"/>
          <w:color w:val="auto"/>
        </w:rPr>
      </w:pPr>
    </w:p>
    <w:p>
      <w:pPr>
        <w:ind w:left="644" w:hanging="644"/>
        <w:spacing w:after="0"/>
        <w:tabs>
          <w:tab w:leader="none" w:pos="64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SETTLING CLAIMANT RELEASES</w:t>
      </w:r>
    </w:p>
    <w:p>
      <w:pPr>
        <w:spacing w:after="0" w:line="225" w:lineRule="exact"/>
        <w:rPr>
          <w:sz w:val="20"/>
          <w:szCs w:val="20"/>
          <w:color w:val="auto"/>
        </w:rPr>
      </w:pPr>
    </w:p>
    <w:p>
      <w:pPr>
        <w:ind w:left="4" w:firstLine="648"/>
        <w:spacing w:after="0" w:line="237" w:lineRule="auto"/>
        <w:rPr>
          <w:sz w:val="20"/>
          <w:szCs w:val="20"/>
          <w:color w:val="auto"/>
        </w:rPr>
      </w:pPr>
      <w:r>
        <w:rPr>
          <w:rFonts w:ascii="Arial" w:cs="Arial" w:eastAsia="Arial" w:hAnsi="Arial"/>
          <w:sz w:val="18"/>
          <w:szCs w:val="18"/>
          <w:b w:val="1"/>
          <w:bCs w:val="1"/>
          <w:color w:val="auto"/>
        </w:rPr>
        <w:t xml:space="preserve">2.1. Fair, Just, and Efficient Method for Resolving Claims. </w:t>
      </w:r>
      <w:r>
        <w:rPr>
          <w:rFonts w:ascii="Arial" w:cs="Arial" w:eastAsia="Arial" w:hAnsi="Arial"/>
          <w:sz w:val="18"/>
          <w:szCs w:val="18"/>
          <w:color w:val="auto"/>
        </w:rPr>
        <w:t>The Parties believe that this Agreement represents a fair, just, and</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efficient method for resolving the Claims.</w:t>
      </w:r>
    </w:p>
    <w:p>
      <w:pPr>
        <w:spacing w:after="0" w:line="199"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Settling Claimants. </w:t>
      </w:r>
      <w:r>
        <w:rPr>
          <w:rFonts w:ascii="Arial" w:cs="Arial" w:eastAsia="Arial" w:hAnsi="Arial"/>
          <w:sz w:val="17"/>
          <w:szCs w:val="17"/>
          <w:color w:val="auto"/>
        </w:rPr>
        <w:t>Settling Claimants have executed the Releases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and have provided Plaintiffs’</w:t>
      </w:r>
    </w:p>
    <w:p>
      <w:pPr>
        <w:spacing w:after="0" w:line="2"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 xml:space="preserve">Counsel stipulated dismissals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w:t>
      </w:r>
      <w:r>
        <w:rPr>
          <w:rFonts w:ascii="Arial" w:cs="Arial" w:eastAsia="Arial" w:hAnsi="Arial"/>
          <w:sz w:val="18"/>
          <w:szCs w:val="18"/>
          <w:color w:val="auto"/>
        </w:rPr>
        <w:t>, no Settling Claimant may withdraw a Release or otherwise terminate or withdraw from the Agreement.</w:t>
      </w:r>
    </w:p>
    <w:p>
      <w:pPr>
        <w:spacing w:after="0" w:line="198"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2.3. Jurisdiction. </w:t>
      </w:r>
      <w:r>
        <w:rPr>
          <w:rFonts w:ascii="Arial" w:cs="Arial" w:eastAsia="Arial" w:hAnsi="Arial"/>
          <w:sz w:val="16"/>
          <w:szCs w:val="16"/>
          <w:color w:val="auto"/>
        </w:rPr>
        <w:t>The Parties and the Settling Claimants accept the jurisdiction of the Circuit Court of Cook County, Illinois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and decisions relative to this Agreement and all related Agreements (including, without limitation, the Release and Escrow Agreement),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except to the extent the Parties have agreed to submit certain disputes to the Mediator as expressly provided by this Agreement.</w:t>
      </w:r>
    </w:p>
    <w:p>
      <w:pPr>
        <w:sectPr>
          <w:pgSz w:w="11900" w:h="16838" w:orient="portrait"/>
          <w:cols w:equalWidth="0" w:num="1">
            <w:col w:w="10724"/>
          </w:cols>
          <w:pgMar w:left="436"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0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24"/>
          </w:cols>
          <w:pgMar w:left="436" w:top="1440" w:right="739" w:bottom="1440" w:gutter="0" w:footer="0" w:header="0"/>
          <w:type w:val="continuous"/>
        </w:sectPr>
      </w:pPr>
    </w:p>
    <w:bookmarkStart w:id="52" w:name="page53"/>
    <w:bookmarkEnd w:id="52"/>
    <w:p>
      <w:pPr>
        <w:spacing w:after="0" w:line="140" w:lineRule="exact"/>
        <w:rPr>
          <w:sz w:val="20"/>
          <w:szCs w:val="20"/>
          <w:color w:val="auto"/>
        </w:rPr>
      </w:pPr>
    </w:p>
    <w:p>
      <w:pPr>
        <w:ind w:left="644" w:hanging="644"/>
        <w:spacing w:after="0"/>
        <w:tabs>
          <w:tab w:leader="none" w:pos="64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CONSEQUENCES OF EXERCISE OF WALK AWAY RIGHT</w:t>
      </w:r>
    </w:p>
    <w:p>
      <w:pPr>
        <w:spacing w:after="0" w:line="225" w:lineRule="exact"/>
        <w:rPr>
          <w:sz w:val="20"/>
          <w:szCs w:val="20"/>
          <w:color w:val="auto"/>
        </w:rPr>
      </w:pPr>
    </w:p>
    <w:p>
      <w:pPr>
        <w:ind w:left="4" w:firstLine="648"/>
        <w:spacing w:after="0" w:line="237" w:lineRule="auto"/>
        <w:rPr>
          <w:sz w:val="20"/>
          <w:szCs w:val="20"/>
          <w:color w:val="auto"/>
        </w:rPr>
      </w:pPr>
      <w:r>
        <w:rPr>
          <w:rFonts w:ascii="Arial" w:cs="Arial" w:eastAsia="Arial" w:hAnsi="Arial"/>
          <w:sz w:val="18"/>
          <w:szCs w:val="18"/>
          <w:b w:val="1"/>
          <w:bCs w:val="1"/>
          <w:color w:val="auto"/>
        </w:rPr>
        <w:t xml:space="preserve">3.1. Exercise and Notice. </w:t>
      </w:r>
      <w:r>
        <w:rPr>
          <w:rFonts w:ascii="Arial" w:cs="Arial" w:eastAsia="Arial" w:hAnsi="Arial"/>
          <w:sz w:val="18"/>
          <w:szCs w:val="18"/>
          <w:color w:val="auto"/>
        </w:rPr>
        <w:t>Settling Defendants may exercise the Walk Away Right by providing written notice to Plaintiffs’ Counsel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Mediator.</w:t>
      </w:r>
    </w:p>
    <w:p>
      <w:pPr>
        <w:spacing w:after="0" w:line="199" w:lineRule="exact"/>
        <w:rPr>
          <w:sz w:val="20"/>
          <w:szCs w:val="20"/>
          <w:color w:val="auto"/>
        </w:rPr>
      </w:pPr>
    </w:p>
    <w:p>
      <w:pPr>
        <w:ind w:left="4" w:firstLine="648"/>
        <w:spacing w:after="0" w:line="250" w:lineRule="auto"/>
        <w:rPr>
          <w:sz w:val="20"/>
          <w:szCs w:val="20"/>
          <w:color w:val="auto"/>
        </w:rPr>
      </w:pPr>
      <w:r>
        <w:rPr>
          <w:rFonts w:ascii="Arial" w:cs="Arial" w:eastAsia="Arial" w:hAnsi="Arial"/>
          <w:sz w:val="18"/>
          <w:szCs w:val="18"/>
          <w:b w:val="1"/>
          <w:bCs w:val="1"/>
          <w:color w:val="auto"/>
        </w:rPr>
        <w:t xml:space="preserve">3.2. Consequences. </w:t>
      </w:r>
      <w:r>
        <w:rPr>
          <w:rFonts w:ascii="Arial" w:cs="Arial" w:eastAsia="Arial" w:hAnsi="Arial"/>
          <w:sz w:val="18"/>
          <w:szCs w:val="18"/>
          <w:color w:val="auto"/>
        </w:rPr>
        <w:t>In the event Settling Defendants exercise the Walk Away Right or otherwise fail to fund the QSF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w:t>
      </w:r>
    </w:p>
    <w:p>
      <w:pPr>
        <w:spacing w:after="0" w:line="194" w:lineRule="exact"/>
        <w:rPr>
          <w:sz w:val="20"/>
          <w:szCs w:val="20"/>
          <w:color w:val="auto"/>
        </w:rPr>
      </w:pPr>
    </w:p>
    <w:p>
      <w:pPr>
        <w:ind w:left="1304" w:hanging="657"/>
        <w:spacing w:after="0" w:line="235" w:lineRule="auto"/>
        <w:tabs>
          <w:tab w:leader="none" w:pos="130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shall immediately terminate and Settling Defendants immediately shall cease to have any further financial obligations under this Agreement;</w:t>
      </w:r>
    </w:p>
    <w:p>
      <w:pPr>
        <w:spacing w:after="0" w:line="202" w:lineRule="exact"/>
        <w:rPr>
          <w:rFonts w:ascii="Arial" w:cs="Arial" w:eastAsia="Arial" w:hAnsi="Arial"/>
          <w:sz w:val="18"/>
          <w:szCs w:val="18"/>
          <w:color w:val="auto"/>
        </w:rPr>
      </w:pPr>
    </w:p>
    <w:p>
      <w:pPr>
        <w:ind w:left="1304" w:hanging="657"/>
        <w:spacing w:after="0" w:line="235" w:lineRule="auto"/>
        <w:tabs>
          <w:tab w:leader="none" w:pos="12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the extent Sterigenics US has deposited the Settlement Funds into the Escrow Account, the Parties shall take all necessary steps to cause the Escrow Agent to return the Settlement Funds to Sterigenics US;</w:t>
      </w:r>
    </w:p>
    <w:p>
      <w:pPr>
        <w:spacing w:after="0" w:line="202" w:lineRule="exact"/>
        <w:rPr>
          <w:rFonts w:ascii="Arial" w:cs="Arial" w:eastAsia="Arial" w:hAnsi="Arial"/>
          <w:sz w:val="18"/>
          <w:szCs w:val="18"/>
          <w:color w:val="auto"/>
        </w:rPr>
      </w:pPr>
    </w:p>
    <w:p>
      <w:pPr>
        <w:ind w:left="1284" w:hanging="637"/>
        <w:spacing w:after="0"/>
        <w:tabs>
          <w:tab w:leader="none" w:pos="1284"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All Releases submitted by Settling Claimants shall be returned to Plaintiffs’ Counsel and shall be null and void, </w:t>
      </w:r>
      <w:r>
        <w:rPr>
          <w:rFonts w:ascii="Arial" w:cs="Arial" w:eastAsia="Arial" w:hAnsi="Arial"/>
          <w:sz w:val="16"/>
          <w:szCs w:val="16"/>
          <w:i w:val="1"/>
          <w:iCs w:val="1"/>
          <w:color w:val="auto"/>
        </w:rPr>
        <w:t>nunc pro tunc</w:t>
      </w:r>
      <w:r>
        <w:rPr>
          <w:rFonts w:ascii="Arial" w:cs="Arial" w:eastAsia="Arial" w:hAnsi="Arial"/>
          <w:sz w:val="16"/>
          <w:szCs w:val="16"/>
          <w:color w:val="auto"/>
        </w:rPr>
        <w:t>; and</w:t>
      </w:r>
    </w:p>
    <w:p>
      <w:pPr>
        <w:spacing w:after="0" w:line="248" w:lineRule="exact"/>
        <w:rPr>
          <w:rFonts w:ascii="Arial" w:cs="Arial" w:eastAsia="Arial" w:hAnsi="Arial"/>
          <w:sz w:val="16"/>
          <w:szCs w:val="16"/>
          <w:color w:val="auto"/>
        </w:rPr>
      </w:pPr>
    </w:p>
    <w:p>
      <w:pPr>
        <w:ind w:left="1304" w:hanging="657"/>
        <w:spacing w:after="0" w:line="246" w:lineRule="auto"/>
        <w:tabs>
          <w:tab w:leader="none" w:pos="12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Within five Business Days, the Parties will jointly petition the court to return pending cases to the status quo, including re-setting trial dates previously set for as soon as practicable.</w:t>
      </w:r>
    </w:p>
    <w:p>
      <w:pPr>
        <w:spacing w:after="0" w:line="246" w:lineRule="exact"/>
        <w:rPr>
          <w:rFonts w:ascii="Arial" w:cs="Arial" w:eastAsia="Arial" w:hAnsi="Arial"/>
          <w:sz w:val="18"/>
          <w:szCs w:val="18"/>
          <w:color w:val="auto"/>
        </w:rPr>
      </w:pPr>
    </w:p>
    <w:p>
      <w:pPr>
        <w:ind w:left="644" w:hanging="644"/>
        <w:spacing w:after="0"/>
        <w:tabs>
          <w:tab w:leader="none" w:pos="64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SETTLING DEFENDANTS FUNDING OBLIGATIONS</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4.1.   Settlement Funds. </w:t>
      </w:r>
      <w:r>
        <w:rPr>
          <w:rFonts w:ascii="Arial" w:cs="Arial" w:eastAsia="Arial" w:hAnsi="Arial"/>
          <w:sz w:val="16"/>
          <w:szCs w:val="16"/>
          <w:color w:val="auto"/>
        </w:rPr>
        <w:t>The “</w:t>
      </w:r>
      <w:r>
        <w:rPr>
          <w:rFonts w:ascii="Arial" w:cs="Arial" w:eastAsia="Arial" w:hAnsi="Arial"/>
          <w:sz w:val="16"/>
          <w:szCs w:val="16"/>
          <w:u w:val="single" w:color="auto"/>
          <w:color w:val="auto"/>
        </w:rPr>
        <w:t>Settlement Funds</w:t>
      </w:r>
      <w:r>
        <w:rPr>
          <w:rFonts w:ascii="Arial" w:cs="Arial" w:eastAsia="Arial" w:hAnsi="Arial"/>
          <w:sz w:val="16"/>
          <w:szCs w:val="16"/>
          <w:color w:val="auto"/>
        </w:rPr>
        <w:t>” shall be one hundred twenty-two million five hundred thousand dollars ($122,500,000).</w:t>
      </w:r>
    </w:p>
    <w:p>
      <w:pPr>
        <w:spacing w:after="0" w:line="248"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4.2. Funding the Escrow Account. </w:t>
      </w:r>
      <w:r>
        <w:rPr>
          <w:rFonts w:ascii="Arial" w:cs="Arial" w:eastAsia="Arial" w:hAnsi="Arial"/>
          <w:sz w:val="16"/>
          <w:szCs w:val="16"/>
          <w:color w:val="auto"/>
        </w:rPr>
        <w:t>Subject to the conditions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4.4</w:t>
      </w:r>
      <w:r>
        <w:rPr>
          <w:rFonts w:ascii="Arial" w:cs="Arial" w:eastAsia="Arial" w:hAnsi="Arial"/>
          <w:sz w:val="16"/>
          <w:szCs w:val="16"/>
          <w:b w:val="1"/>
          <w:bCs w:val="1"/>
          <w:color w:val="auto"/>
        </w:rPr>
        <w:t xml:space="preserve"> </w:t>
      </w:r>
      <w:r>
        <w:rPr>
          <w:rFonts w:ascii="Arial" w:cs="Arial" w:eastAsia="Arial" w:hAnsi="Arial"/>
          <w:sz w:val="16"/>
          <w:szCs w:val="16"/>
          <w:color w:val="auto"/>
        </w:rPr>
        <w:t>below, on the Escrow Funding Date, Sterigenics</w:t>
      </w:r>
      <w:r>
        <w:rPr>
          <w:rFonts w:ascii="Arial" w:cs="Arial" w:eastAsia="Arial" w:hAnsi="Arial"/>
          <w:sz w:val="16"/>
          <w:szCs w:val="16"/>
          <w:b w:val="1"/>
          <w:bCs w:val="1"/>
          <w:color w:val="auto"/>
        </w:rPr>
        <w:t xml:space="preserve"> </w:t>
      </w:r>
      <w:r>
        <w:rPr>
          <w:rFonts w:ascii="Arial" w:cs="Arial" w:eastAsia="Arial" w:hAnsi="Arial"/>
          <w:sz w:val="16"/>
          <w:szCs w:val="16"/>
          <w:color w:val="auto"/>
        </w:rPr>
        <w:t>US shall pay or cause to be paid the Settlement Funds by wire transfer of immediately available funds (in United States dollars) to such account at</w:t>
      </w:r>
    </w:p>
    <w:p>
      <w:pPr>
        <w:spacing w:after="0" w:line="1"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such financial institution as the Escrow Agent shall have given written notice to Sterigenics US not fewer than three Business Days prior to the Escrow Funding Date, which funds shall be held by the Escrow Agent in a segregated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xml:space="preserve">”) and distributed in accordance with the Escrow Agreement and the applicable provisions of this Agreement, including (without limitation) </w:t>
      </w:r>
      <w:r>
        <w:rPr>
          <w:rFonts w:ascii="Arial" w:cs="Arial" w:eastAsia="Arial" w:hAnsi="Arial"/>
          <w:sz w:val="16"/>
          <w:szCs w:val="16"/>
          <w:u w:val="single" w:color="auto"/>
          <w:color w:val="auto"/>
        </w:rPr>
        <w:t>Sections 4.4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w:t>
      </w:r>
      <w:r>
        <w:rPr>
          <w:rFonts w:ascii="Arial" w:cs="Arial" w:eastAsia="Arial" w:hAnsi="Arial"/>
          <w:sz w:val="16"/>
          <w:szCs w:val="16"/>
          <w:color w:val="auto"/>
        </w:rPr>
        <w:t>. The Escrow</w:t>
      </w:r>
    </w:p>
    <w:p>
      <w:pPr>
        <w:spacing w:after="0" w:line="2"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Account will be treated as owned by Sterigenics US for U.S. federal income tax purposes and shall be held at the same financial institution as the escrow account referenced in the Group Settlement Agreement.</w:t>
      </w:r>
    </w:p>
    <w:p>
      <w:pPr>
        <w:spacing w:after="0" w:line="198"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4.3. Guarantor. </w:t>
      </w:r>
      <w:r>
        <w:rPr>
          <w:rFonts w:ascii="Arial" w:cs="Arial" w:eastAsia="Arial" w:hAnsi="Arial"/>
          <w:sz w:val="16"/>
          <w:szCs w:val="16"/>
          <w:color w:val="auto"/>
        </w:rPr>
        <w:t>Sotera Health Company, a Delaware corporation, agrees to be guarantor of Sterigenics US’s obligation to comply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4.2</w:t>
      </w:r>
      <w:r>
        <w:rPr>
          <w:rFonts w:ascii="Arial" w:cs="Arial" w:eastAsia="Arial" w:hAnsi="Arial"/>
          <w:sz w:val="16"/>
          <w:szCs w:val="16"/>
          <w:color w:val="auto"/>
        </w:rPr>
        <w:t>. Sotera Health Company’s agreement to serve as guarantor of Sterigenics US’s obligation to pay the Settlement Funds to the Escrow</w:t>
      </w:r>
    </w:p>
    <w:p>
      <w:pPr>
        <w:spacing w:after="0" w:line="1"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Account does not constitute an admission of liability or responsibility as a parent company or otherwise for the actions of Sterigenics US or any other subsidiary with respect to any of the Claims or any other claim.</w:t>
      </w:r>
    </w:p>
    <w:p>
      <w:pPr>
        <w:spacing w:after="0" w:line="198" w:lineRule="exact"/>
        <w:rPr>
          <w:sz w:val="20"/>
          <w:szCs w:val="20"/>
          <w:color w:val="auto"/>
        </w:rPr>
      </w:pPr>
    </w:p>
    <w:p>
      <w:pPr>
        <w:jc w:val="both"/>
        <w:ind w:left="4" w:firstLine="648"/>
        <w:spacing w:after="0" w:line="237" w:lineRule="auto"/>
        <w:rPr>
          <w:sz w:val="20"/>
          <w:szCs w:val="20"/>
          <w:color w:val="auto"/>
        </w:rPr>
      </w:pPr>
      <w:r>
        <w:rPr>
          <w:rFonts w:ascii="Arial" w:cs="Arial" w:eastAsia="Arial" w:hAnsi="Arial"/>
          <w:sz w:val="18"/>
          <w:szCs w:val="18"/>
          <w:b w:val="1"/>
          <w:bCs w:val="1"/>
          <w:color w:val="auto"/>
        </w:rPr>
        <w:t xml:space="preserve">4.4. Funding Conditions. </w:t>
      </w:r>
      <w:r>
        <w:rPr>
          <w:rFonts w:ascii="Arial" w:cs="Arial" w:eastAsia="Arial" w:hAnsi="Arial"/>
          <w:sz w:val="18"/>
          <w:szCs w:val="18"/>
          <w:color w:val="auto"/>
        </w:rPr>
        <w:t>Sterigenics US shall be required to fund the Escrow Account on the Escrow Funding Date only if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(the “</w:t>
      </w:r>
      <w:r>
        <w:rPr>
          <w:rFonts w:ascii="Arial" w:cs="Arial" w:eastAsia="Arial" w:hAnsi="Arial"/>
          <w:sz w:val="18"/>
          <w:szCs w:val="18"/>
          <w:u w:val="single" w:color="auto"/>
          <w:color w:val="auto"/>
        </w:rPr>
        <w:t>Funding Conditions</w:t>
      </w:r>
      <w:r>
        <w:rPr>
          <w:rFonts w:ascii="Arial" w:cs="Arial" w:eastAsia="Arial" w:hAnsi="Arial"/>
          <w:sz w:val="18"/>
          <w:szCs w:val="18"/>
          <w:color w:val="auto"/>
        </w:rPr>
        <w:t>”) have been satisfied:</w:t>
      </w:r>
    </w:p>
    <w:p>
      <w:pPr>
        <w:spacing w:after="0" w:line="203" w:lineRule="exact"/>
        <w:rPr>
          <w:sz w:val="20"/>
          <w:szCs w:val="20"/>
          <w:color w:val="auto"/>
        </w:rPr>
      </w:pPr>
    </w:p>
    <w:p>
      <w:pPr>
        <w:ind w:left="1284" w:hanging="636"/>
        <w:spacing w:after="0"/>
        <w:tabs>
          <w:tab w:leader="none" w:pos="12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continued operation of a stay on the Pending Actions, consistent with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right="400" w:hanging="656"/>
        <w:spacing w:after="0" w:line="246" w:lineRule="auto"/>
        <w:tabs>
          <w:tab w:leader="none" w:pos="12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absence of any viable lawsuits, disputes, and/or claims, whether filed or unfiled, challenging this Agreement or the Group Settlement Agreement; and</w:t>
      </w:r>
    </w:p>
    <w:p>
      <w:pPr>
        <w:spacing w:after="0" w:line="196" w:lineRule="exact"/>
        <w:rPr>
          <w:rFonts w:ascii="Arial" w:cs="Arial" w:eastAsia="Arial" w:hAnsi="Arial"/>
          <w:sz w:val="18"/>
          <w:szCs w:val="18"/>
          <w:color w:val="auto"/>
        </w:rPr>
      </w:pPr>
    </w:p>
    <w:p>
      <w:pPr>
        <w:ind w:left="1304" w:right="40" w:hanging="656"/>
        <w:spacing w:after="0" w:line="235" w:lineRule="auto"/>
        <w:tabs>
          <w:tab w:leader="none" w:pos="13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by Plaintiffs’ Counsel with all material duties and obligations set forth in this Agreement, and otherwise in connection with settlement of the Claims.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dispute related to whether the Funding Conditions are satisfied shall be resolved by the Mediator, whose resolution of the dispute shall be final.</w:t>
      </w:r>
    </w:p>
    <w:p>
      <w:pPr>
        <w:spacing w:after="0" w:line="244" w:lineRule="exact"/>
        <w:rPr>
          <w:sz w:val="20"/>
          <w:szCs w:val="20"/>
          <w:color w:val="auto"/>
        </w:rPr>
      </w:pPr>
    </w:p>
    <w:p>
      <w:pPr>
        <w:ind w:left="4" w:firstLine="648"/>
        <w:spacing w:after="0" w:line="294" w:lineRule="auto"/>
        <w:rPr>
          <w:sz w:val="20"/>
          <w:szCs w:val="20"/>
          <w:color w:val="auto"/>
        </w:rPr>
      </w:pPr>
      <w:r>
        <w:rPr>
          <w:rFonts w:ascii="Arial" w:cs="Arial" w:eastAsia="Arial" w:hAnsi="Arial"/>
          <w:sz w:val="16"/>
          <w:szCs w:val="16"/>
          <w:b w:val="1"/>
          <w:bCs w:val="1"/>
          <w:color w:val="auto"/>
        </w:rPr>
        <w:t xml:space="preserve">4.5. Settlement Administration Expenses. </w:t>
      </w:r>
      <w:r>
        <w:rPr>
          <w:rFonts w:ascii="Arial" w:cs="Arial" w:eastAsia="Arial" w:hAnsi="Arial"/>
          <w:sz w:val="16"/>
          <w:szCs w:val="16"/>
          <w:color w:val="auto"/>
        </w:rPr>
        <w:t>The Released Parties shall not have to pay for any, or have any liability, obligation,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with respect to, Settlement Administration Expenses, which shall be borne by Plaintiffs’ Counsel and Settling Claimants completely.</w:t>
      </w:r>
    </w:p>
    <w:p>
      <w:pPr>
        <w:spacing w:after="0" w:line="157" w:lineRule="exact"/>
        <w:rPr>
          <w:sz w:val="20"/>
          <w:szCs w:val="20"/>
          <w:color w:val="auto"/>
        </w:rPr>
      </w:pPr>
    </w:p>
    <w:p>
      <w:pPr>
        <w:ind w:left="4" w:firstLine="648"/>
        <w:spacing w:after="0" w:line="250" w:lineRule="auto"/>
        <w:rPr>
          <w:sz w:val="20"/>
          <w:szCs w:val="20"/>
          <w:color w:val="auto"/>
        </w:rPr>
      </w:pPr>
      <w:r>
        <w:rPr>
          <w:rFonts w:ascii="Arial" w:cs="Arial" w:eastAsia="Arial" w:hAnsi="Arial"/>
          <w:sz w:val="18"/>
          <w:szCs w:val="18"/>
          <w:b w:val="1"/>
          <w:bCs w:val="1"/>
          <w:color w:val="auto"/>
        </w:rPr>
        <w:t xml:space="preserve">4.6. Return of Funds. </w:t>
      </w:r>
      <w:r>
        <w:rPr>
          <w:rFonts w:ascii="Arial" w:cs="Arial" w:eastAsia="Arial" w:hAnsi="Arial"/>
          <w:sz w:val="18"/>
          <w:szCs w:val="18"/>
          <w:color w:val="auto"/>
        </w:rPr>
        <w:t>In the event (i) the Parties fail to obtain,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 a Good Faith Settlement Determination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Action or (ii) the Settling Defendants exercise the Walk Away Right at</w:t>
      </w:r>
    </w:p>
    <w:p>
      <w:pPr>
        <w:sectPr>
          <w:pgSz w:w="11900" w:h="16838" w:orient="portrait"/>
          <w:cols w:equalWidth="0" w:num="1">
            <w:col w:w="10724"/>
          </w:cols>
          <w:pgMar w:left="436"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0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24"/>
          </w:cols>
          <w:pgMar w:left="436" w:top="1440" w:right="739" w:bottom="1440" w:gutter="0" w:footer="0" w:header="0"/>
          <w:type w:val="continuous"/>
        </w:sectPr>
      </w:pPr>
    </w:p>
    <w:bookmarkStart w:id="53" w:name="page54"/>
    <w:bookmarkEnd w:id="53"/>
    <w:p>
      <w:pPr>
        <w:ind w:left="4"/>
        <w:spacing w:after="0" w:line="246" w:lineRule="auto"/>
        <w:rPr>
          <w:sz w:val="20"/>
          <w:szCs w:val="20"/>
          <w:color w:val="auto"/>
        </w:rPr>
      </w:pPr>
      <w:r>
        <w:rPr>
          <w:rFonts w:ascii="Arial" w:cs="Arial" w:eastAsia="Arial" w:hAnsi="Arial"/>
          <w:sz w:val="18"/>
          <w:szCs w:val="18"/>
          <w:color w:val="auto"/>
        </w:rPr>
        <w:t>any time between the Escrow Funding Date and the Settlement Funding Date, the Parties shall take all necessary steps to cause the Escrow Agent to return the</w:t>
      </w:r>
    </w:p>
    <w:p>
      <w:pPr>
        <w:spacing w:after="0" w:line="251" w:lineRule="exact"/>
        <w:rPr>
          <w:sz w:val="20"/>
          <w:szCs w:val="20"/>
          <w:color w:val="auto"/>
        </w:rPr>
      </w:pPr>
    </w:p>
    <w:p>
      <w:pPr>
        <w:ind w:left="4"/>
        <w:spacing w:after="0" w:line="235" w:lineRule="auto"/>
        <w:rPr>
          <w:sz w:val="20"/>
          <w:szCs w:val="20"/>
          <w:color w:val="auto"/>
        </w:rPr>
      </w:pPr>
      <w:r>
        <w:rPr>
          <w:rFonts w:ascii="Arial" w:cs="Arial" w:eastAsia="Arial" w:hAnsi="Arial"/>
          <w:sz w:val="18"/>
          <w:szCs w:val="18"/>
          <w:color w:val="auto"/>
        </w:rPr>
        <w:t xml:space="preserve">Settlement Funds to Sterigenics US. Notwithstanding anything to the contrary in this Agreement, the obligations of the Parties set forth in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shall survive the termination of this Agreement until they have been satisfied.</w:t>
      </w:r>
    </w:p>
    <w:p>
      <w:pPr>
        <w:spacing w:after="0" w:line="198" w:lineRule="exact"/>
        <w:rPr>
          <w:sz w:val="20"/>
          <w:szCs w:val="20"/>
          <w:color w:val="auto"/>
        </w:rPr>
      </w:pPr>
    </w:p>
    <w:p>
      <w:pPr>
        <w:ind w:left="644" w:hanging="644"/>
        <w:spacing w:after="0"/>
        <w:tabs>
          <w:tab w:leader="none" w:pos="64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QUALIFIED SETTLEMENT FUND</w:t>
      </w:r>
    </w:p>
    <w:p>
      <w:pPr>
        <w:spacing w:after="0" w:line="225"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Deadline to Fund QSF. </w:t>
      </w:r>
      <w:r>
        <w:rPr>
          <w:rFonts w:ascii="Arial" w:cs="Arial" w:eastAsia="Arial" w:hAnsi="Arial"/>
          <w:sz w:val="16"/>
          <w:szCs w:val="16"/>
          <w:color w:val="auto"/>
        </w:rPr>
        <w:t>Within one Business Day of the Group Settlement Funding Date, the Settling Defendants will instruct the</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Escrow Agent to release the Settlement Funds, less any expenses associated with establishing or maintaining the Escrow Account, into an interest-bearing account (the “</w:t>
      </w:r>
      <w:r>
        <w:rPr>
          <w:rFonts w:ascii="Arial" w:cs="Arial" w:eastAsia="Arial" w:hAnsi="Arial"/>
          <w:sz w:val="16"/>
          <w:szCs w:val="16"/>
          <w:u w:val="single" w:color="auto"/>
          <w:color w:val="auto"/>
        </w:rPr>
        <w:t>Account</w:t>
      </w:r>
      <w:r>
        <w:rPr>
          <w:rFonts w:ascii="Arial" w:cs="Arial" w:eastAsia="Arial" w:hAnsi="Arial"/>
          <w:sz w:val="16"/>
          <w:szCs w:val="16"/>
          <w:color w:val="auto"/>
        </w:rPr>
        <w:t>”) created by order of the Circuit Court of Cook County, Illinois (and subject to that court’s continuing jurisdiction) intended to constitute a “qualified settlement fund” (the “</w:t>
      </w:r>
      <w:r>
        <w:rPr>
          <w:rFonts w:ascii="Arial" w:cs="Arial" w:eastAsia="Arial" w:hAnsi="Arial"/>
          <w:sz w:val="16"/>
          <w:szCs w:val="16"/>
          <w:u w:val="single" w:color="auto"/>
          <w:color w:val="auto"/>
        </w:rPr>
        <w:t>Qualified Settlement Fund</w:t>
      </w:r>
      <w:r>
        <w:rPr>
          <w:rFonts w:ascii="Arial" w:cs="Arial" w:eastAsia="Arial" w:hAnsi="Arial"/>
          <w:sz w:val="16"/>
          <w:szCs w:val="16"/>
          <w:color w:val="auto"/>
        </w:rPr>
        <w:t>” or “</w:t>
      </w:r>
      <w:r>
        <w:rPr>
          <w:rFonts w:ascii="Arial" w:cs="Arial" w:eastAsia="Arial" w:hAnsi="Arial"/>
          <w:sz w:val="16"/>
          <w:szCs w:val="16"/>
          <w:u w:val="single" w:color="auto"/>
          <w:color w:val="auto"/>
        </w:rPr>
        <w:t>QSF</w:t>
      </w:r>
      <w:r>
        <w:rPr>
          <w:rFonts w:ascii="Arial" w:cs="Arial" w:eastAsia="Arial" w:hAnsi="Arial"/>
          <w:sz w:val="16"/>
          <w:szCs w:val="16"/>
          <w:color w:val="auto"/>
        </w:rPr>
        <w:t>”) within the meaning of Section 1.468B-1 of the</w:t>
      </w:r>
    </w:p>
    <w:p>
      <w:pPr>
        <w:spacing w:after="0" w:line="2"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Treasury Regulations promulgated under the Code (such date the Escrow Agent releases the Settlement Funds into the Account, the “</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Funding Date</w:t>
      </w:r>
      <w:r>
        <w:rPr>
          <w:rFonts w:ascii="Arial" w:cs="Arial" w:eastAsia="Arial" w:hAnsi="Arial"/>
          <w:sz w:val="18"/>
          <w:szCs w:val="18"/>
          <w:color w:val="auto"/>
        </w:rPr>
        <w:t>”).</w:t>
      </w:r>
    </w:p>
    <w:p>
      <w:pPr>
        <w:spacing w:after="0" w:line="198"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Tax Matters and Expenses.</w:t>
      </w:r>
    </w:p>
    <w:p>
      <w:pPr>
        <w:spacing w:after="0" w:line="229" w:lineRule="exact"/>
        <w:rPr>
          <w:sz w:val="20"/>
          <w:szCs w:val="20"/>
          <w:color w:val="auto"/>
        </w:rPr>
      </w:pPr>
    </w:p>
    <w:p>
      <w:pPr>
        <w:jc w:val="both"/>
        <w:ind w:left="1304" w:hanging="657"/>
        <w:spacing w:after="0"/>
        <w:tabs>
          <w:tab w:leader="none" w:pos="13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fullest extent allowable under applicable law, the Qualified Settlement Fund shall be treated as being at all times a “qualified settlement fund” within the meaning of Section 1.468B-1 of the Treasury Regulations. Sterigenics US shall be treated as the “transferor” to the Qualified Settlement Fund within the meaning of Section 1.468B-1(d)(1) of the Treasury Regulations with respect to the Settlement Funds or any other amount transferred to the Qualified Settlement Fund pursuant to this Agreement. The QSF Administrator shall cause the filing of all tax returns required to be filed by or with respect to the Qualified Settlement Fund, paying from the Qualified Settlement Fund any taxes owed by or with respect to the Qualified Settlement Fund, and complying with any applicable information reporting or tax withholding requirements imposed by Section 1.468B-2 of the Treasury Regulations or any other applicable law with respect to the Qualified Settlement Fund or payments or distributions made from it. Sterigenics US and Plaintiffs’ Counsel shall reasonably cooperate in providing any statements or making any elections or filings necessary or required by applicable law for satisfying the requirements for qualification as a Qualified Settlement Fund, including any relation-back election within the meaning of Section 1.468B-1(j) of the Treasury Regulations.</w:t>
      </w:r>
    </w:p>
    <w:p>
      <w:pPr>
        <w:spacing w:after="0" w:line="203" w:lineRule="exact"/>
        <w:rPr>
          <w:rFonts w:ascii="Arial" w:cs="Arial" w:eastAsia="Arial" w:hAnsi="Arial"/>
          <w:sz w:val="16"/>
          <w:szCs w:val="16"/>
          <w:color w:val="auto"/>
        </w:rPr>
      </w:pPr>
    </w:p>
    <w:p>
      <w:pPr>
        <w:jc w:val="both"/>
        <w:ind w:left="1304" w:hanging="656"/>
        <w:spacing w:after="0"/>
        <w:tabs>
          <w:tab w:leader="none" w:pos="12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interest earned by the Account shall be for the benefit of the Settling Claimants as if it were an addition to the Settlement Funds. For the avoidance of doubt, all (i) federal, state, or local taxes (including any estimated taxes, interest or penalties, or tax detriments) arising with respect to the income earned on or by the Qualified Settlement Fund, including any taxes, interest penalties, or tax detriments, that may be imposed upon Sterigenics US with respect to any income earned on or by the Qualified Settlement Fund for any period during which the Qualified Settlement Fund (or any portion thereof) does not qualify as a “qualified settlement fund” for federal or state income tax purposes (hereafter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and (ii) expenses and costs incurred, including, but not limited to, any ethics experts, advisors, and/or consultants used in connection with the administration or tax matters for the Qualified Settlement Fund and the operation and implementation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(including expenses of tax attorneys or accountants and mailing and distribution costs and expenses relating to filing (or failing to file) the returns described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(hereinafter referred to as “</w:t>
      </w:r>
      <w:r>
        <w:rPr>
          <w:rFonts w:ascii="Arial" w:cs="Arial" w:eastAsia="Arial" w:hAnsi="Arial"/>
          <w:sz w:val="16"/>
          <w:szCs w:val="16"/>
          <w:u w:val="single" w:color="auto"/>
          <w:color w:val="auto"/>
        </w:rPr>
        <w:t>Tax Expenses</w:t>
      </w:r>
      <w:r>
        <w:rPr>
          <w:rFonts w:ascii="Arial" w:cs="Arial" w:eastAsia="Arial" w:hAnsi="Arial"/>
          <w:sz w:val="16"/>
          <w:szCs w:val="16"/>
          <w:color w:val="auto"/>
        </w:rPr>
        <w:t xml:space="preserve">”), shall be considered Settlement Administration Expenses. The QSF Administrator shall notify Plaintiffs’ Counsel in writing of the fact and amount of any such payment of Taxes or Tax Expenses out of the Qualified Settlement Fund (and any withholding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w:t>
      </w:r>
    </w:p>
    <w:p>
      <w:pPr>
        <w:spacing w:after="0" w:line="205"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5.3. Plaintiffs’ Counsel Responsibilities. </w:t>
      </w:r>
      <w:r>
        <w:rPr>
          <w:rFonts w:ascii="Arial" w:cs="Arial" w:eastAsia="Arial" w:hAnsi="Arial"/>
          <w:sz w:val="16"/>
          <w:szCs w:val="16"/>
          <w:color w:val="auto"/>
        </w:rPr>
        <w:t>Plaintiffs’ Counsel shall take all required steps to establish the QSF with the same institution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used to hold the QSF established for the Group Settlement Agreement and to define the powers and responsibilities of the QSF Administrator.</w:t>
      </w:r>
    </w:p>
    <w:p>
      <w:pPr>
        <w:spacing w:after="0" w:line="1" w:lineRule="exact"/>
        <w:rPr>
          <w:sz w:val="20"/>
          <w:szCs w:val="20"/>
          <w:color w:val="auto"/>
        </w:rPr>
      </w:pPr>
    </w:p>
    <w:p>
      <w:pPr>
        <w:jc w:val="both"/>
        <w:ind w:left="4"/>
        <w:spacing w:after="0" w:line="218" w:lineRule="auto"/>
        <w:rPr>
          <w:sz w:val="20"/>
          <w:szCs w:val="20"/>
          <w:color w:val="auto"/>
        </w:rPr>
      </w:pPr>
      <w:r>
        <w:rPr>
          <w:rFonts w:ascii="Arial" w:cs="Arial" w:eastAsia="Arial" w:hAnsi="Arial"/>
          <w:sz w:val="18"/>
          <w:szCs w:val="18"/>
          <w:color w:val="auto"/>
        </w:rPr>
        <w:t>Plaintiffs’ Counsel shall provide all necessary identifying information to the Settling Defendants and the Escrow Agent regarding the QSF prior to the Escrow Agent’s deposit of the Settlement Funds. For the avoidance of doubt, the expenses incurred in connection with designation of the QSF shall be considered Settlement Administration Expenses.</w:t>
      </w:r>
    </w:p>
    <w:p>
      <w:pPr>
        <w:spacing w:after="0" w:line="199"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 xml:space="preserve">QSF Administrator. </w:t>
      </w:r>
      <w:r>
        <w:rPr>
          <w:rFonts w:ascii="Arial" w:cs="Arial" w:eastAsia="Arial" w:hAnsi="Arial"/>
          <w:sz w:val="16"/>
          <w:szCs w:val="16"/>
          <w:color w:val="auto"/>
        </w:rPr>
        <w:t>The Qualified Settlement Fund shall be overseen by a QSF Administrator. The QSF Administrator shall be</w:t>
      </w:r>
    </w:p>
    <w:p>
      <w:pPr>
        <w:spacing w:after="0" w:line="2"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selected by Plaintiffs’ Counsel. The QSF Administrator shall be approved by the Circuit Court of Cook County, Illinois, and shall be the “Administrator” of the QSF within the meaning of Section 1.468B-2(k)(3) of the Treasury Regulations. Additionally:</w:t>
      </w:r>
    </w:p>
    <w:p>
      <w:pPr>
        <w:spacing w:after="0" w:line="202" w:lineRule="exact"/>
        <w:rPr>
          <w:sz w:val="20"/>
          <w:szCs w:val="20"/>
          <w:color w:val="auto"/>
        </w:rPr>
      </w:pPr>
    </w:p>
    <w:p>
      <w:pPr>
        <w:ind w:left="1304" w:hanging="656"/>
        <w:spacing w:after="0" w:line="235" w:lineRule="auto"/>
        <w:tabs>
          <w:tab w:leader="none" w:pos="13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QSF Administrator resigns or otherwise cannot perform its duties and responsibilities under the Agreement, a replacement will be selected by Plaintiffs’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83"/>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24"/>
          </w:cols>
          <w:pgMar w:left="436" w:top="1327" w:right="739" w:bottom="1440" w:gutter="0" w:footer="0" w:header="0"/>
        </w:sectPr>
      </w:pPr>
    </w:p>
    <w:bookmarkStart w:id="54" w:name="page55"/>
    <w:bookmarkEnd w:id="54"/>
    <w:p>
      <w:pPr>
        <w:spacing w:after="0" w:line="144" w:lineRule="exact"/>
        <w:rPr>
          <w:sz w:val="20"/>
          <w:szCs w:val="20"/>
          <w:color w:val="auto"/>
        </w:rPr>
      </w:pPr>
    </w:p>
    <w:p>
      <w:pPr>
        <w:jc w:val="both"/>
        <w:ind w:left="1304" w:hanging="656"/>
        <w:spacing w:after="0" w:line="229" w:lineRule="auto"/>
        <w:tabs>
          <w:tab w:leader="none" w:pos="12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QSF Administrator shall be compensated for its reasonable and necessary time charges incurred in the performance of the position at a reasonable rate for the services to be performed, which, for the avoidance of doubt, shall be considered Settlement Administration Expenses.</w:t>
      </w:r>
    </w:p>
    <w:p>
      <w:pPr>
        <w:spacing w:after="0" w:line="204" w:lineRule="exact"/>
        <w:rPr>
          <w:rFonts w:ascii="Arial" w:cs="Arial" w:eastAsia="Arial" w:hAnsi="Arial"/>
          <w:sz w:val="18"/>
          <w:szCs w:val="18"/>
          <w:color w:val="auto"/>
        </w:rPr>
      </w:pPr>
    </w:p>
    <w:p>
      <w:pPr>
        <w:jc w:val="both"/>
        <w:ind w:left="1304" w:hanging="657"/>
        <w:spacing w:after="0" w:line="232" w:lineRule="auto"/>
        <w:tabs>
          <w:tab w:leader="none" w:pos="1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QSF Administrator will have the sole and entire responsibility for making disbursements from the Qualified Settlement Fund of amounts to the Settling Claimants. Promptly following the Settlement Funding Date, and conditioned on the execution of the Release by the Settling Claimants, the QSF Administrator will release the amounts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relevant Plaintiffs’ Counsel, in trust for their respective Settling Claimant, subject to (a) any applicable lien holdbacks or payment obligations, and (b) the payment of any court-ordered common cost assessments.</w:t>
      </w:r>
    </w:p>
    <w:p>
      <w:pPr>
        <w:spacing w:after="0" w:line="199" w:lineRule="exact"/>
        <w:rPr>
          <w:sz w:val="20"/>
          <w:szCs w:val="20"/>
          <w:color w:val="auto"/>
        </w:rPr>
      </w:pPr>
    </w:p>
    <w:p>
      <w:pPr>
        <w:ind w:left="4" w:firstLine="648"/>
        <w:spacing w:after="0" w:line="236" w:lineRule="auto"/>
        <w:rPr>
          <w:sz w:val="20"/>
          <w:szCs w:val="20"/>
          <w:color w:val="auto"/>
        </w:rPr>
      </w:pPr>
      <w:r>
        <w:rPr>
          <w:rFonts w:ascii="Arial" w:cs="Arial" w:eastAsia="Arial" w:hAnsi="Arial"/>
          <w:sz w:val="17"/>
          <w:szCs w:val="17"/>
          <w:b w:val="1"/>
          <w:bCs w:val="1"/>
          <w:color w:val="auto"/>
        </w:rPr>
        <w:t xml:space="preserve">5.5. Sterigenics US’s Responsibilities. </w:t>
      </w:r>
      <w:r>
        <w:rPr>
          <w:rFonts w:ascii="Arial" w:cs="Arial" w:eastAsia="Arial" w:hAnsi="Arial"/>
          <w:sz w:val="17"/>
          <w:szCs w:val="17"/>
          <w:color w:val="auto"/>
        </w:rPr>
        <w:t>Neither Sterigenics US nor any Released Party shall have any liability, obligation,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with respect to (i) the investment, disbursement, or other administration or oversight of the QSF, (ii) any liability, obligation, or</w:t>
      </w:r>
    </w:p>
    <w:p>
      <w:pPr>
        <w:ind w:left="4"/>
        <w:spacing w:after="0" w:line="226" w:lineRule="auto"/>
        <w:rPr>
          <w:sz w:val="20"/>
          <w:szCs w:val="20"/>
          <w:color w:val="auto"/>
        </w:rPr>
      </w:pPr>
      <w:r>
        <w:rPr>
          <w:rFonts w:ascii="Arial" w:cs="Arial" w:eastAsia="Arial" w:hAnsi="Arial"/>
          <w:sz w:val="18"/>
          <w:szCs w:val="18"/>
          <w:color w:val="auto"/>
        </w:rPr>
        <w:t>responsibility of the QSF Administrator pursuant to this Agreement, or (iii) any dispute between or among any Settling Claimants and their respective counsel with respect to any costs, expenses, legal fees, or litigation costs to be deducted from the QSF.</w:t>
      </w:r>
    </w:p>
    <w:p>
      <w:pPr>
        <w:spacing w:after="0" w:line="252"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 xml:space="preserve">No Role for Settling Defendants in Allocation of Settlement Funds. </w:t>
      </w:r>
      <w:r>
        <w:rPr>
          <w:rFonts w:ascii="Arial" w:cs="Arial" w:eastAsia="Arial" w:hAnsi="Arial"/>
          <w:sz w:val="16"/>
          <w:szCs w:val="16"/>
          <w:color w:val="auto"/>
        </w:rPr>
        <w:t>Settling Defendants and their counsel have played no role in,</w:t>
      </w:r>
    </w:p>
    <w:p>
      <w:pPr>
        <w:spacing w:after="0" w:line="2"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will play no role in, and will neither take nor bear any responsibility for the allocation of settlement funds among the Settling Claimants and their respective counsel.</w:t>
      </w:r>
    </w:p>
    <w:p>
      <w:pPr>
        <w:spacing w:after="0" w:line="198" w:lineRule="exact"/>
        <w:rPr>
          <w:sz w:val="20"/>
          <w:szCs w:val="20"/>
          <w:color w:val="auto"/>
        </w:rPr>
      </w:pPr>
    </w:p>
    <w:p>
      <w:pPr>
        <w:ind w:left="644" w:hanging="644"/>
        <w:spacing w:after="0"/>
        <w:tabs>
          <w:tab w:leader="none" w:pos="64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PENDING LITIGATION</w:t>
      </w:r>
    </w:p>
    <w:p>
      <w:pPr>
        <w:spacing w:after="0" w:line="225" w:lineRule="exact"/>
        <w:rPr>
          <w:sz w:val="20"/>
          <w:szCs w:val="20"/>
          <w:color w:val="auto"/>
        </w:rPr>
      </w:pPr>
    </w:p>
    <w:p>
      <w:pPr>
        <w:jc w:val="both"/>
        <w:ind w:left="4" w:firstLine="648"/>
        <w:spacing w:after="0" w:line="236" w:lineRule="auto"/>
        <w:rPr>
          <w:sz w:val="20"/>
          <w:szCs w:val="20"/>
          <w:color w:val="auto"/>
        </w:rPr>
      </w:pPr>
      <w:r>
        <w:rPr>
          <w:rFonts w:ascii="Arial" w:cs="Arial" w:eastAsia="Arial" w:hAnsi="Arial"/>
          <w:sz w:val="17"/>
          <w:szCs w:val="17"/>
          <w:b w:val="1"/>
          <w:bCs w:val="1"/>
          <w:color w:val="auto"/>
        </w:rPr>
        <w:t xml:space="preserve">6.1. Continuance of Stays. </w:t>
      </w:r>
      <w:r>
        <w:rPr>
          <w:rFonts w:ascii="Arial" w:cs="Arial" w:eastAsia="Arial" w:hAnsi="Arial"/>
          <w:sz w:val="17"/>
          <w:szCs w:val="17"/>
          <w:color w:val="auto"/>
        </w:rPr>
        <w:t>The relevant Parties shall stipulate to continue the stays of the Pending Actions until the earlier of (i)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dismissal of all Pending Actions,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(ii) the termination of this Agreement, including (without limitation) if the Settling</w:t>
      </w:r>
    </w:p>
    <w:p>
      <w:pPr>
        <w:ind w:left="4"/>
        <w:spacing w:after="0"/>
        <w:rPr>
          <w:sz w:val="20"/>
          <w:szCs w:val="20"/>
          <w:color w:val="auto"/>
        </w:rPr>
      </w:pPr>
      <w:r>
        <w:rPr>
          <w:rFonts w:ascii="Arial" w:cs="Arial" w:eastAsia="Arial" w:hAnsi="Arial"/>
          <w:sz w:val="18"/>
          <w:szCs w:val="18"/>
          <w:color w:val="auto"/>
        </w:rPr>
        <w:t>Defendants exercise the Walk Away Right.</w:t>
      </w:r>
    </w:p>
    <w:p>
      <w:pPr>
        <w:spacing w:after="0" w:line="205" w:lineRule="exact"/>
        <w:rPr>
          <w:sz w:val="20"/>
          <w:szCs w:val="20"/>
          <w:color w:val="auto"/>
        </w:rPr>
      </w:pPr>
    </w:p>
    <w:p>
      <w:pPr>
        <w:jc w:val="both"/>
        <w:ind w:left="4" w:firstLine="648"/>
        <w:spacing w:after="0" w:line="243" w:lineRule="auto"/>
        <w:rPr>
          <w:sz w:val="20"/>
          <w:szCs w:val="20"/>
          <w:color w:val="auto"/>
        </w:rPr>
      </w:pPr>
      <w:r>
        <w:rPr>
          <w:rFonts w:ascii="Arial" w:cs="Arial" w:eastAsia="Arial" w:hAnsi="Arial"/>
          <w:sz w:val="16"/>
          <w:szCs w:val="16"/>
          <w:b w:val="1"/>
          <w:bCs w:val="1"/>
          <w:color w:val="auto"/>
        </w:rPr>
        <w:t xml:space="preserve">6.2. Good Faith Settlement Determination. </w:t>
      </w:r>
      <w:r>
        <w:rPr>
          <w:rFonts w:ascii="Arial" w:cs="Arial" w:eastAsia="Arial" w:hAnsi="Arial"/>
          <w:sz w:val="16"/>
          <w:szCs w:val="16"/>
          <w:color w:val="auto"/>
        </w:rPr>
        <w:t>The Parties will use their best efforts to obtain a Good Faith Settlement Determination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Settling Claimant. If the court does not enter a Good Faith Settlement Determination, or if the Good Faith Settlement Determination is overturned on appeal, then (i) the Parties will return to mediation and use best efforts to resolve any issues and (ii) if the issues cannot be resolved,</w:t>
      </w:r>
    </w:p>
    <w:p>
      <w:pPr>
        <w:spacing w:after="0" w:line="1"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 xml:space="preserve">and if requested by the Settling Defendants, the Parties shall, consistent with </w:t>
      </w:r>
      <w:r>
        <w:rPr>
          <w:rFonts w:ascii="Arial" w:cs="Arial" w:eastAsia="Arial" w:hAnsi="Arial"/>
          <w:sz w:val="18"/>
          <w:szCs w:val="18"/>
          <w:u w:val="single" w:color="auto"/>
          <w:color w:val="auto"/>
        </w:rPr>
        <w:t>Section 4.6</w:t>
      </w:r>
      <w:r>
        <w:rPr>
          <w:rFonts w:ascii="Arial" w:cs="Arial" w:eastAsia="Arial" w:hAnsi="Arial"/>
          <w:sz w:val="18"/>
          <w:szCs w:val="18"/>
          <w:color w:val="auto"/>
        </w:rPr>
        <w:t>, take all necessary steps to cause the Escrow Agent to return the Settlement Funds to Sterigenics US.</w:t>
      </w:r>
    </w:p>
    <w:p>
      <w:pPr>
        <w:spacing w:after="0" w:line="198"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6.3. Dismissal. </w:t>
      </w:r>
      <w:r>
        <w:rPr>
          <w:rFonts w:ascii="Arial" w:cs="Arial" w:eastAsia="Arial" w:hAnsi="Arial"/>
          <w:sz w:val="16"/>
          <w:szCs w:val="16"/>
          <w:color w:val="auto"/>
        </w:rPr>
        <w:t>Within one Business Day of the Settlement Funding Date, Plaintiffs’ Counsel shall, on behalf of each Settling Claimant,</w:t>
      </w:r>
      <w:r>
        <w:rPr>
          <w:rFonts w:ascii="Arial" w:cs="Arial" w:eastAsia="Arial" w:hAnsi="Arial"/>
          <w:sz w:val="16"/>
          <w:szCs w:val="16"/>
          <w:b w:val="1"/>
          <w:bCs w:val="1"/>
          <w:color w:val="auto"/>
        </w:rPr>
        <w:t xml:space="preserve"> </w:t>
      </w:r>
      <w:r>
        <w:rPr>
          <w:rFonts w:ascii="Arial" w:cs="Arial" w:eastAsia="Arial" w:hAnsi="Arial"/>
          <w:sz w:val="16"/>
          <w:szCs w:val="16"/>
          <w:color w:val="auto"/>
        </w:rPr>
        <w:t>dismiss, with prejudice, the respective Actions on behalf of each Settling Claimant, and withdraw, terminate, or dismiss all citations issued to the</w:t>
      </w:r>
    </w:p>
    <w:p>
      <w:pPr>
        <w:spacing w:after="0" w:line="1"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 xml:space="preserve">Released Parties and all other entities in connection with the Kamuda Case. To effectuate the dismissals, the Settling Defendants shall countersign and file each Settling Claimant’s executed stipulation for dismissal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98"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16"/>
          <w:szCs w:val="16"/>
          <w:b w:val="1"/>
          <w:bCs w:val="1"/>
          <w:color w:val="auto"/>
        </w:rPr>
        <w:t xml:space="preserve">6.4. Kamuda Case Liens. </w:t>
      </w:r>
      <w:r>
        <w:rPr>
          <w:rFonts w:ascii="Arial" w:cs="Arial" w:eastAsia="Arial" w:hAnsi="Arial"/>
          <w:sz w:val="16"/>
          <w:szCs w:val="16"/>
          <w:color w:val="auto"/>
        </w:rPr>
        <w:t>Within one Business Day of the Settlement Funding Date, Plaintiffs’ Counsel will, on behalf of Susan</w:t>
      </w:r>
      <w:r>
        <w:rPr>
          <w:rFonts w:ascii="Arial" w:cs="Arial" w:eastAsia="Arial" w:hAnsi="Arial"/>
          <w:sz w:val="16"/>
          <w:szCs w:val="16"/>
          <w:b w:val="1"/>
          <w:bCs w:val="1"/>
          <w:color w:val="auto"/>
        </w:rPr>
        <w:t xml:space="preserve"> </w:t>
      </w:r>
      <w:r>
        <w:rPr>
          <w:rFonts w:ascii="Arial" w:cs="Arial" w:eastAsia="Arial" w:hAnsi="Arial"/>
          <w:sz w:val="16"/>
          <w:szCs w:val="16"/>
          <w:color w:val="auto"/>
        </w:rPr>
        <w:t>Kamuda, take any further steps necessary to terminate, remove, dissolve, or nullify the liens created by citations issued to Released Parties and other</w:t>
      </w:r>
    </w:p>
    <w:p>
      <w:pPr>
        <w:spacing w:after="0" w:line="1"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 xml:space="preserve">entities in connection with the Kamuda Case. Additionally, prior to the Escrow Funding Date, Plaintiffs’ Counsel shall seek and obtain an order from the Circuit Court of Cook County modifying the pending citations and/or citation liens such that the Settling Defendants will be able to discharge their obligations under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without violating the citations or citation liens; provided that, if the QSF is not funded pursuant to the</w:t>
      </w:r>
    </w:p>
    <w:p>
      <w:pPr>
        <w:spacing w:after="0" w:line="2"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 xml:space="preserve">terms of this Agreement, the Parties agree to take all actions necessary (including, without limitation, to reverse any action taken with respect to this </w:t>
      </w:r>
      <w:r>
        <w:rPr>
          <w:rFonts w:ascii="Arial" w:cs="Arial" w:eastAsia="Arial" w:hAnsi="Arial"/>
          <w:sz w:val="18"/>
          <w:szCs w:val="18"/>
          <w:u w:val="single" w:color="auto"/>
          <w:color w:val="auto"/>
        </w:rPr>
        <w:t>Section 6.4</w:t>
      </w:r>
      <w:r>
        <w:rPr>
          <w:rFonts w:ascii="Arial" w:cs="Arial" w:eastAsia="Arial" w:hAnsi="Arial"/>
          <w:sz w:val="18"/>
          <w:szCs w:val="18"/>
          <w:color w:val="auto"/>
        </w:rPr>
        <w:t>) to return the Parties to the status quo, as of the Effective Date, with respect to any citations and/or liens.</w:t>
      </w:r>
    </w:p>
    <w:p>
      <w:pPr>
        <w:spacing w:after="0" w:line="198" w:lineRule="exact"/>
        <w:rPr>
          <w:sz w:val="20"/>
          <w:szCs w:val="20"/>
          <w:color w:val="auto"/>
        </w:rPr>
      </w:pPr>
    </w:p>
    <w:p>
      <w:pPr>
        <w:jc w:val="both"/>
        <w:ind w:left="4" w:firstLine="648"/>
        <w:spacing w:after="0" w:line="237" w:lineRule="auto"/>
        <w:rPr>
          <w:sz w:val="20"/>
          <w:szCs w:val="20"/>
          <w:color w:val="auto"/>
        </w:rPr>
      </w:pPr>
      <w:r>
        <w:rPr>
          <w:rFonts w:ascii="Arial" w:cs="Arial" w:eastAsia="Arial" w:hAnsi="Arial"/>
          <w:sz w:val="18"/>
          <w:szCs w:val="18"/>
          <w:b w:val="1"/>
          <w:bCs w:val="1"/>
          <w:color w:val="auto"/>
        </w:rPr>
        <w:t xml:space="preserve">6.5. Other Required Court Approvals. </w:t>
      </w:r>
      <w:r>
        <w:rPr>
          <w:rFonts w:ascii="Arial" w:cs="Arial" w:eastAsia="Arial" w:hAnsi="Arial"/>
          <w:sz w:val="18"/>
          <w:szCs w:val="18"/>
          <w:color w:val="auto"/>
        </w:rPr>
        <w:t>Any additional court approval that may be required by applicable state law shall be obtained,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as follows:</w:t>
      </w:r>
    </w:p>
    <w:p>
      <w:pPr>
        <w:spacing w:after="0" w:line="203" w:lineRule="exact"/>
        <w:rPr>
          <w:sz w:val="20"/>
          <w:szCs w:val="20"/>
          <w:color w:val="auto"/>
        </w:rPr>
      </w:pPr>
    </w:p>
    <w:p>
      <w:pPr>
        <w:jc w:val="both"/>
        <w:ind w:left="1304" w:hanging="656"/>
        <w:spacing w:after="0" w:line="222" w:lineRule="auto"/>
        <w:tabs>
          <w:tab w:leader="none" w:pos="13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Plaintiffs’ Counsel for a Settling Claimant will seek court approval of the settlement of any Claim brought on behalf of a decedent or others authorized under applicable state law to advance survival or wrongful death claims. The relevant Plaintiffs’ Counsel will assume responsibility for all necessary filings relating to notice and approval of the settlement, including procedures for compliance with Circuit Cook of Cook County Rules 6.5 and 12.15. The Released Parties will not be responsible for the associated costs and expenses.</w:t>
      </w:r>
    </w:p>
    <w:p>
      <w:pPr>
        <w:spacing w:after="0" w:line="203" w:lineRule="exact"/>
        <w:rPr>
          <w:rFonts w:ascii="Arial" w:cs="Arial" w:eastAsia="Arial" w:hAnsi="Arial"/>
          <w:sz w:val="18"/>
          <w:szCs w:val="18"/>
          <w:color w:val="auto"/>
        </w:rPr>
      </w:pPr>
    </w:p>
    <w:p>
      <w:pPr>
        <w:jc w:val="both"/>
        <w:ind w:left="1304" w:hanging="656"/>
        <w:spacing w:after="0" w:line="224" w:lineRule="auto"/>
        <w:tabs>
          <w:tab w:leader="none" w:pos="12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Plaintiffs’ Counsel for a Settling Claimant will seek court approval of the settlement of any Claim brought on behalf of a minor or disabled Person. The relevant Plaintiffs’ Counsel will assume responsibility for all necessary probate and guardianship filings, all filings relating to court</w:t>
      </w:r>
    </w:p>
    <w:p>
      <w:pPr>
        <w:sectPr>
          <w:pgSz w:w="11900" w:h="16838" w:orient="portrait"/>
          <w:cols w:equalWidth="0" w:num="1">
            <w:col w:w="10724"/>
          </w:cols>
          <w:pgMar w:left="436"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0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724"/>
          </w:cols>
          <w:pgMar w:left="436" w:top="1440" w:right="7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color w:val="auto"/>
        </w:rPr>
        <w:t>approval of settlement, and all issues or rulings arising therefrom or related thereto, including procedures for compliance with</w:t>
      </w:r>
    </w:p>
    <w:p>
      <w:pPr>
        <w:jc w:val="both"/>
        <w:ind w:left="1304"/>
        <w:spacing w:after="0" w:line="226" w:lineRule="auto"/>
        <w:rPr>
          <w:sz w:val="20"/>
          <w:szCs w:val="20"/>
          <w:color w:val="auto"/>
        </w:rPr>
      </w:pPr>
      <w:r>
        <w:rPr>
          <w:rFonts w:ascii="Arial" w:cs="Arial" w:eastAsia="Arial" w:hAnsi="Arial"/>
          <w:sz w:val="18"/>
          <w:szCs w:val="18"/>
          <w:color w:val="auto"/>
        </w:rPr>
        <w:t>Circuit Cook of Cook County Rules 6.4 and 12.15. The Released Parties will not be responsible for the associated costs and expenses.</w:t>
      </w:r>
    </w:p>
    <w:p>
      <w:pPr>
        <w:spacing w:after="0" w:line="198" w:lineRule="exact"/>
        <w:rPr>
          <w:sz w:val="20"/>
          <w:szCs w:val="20"/>
          <w:color w:val="auto"/>
        </w:rPr>
      </w:pPr>
    </w:p>
    <w:p>
      <w:pPr>
        <w:ind w:left="644" w:hanging="644"/>
        <w:spacing w:after="0"/>
        <w:tabs>
          <w:tab w:leader="none" w:pos="64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SUBROGATION CLAIMS, LIENS, AND OTHER THIRD PARTY CLAIMS</w:t>
      </w:r>
    </w:p>
    <w:p>
      <w:pPr>
        <w:spacing w:after="0" w:line="225" w:lineRule="exact"/>
        <w:rPr>
          <w:sz w:val="20"/>
          <w:szCs w:val="20"/>
          <w:color w:val="auto"/>
        </w:rPr>
      </w:pPr>
    </w:p>
    <w:p>
      <w:pPr>
        <w:ind w:left="4" w:firstLine="648"/>
        <w:spacing w:after="0" w:line="250" w:lineRule="auto"/>
        <w:rPr>
          <w:sz w:val="20"/>
          <w:szCs w:val="20"/>
          <w:color w:val="auto"/>
        </w:rPr>
      </w:pPr>
      <w:r>
        <w:rPr>
          <w:rFonts w:ascii="Arial" w:cs="Arial" w:eastAsia="Arial" w:hAnsi="Arial"/>
          <w:sz w:val="16"/>
          <w:szCs w:val="16"/>
          <w:b w:val="1"/>
          <w:bCs w:val="1"/>
          <w:color w:val="auto"/>
        </w:rPr>
        <w:t xml:space="preserve">7.1. Statutory Interest of CMS. </w:t>
      </w:r>
      <w:r>
        <w:rPr>
          <w:rFonts w:ascii="Arial" w:cs="Arial" w:eastAsia="Arial" w:hAnsi="Arial"/>
          <w:sz w:val="16"/>
          <w:szCs w:val="16"/>
          <w:color w:val="auto"/>
        </w:rPr>
        <w:t>In acknowledgement of the MMSEA, the Parties acknowledge and agree that in reaching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Parties have considered the statutory interest of the Centers for Medicare and Medicaid Services of the U.S. Department of Health</w:t>
      </w:r>
    </w:p>
    <w:p>
      <w:pPr>
        <w:spacing w:after="0" w:line="1"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and Human Services in recovering conditional payments made for medical treatment that resulted directly from injury arising from, relating to, or in connection with the Event.</w:t>
      </w:r>
    </w:p>
    <w:p>
      <w:pPr>
        <w:spacing w:after="0" w:line="198" w:lineRule="exact"/>
        <w:rPr>
          <w:sz w:val="20"/>
          <w:szCs w:val="20"/>
          <w:color w:val="auto"/>
        </w:rPr>
      </w:pPr>
    </w:p>
    <w:p>
      <w:pPr>
        <w:ind w:left="4" w:firstLine="648"/>
        <w:spacing w:after="0" w:line="237" w:lineRule="auto"/>
        <w:rPr>
          <w:sz w:val="20"/>
          <w:szCs w:val="20"/>
          <w:color w:val="auto"/>
        </w:rPr>
      </w:pPr>
      <w:r>
        <w:rPr>
          <w:rFonts w:ascii="Arial" w:cs="Arial" w:eastAsia="Arial" w:hAnsi="Arial"/>
          <w:sz w:val="18"/>
          <w:szCs w:val="18"/>
          <w:b w:val="1"/>
          <w:bCs w:val="1"/>
          <w:color w:val="auto"/>
        </w:rPr>
        <w:t xml:space="preserve">7.2. Identification and Satisfaction of Liens. </w:t>
      </w:r>
      <w:r>
        <w:rPr>
          <w:rFonts w:ascii="Arial" w:cs="Arial" w:eastAsia="Arial" w:hAnsi="Arial"/>
          <w:sz w:val="18"/>
          <w:szCs w:val="18"/>
          <w:color w:val="auto"/>
        </w:rPr>
        <w:t>Plaintiffs’ Counsel hereby acknowledges and agrees that Settling Claimants are solely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their respective Liens, and further agrees that:</w:t>
      </w:r>
    </w:p>
    <w:p>
      <w:pPr>
        <w:spacing w:after="0" w:line="203" w:lineRule="exact"/>
        <w:rPr>
          <w:sz w:val="20"/>
          <w:szCs w:val="20"/>
          <w:color w:val="auto"/>
        </w:rPr>
      </w:pPr>
    </w:p>
    <w:p>
      <w:pPr>
        <w:ind w:left="1284" w:hanging="636"/>
        <w:spacing w:after="0"/>
        <w:tabs>
          <w:tab w:leader="none" w:pos="12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Plaintiffs’ Counsel shall take or facilitate the following steps to identify and satisfy any Liens under this provision:</w:t>
      </w:r>
    </w:p>
    <w:p>
      <w:pPr>
        <w:spacing w:after="0" w:line="225" w:lineRule="exact"/>
        <w:rPr>
          <w:rFonts w:ascii="Arial" w:cs="Arial" w:eastAsia="Arial" w:hAnsi="Arial"/>
          <w:sz w:val="18"/>
          <w:szCs w:val="18"/>
          <w:color w:val="auto"/>
        </w:rPr>
      </w:pPr>
    </w:p>
    <w:p>
      <w:pPr>
        <w:jc w:val="both"/>
        <w:ind w:left="1944" w:hanging="648"/>
        <w:spacing w:after="0" w:line="229" w:lineRule="auto"/>
        <w:tabs>
          <w:tab w:leader="none" w:pos="19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Information sufficient to identify any Liens subject to mandatory reporting requirements of Section 111 of the MMSEA or reporting requirement of any other Governmental Authority (“</w:t>
      </w:r>
      <w:r>
        <w:rPr>
          <w:rFonts w:ascii="Arial" w:cs="Arial" w:eastAsia="Arial" w:hAnsi="Arial"/>
          <w:sz w:val="18"/>
          <w:szCs w:val="18"/>
          <w:u w:val="single" w:color="auto"/>
          <w:color w:val="auto"/>
        </w:rPr>
        <w:t>Governmental Payor Liens</w:t>
      </w:r>
      <w:r>
        <w:rPr>
          <w:rFonts w:ascii="Arial" w:cs="Arial" w:eastAsia="Arial" w:hAnsi="Arial"/>
          <w:sz w:val="18"/>
          <w:szCs w:val="18"/>
          <w:color w:val="auto"/>
        </w:rPr>
        <w:t>”) shall be provided no later than five Business Days after the Effective Date.</w:t>
      </w:r>
    </w:p>
    <w:p>
      <w:pPr>
        <w:spacing w:after="0" w:line="204" w:lineRule="exact"/>
        <w:rPr>
          <w:rFonts w:ascii="Arial" w:cs="Arial" w:eastAsia="Arial" w:hAnsi="Arial"/>
          <w:sz w:val="18"/>
          <w:szCs w:val="18"/>
          <w:color w:val="auto"/>
        </w:rPr>
      </w:pPr>
    </w:p>
    <w:p>
      <w:pPr>
        <w:jc w:val="both"/>
        <w:ind w:left="1944" w:hanging="648"/>
        <w:spacing w:after="0" w:line="229" w:lineRule="auto"/>
        <w:tabs>
          <w:tab w:leader="none" w:pos="1944" w:val="left"/>
        </w:tabs>
        <w:numPr>
          <w:ilvl w:val="1"/>
          <w:numId w:val="44"/>
        </w:numPr>
        <w:rPr>
          <w:rFonts w:ascii="Arial" w:cs="Arial" w:eastAsia="Arial" w:hAnsi="Arial"/>
          <w:sz w:val="17"/>
          <w:szCs w:val="17"/>
          <w:color w:val="auto"/>
        </w:rPr>
      </w:pPr>
      <w:r>
        <w:rPr>
          <w:rFonts w:ascii="Arial" w:cs="Arial" w:eastAsia="Arial" w:hAnsi="Arial"/>
          <w:sz w:val="17"/>
          <w:szCs w:val="17"/>
          <w:color w:val="auto"/>
        </w:rPr>
        <w:t>As an express condition of the distribution of allocated payments to Settling Claimants from the Qualified Settlement Fund, all entities, individuals, government programs, or Governmental Authorities who have a legitimate interest in, a Lien on, or right of subrogation with respect to Settling Claimants’ Claims have been or will be notified by Settling Claimants and/or Plaintiffs’ Counsel to the extent such notification is required by the laws of Illinois, or the applicable laws of any relevant jurisdiction, that a settlement has occurred and that any claims of such entities, individuals, government programs, and Governmental Authorities will be satisfied by Settling Claimant’s allocated payment.</w:t>
      </w:r>
    </w:p>
    <w:p>
      <w:pPr>
        <w:spacing w:after="0" w:line="203" w:lineRule="exact"/>
        <w:rPr>
          <w:rFonts w:ascii="Arial" w:cs="Arial" w:eastAsia="Arial" w:hAnsi="Arial"/>
          <w:sz w:val="17"/>
          <w:szCs w:val="17"/>
          <w:color w:val="auto"/>
        </w:rPr>
      </w:pPr>
    </w:p>
    <w:p>
      <w:pPr>
        <w:jc w:val="both"/>
        <w:ind w:left="1944" w:hanging="648"/>
        <w:spacing w:after="0" w:line="244" w:lineRule="auto"/>
        <w:tabs>
          <w:tab w:leader="none" w:pos="19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Plaintiffs’ Counsel shall cooperate fully with Settling Defendants by executing any and all documents and providing such additional information or authorizations as may be required to comply with any mandatory reporting requirements of Section 111 of the MMSEA or reporting requirement of any other Governmental Authority. If such additional information or authorizations are required, Settling Defendants and their insurers shall organize and consolidate such requests to avoid duplication. If Medicare requires resolution under a Medicare global model for any Medicare-entitled Settling Claimant receiving payment, Plaintiffs’ Counsel agree, in coordination with their represented Settling Claimants, to follow any centralized protocols to coordinate and aggregate all Settling Claimants’ Lien obligations, including Medicare.</w:t>
      </w:r>
    </w:p>
    <w:p>
      <w:pPr>
        <w:spacing w:after="0" w:line="202" w:lineRule="exact"/>
        <w:rPr>
          <w:rFonts w:ascii="Arial" w:cs="Arial" w:eastAsia="Arial" w:hAnsi="Arial"/>
          <w:sz w:val="16"/>
          <w:szCs w:val="16"/>
          <w:color w:val="auto"/>
        </w:rPr>
      </w:pPr>
    </w:p>
    <w:p>
      <w:pPr>
        <w:jc w:val="both"/>
        <w:ind w:left="1944" w:hanging="648"/>
        <w:spacing w:after="0" w:line="254" w:lineRule="auto"/>
        <w:tabs>
          <w:tab w:leader="none" w:pos="19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For each Settling Claimant subject to a Governmental Payor Lien, the amount necessary to satisfy any such Lien or Liens shall be withheld from payment to that Settling Claimant and maintained in the QSF until either (i) the receipt of written documentation that the Lien or Liens are satisfied or waived, in which event the withheld amount shall be released to the Settling Claimant; or (ii) the amounts withheld are paid directly to the Governmental Payor in satisfaction of the Lien.</w:t>
      </w:r>
    </w:p>
    <w:p>
      <w:pPr>
        <w:spacing w:after="0" w:line="193" w:lineRule="exact"/>
        <w:rPr>
          <w:rFonts w:ascii="Arial" w:cs="Arial" w:eastAsia="Arial" w:hAnsi="Arial"/>
          <w:sz w:val="16"/>
          <w:szCs w:val="16"/>
          <w:color w:val="auto"/>
        </w:rPr>
      </w:pPr>
    </w:p>
    <w:p>
      <w:pPr>
        <w:jc w:val="both"/>
        <w:ind w:left="1304" w:hanging="656"/>
        <w:spacing w:after="0" w:line="222" w:lineRule="auto"/>
        <w:tabs>
          <w:tab w:leader="none" w:pos="129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reaching this Agreement and paying or causing to be paid the Settlement Amount, Settling Defendants are relying on the representations, warranties, and covenants of Plaintiffs’ Counsel and, specifically, the actions that Plaintiffs’ Counsel have agreed they will take or facilitate to satisfy any and all Liens and subrogation claims by any government program, Governmental Authority, attorneys, healthcare providers, or insurers, should they arise, pertaining to matters involved in or relating to the Event and this Agreement.</w:t>
      </w:r>
    </w:p>
    <w:p>
      <w:pPr>
        <w:spacing w:after="0" w:line="203" w:lineRule="exact"/>
        <w:rPr>
          <w:rFonts w:ascii="Arial" w:cs="Arial" w:eastAsia="Arial" w:hAnsi="Arial"/>
          <w:sz w:val="18"/>
          <w:szCs w:val="18"/>
          <w:color w:val="auto"/>
        </w:rPr>
      </w:pPr>
    </w:p>
    <w:p>
      <w:pPr>
        <w:jc w:val="both"/>
        <w:ind w:left="1304" w:hanging="656"/>
        <w:spacing w:after="0" w:line="224" w:lineRule="auto"/>
        <w:tabs>
          <w:tab w:leader="none" w:pos="13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interest in, Lien on, or right of subrogation with respect to their Claims by or belonging to any and all entities and individuals, including (without limitation) any governmental agencies or authorities, attorneys, litigation funders, healthcare providers, and/or insurers, will be satisfied by the Settling Claimant’s allocated payment.</w:t>
      </w:r>
    </w:p>
    <w:p>
      <w:pPr>
        <w:spacing w:after="0" w:line="203" w:lineRule="exact"/>
        <w:rPr>
          <w:rFonts w:ascii="Arial" w:cs="Arial" w:eastAsia="Arial" w:hAnsi="Arial"/>
          <w:sz w:val="18"/>
          <w:szCs w:val="18"/>
          <w:color w:val="auto"/>
        </w:rPr>
      </w:pPr>
    </w:p>
    <w:p>
      <w:pPr>
        <w:ind w:left="1304" w:hanging="656"/>
        <w:spacing w:after="0" w:line="246" w:lineRule="auto"/>
        <w:tabs>
          <w:tab w:leader="none" w:pos="129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expressly provided in this Agreement, neither Settling Defendants nor any other Released Party is responsible for Liens or subrogation claims against settlement payments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83"/>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24"/>
          </w:cols>
          <w:pgMar w:left="436" w:top="1325" w:right="739" w:bottom="1440" w:gutter="0" w:footer="0" w:header="0"/>
        </w:sectPr>
      </w:pPr>
    </w:p>
    <w:bookmarkStart w:id="56" w:name="page57"/>
    <w:bookmarkEnd w:id="56"/>
    <w:p>
      <w:pPr>
        <w:ind w:left="1304"/>
        <w:spacing w:after="0"/>
        <w:rPr>
          <w:sz w:val="20"/>
          <w:szCs w:val="20"/>
          <w:color w:val="auto"/>
        </w:rPr>
      </w:pPr>
      <w:r>
        <w:rPr>
          <w:rFonts w:ascii="Arial" w:cs="Arial" w:eastAsia="Arial" w:hAnsi="Arial"/>
          <w:sz w:val="18"/>
          <w:szCs w:val="18"/>
          <w:color w:val="auto"/>
        </w:rPr>
        <w:t>costs and expenses incurred in resolving any such Liens or subrogation claims against settlement payments.</w:t>
      </w:r>
    </w:p>
    <w:p>
      <w:pPr>
        <w:spacing w:after="0" w:line="221"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Indemnification by Plaintiffs’ Counsel</w:t>
      </w:r>
      <w:r>
        <w:rPr>
          <w:rFonts w:ascii="Arial" w:cs="Arial" w:eastAsia="Arial" w:hAnsi="Arial"/>
          <w:sz w:val="16"/>
          <w:szCs w:val="16"/>
          <w:color w:val="auto"/>
        </w:rPr>
        <w:t>. Plaintiffs’ Counsel indemnifies and agrees to hold harmless each Settling Defendant and</w:t>
      </w:r>
    </w:p>
    <w:p>
      <w:pPr>
        <w:spacing w:after="0" w:line="2"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all Released Parties from any claim of any holder of a Lien on Plaintiffs’ Counsel, to the extent the Lien applies to Plaintiffs’ Counsel and not to any Settling Claimant.</w:t>
      </w:r>
    </w:p>
    <w:p>
      <w:pPr>
        <w:spacing w:after="0" w:line="198" w:lineRule="exact"/>
        <w:rPr>
          <w:sz w:val="20"/>
          <w:szCs w:val="20"/>
          <w:color w:val="auto"/>
        </w:rPr>
      </w:pPr>
    </w:p>
    <w:p>
      <w:pPr>
        <w:ind w:left="4" w:firstLine="648"/>
        <w:spacing w:after="0" w:line="263" w:lineRule="auto"/>
        <w:rPr>
          <w:sz w:val="20"/>
          <w:szCs w:val="20"/>
          <w:color w:val="auto"/>
        </w:rPr>
      </w:pPr>
      <w:r>
        <w:rPr>
          <w:rFonts w:ascii="Arial" w:cs="Arial" w:eastAsia="Arial" w:hAnsi="Arial"/>
          <w:sz w:val="17"/>
          <w:szCs w:val="17"/>
          <w:b w:val="1"/>
          <w:bCs w:val="1"/>
          <w:color w:val="auto"/>
        </w:rPr>
        <w:t>7.4. Released Parties’ Responsibility</w:t>
      </w:r>
      <w:r>
        <w:rPr>
          <w:rFonts w:ascii="Arial" w:cs="Arial" w:eastAsia="Arial" w:hAnsi="Arial"/>
          <w:sz w:val="17"/>
          <w:szCs w:val="17"/>
          <w:color w:val="auto"/>
        </w:rPr>
        <w:t>. Released Parties are not responsible for Liens or subrogation claims against settlement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or the costs and expenses incurred in resolving any such Liens or subrogation claims against settlement payments.</w:t>
      </w:r>
    </w:p>
    <w:p>
      <w:pPr>
        <w:spacing w:after="0" w:line="179" w:lineRule="exact"/>
        <w:rPr>
          <w:sz w:val="20"/>
          <w:szCs w:val="20"/>
          <w:color w:val="auto"/>
        </w:rPr>
      </w:pPr>
    </w:p>
    <w:p>
      <w:pPr>
        <w:ind w:left="644" w:hanging="644"/>
        <w:spacing w:after="0"/>
        <w:tabs>
          <w:tab w:leader="none" w:pos="64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 STATEMENTS</w:t>
      </w:r>
    </w:p>
    <w:p>
      <w:pPr>
        <w:spacing w:after="0" w:line="225"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Settling Claimants and Plaintiffs’ Counsel will not issue any press releases, press briefings, tweets, Instagram</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posts, or any other social media posts relating to this Agreement. Plaintiffs’ Counsel will not identify Settling Defendants or Released Parties by name in any marketing communications, including websites, but may otherwise discuss information that is already in the public domain and may refer to “ethylene oxide litigation.” For the avoidance of doubt, this section applies regardless of the jurisdiction in which the press release or other</w:t>
      </w:r>
    </w:p>
    <w:p>
      <w:pPr>
        <w:spacing w:after="0" w:line="2" w:lineRule="exact"/>
        <w:rPr>
          <w:sz w:val="20"/>
          <w:szCs w:val="20"/>
          <w:color w:val="auto"/>
        </w:rPr>
      </w:pPr>
    </w:p>
    <w:p>
      <w:pPr>
        <w:jc w:val="center"/>
        <w:ind w:right="6696"/>
        <w:spacing w:after="0"/>
        <w:rPr>
          <w:sz w:val="20"/>
          <w:szCs w:val="20"/>
          <w:color w:val="auto"/>
        </w:rPr>
      </w:pPr>
      <w:r>
        <w:rPr>
          <w:rFonts w:ascii="Arial" w:cs="Arial" w:eastAsia="Arial" w:hAnsi="Arial"/>
          <w:sz w:val="16"/>
          <w:szCs w:val="16"/>
          <w:color w:val="auto"/>
        </w:rPr>
        <w:t>statement is being made or to which it is being directed.</w:t>
      </w:r>
    </w:p>
    <w:p>
      <w:pPr>
        <w:spacing w:after="0" w:line="228"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Solicitation and Marketing.</w:t>
      </w:r>
    </w:p>
    <w:p>
      <w:pPr>
        <w:spacing w:after="0" w:line="229" w:lineRule="exact"/>
        <w:rPr>
          <w:sz w:val="20"/>
          <w:szCs w:val="20"/>
          <w:color w:val="auto"/>
        </w:rPr>
      </w:pPr>
    </w:p>
    <w:p>
      <w:pPr>
        <w:ind w:left="1304" w:hanging="656"/>
        <w:spacing w:after="0" w:line="235" w:lineRule="auto"/>
        <w:tabs>
          <w:tab w:leader="none" w:pos="13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Plaintiffs’ Counsel represents and warrants that they and their respective law firms have no present intention to solicit, accept, or represent new clients for the purpose of bringing any Claim against any Released Party.</w:t>
      </w:r>
    </w:p>
    <w:p>
      <w:pPr>
        <w:spacing w:after="0" w:line="202" w:lineRule="exact"/>
        <w:rPr>
          <w:rFonts w:ascii="Arial" w:cs="Arial" w:eastAsia="Arial" w:hAnsi="Arial"/>
          <w:sz w:val="18"/>
          <w:szCs w:val="18"/>
          <w:color w:val="auto"/>
        </w:rPr>
      </w:pPr>
    </w:p>
    <w:p>
      <w:pPr>
        <w:jc w:val="both"/>
        <w:ind w:left="1304" w:hanging="656"/>
        <w:spacing w:after="0" w:line="219" w:lineRule="auto"/>
        <w:tabs>
          <w:tab w:leader="none" w:pos="1298"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Plaintiffs’ Counsel affirms that, to the best of their knowledge, they have ceased all advertising for Claims and have no present intention to resume such advertising. This includes purchases of Google ad words, emails or other communications with client databases regarding Claims and any other solicitation originating from any Plaintiffs’ Counsel in any medium, including television, billboards, websites, blogs, internet ads or pop-ups, newspapers, magazines, Facebook, Twitter, Instagram, or other social media outlets.</w:t>
      </w:r>
    </w:p>
    <w:p>
      <w:pPr>
        <w:spacing w:after="0" w:line="199"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Permitted Disclosures.</w:t>
      </w:r>
    </w:p>
    <w:p>
      <w:pPr>
        <w:spacing w:after="0" w:line="229" w:lineRule="exact"/>
        <w:rPr>
          <w:sz w:val="20"/>
          <w:szCs w:val="20"/>
          <w:color w:val="auto"/>
        </w:rPr>
      </w:pPr>
    </w:p>
    <w:p>
      <w:pPr>
        <w:jc w:val="both"/>
        <w:ind w:left="1304" w:hanging="657"/>
        <w:spacing w:after="0" w:line="232" w:lineRule="auto"/>
        <w:tabs>
          <w:tab w:leader="none" w:pos="1301"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Plaintiffs’ Counsel acknowledges that Settling Defendants will be disclosing the principal terms of the overall settlement (including the total amount to be paid by the Settling Defendants) and may also disclose this Agreement and the term sheet if the Settling Defendants determine that such disclosure is required by federal securities laws and regulations. Settling Defendants will redact the allocations to the Settling Claimants as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if they determine that such redactions are consistent with their obligations under the securities laws (as they presently believe to be the case).</w:t>
      </w:r>
    </w:p>
    <w:p>
      <w:pPr>
        <w:spacing w:after="0" w:line="202" w:lineRule="exact"/>
        <w:rPr>
          <w:rFonts w:ascii="Arial" w:cs="Arial" w:eastAsia="Arial" w:hAnsi="Arial"/>
          <w:sz w:val="17"/>
          <w:szCs w:val="17"/>
          <w:color w:val="auto"/>
        </w:rPr>
      </w:pPr>
    </w:p>
    <w:p>
      <w:pPr>
        <w:ind w:left="1284" w:hanging="636"/>
        <w:spacing w:after="0"/>
        <w:tabs>
          <w:tab w:leader="none" w:pos="1284"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to the contrary, the Parties may disclose this Agreement and its terms in order to:</w:t>
      </w:r>
    </w:p>
    <w:p>
      <w:pPr>
        <w:spacing w:after="0" w:line="236" w:lineRule="exact"/>
        <w:rPr>
          <w:rFonts w:ascii="Arial" w:cs="Arial" w:eastAsia="Arial" w:hAnsi="Arial"/>
          <w:sz w:val="17"/>
          <w:szCs w:val="17"/>
          <w:color w:val="auto"/>
        </w:rPr>
      </w:pPr>
    </w:p>
    <w:p>
      <w:pPr>
        <w:jc w:val="both"/>
        <w:ind w:left="1944" w:hanging="648"/>
        <w:spacing w:after="0" w:line="223" w:lineRule="auto"/>
        <w:tabs>
          <w:tab w:leader="none" w:pos="1944" w:val="left"/>
        </w:tabs>
        <w:numPr>
          <w:ilvl w:val="2"/>
          <w:numId w:val="47"/>
        </w:numPr>
        <w:rPr>
          <w:rFonts w:ascii="Arial" w:cs="Arial" w:eastAsia="Arial" w:hAnsi="Arial"/>
          <w:sz w:val="18"/>
          <w:szCs w:val="18"/>
          <w:color w:val="auto"/>
        </w:rPr>
      </w:pPr>
      <w:r>
        <w:rPr>
          <w:rFonts w:ascii="Arial" w:cs="Arial" w:eastAsia="Arial" w:hAnsi="Arial"/>
          <w:sz w:val="18"/>
          <w:szCs w:val="18"/>
          <w:color w:val="auto"/>
        </w:rPr>
        <w:t>comply with any law, rule, regulation, order, or government-imposed requirement (including, for the avoidance of doubt, applicable Rules of Professional Responsibility); provided that any disclosure shall be made only with prior notice to the non-disclosing Party (unless prohibited by applicable law, rule, order, or decree or other requirement having the force of law); or</w:t>
      </w:r>
    </w:p>
    <w:p>
      <w:pPr>
        <w:spacing w:after="0" w:line="202" w:lineRule="exact"/>
        <w:rPr>
          <w:rFonts w:ascii="Arial" w:cs="Arial" w:eastAsia="Arial" w:hAnsi="Arial"/>
          <w:sz w:val="18"/>
          <w:szCs w:val="18"/>
          <w:color w:val="auto"/>
        </w:rPr>
      </w:pPr>
    </w:p>
    <w:p>
      <w:pPr>
        <w:jc w:val="both"/>
        <w:ind w:left="1944" w:hanging="648"/>
        <w:spacing w:after="0" w:line="217" w:lineRule="auto"/>
        <w:tabs>
          <w:tab w:leader="none" w:pos="1944" w:val="left"/>
        </w:tabs>
        <w:numPr>
          <w:ilvl w:val="2"/>
          <w:numId w:val="47"/>
        </w:numPr>
        <w:rPr>
          <w:rFonts w:ascii="Arial" w:cs="Arial" w:eastAsia="Arial" w:hAnsi="Arial"/>
          <w:sz w:val="18"/>
          <w:szCs w:val="18"/>
          <w:color w:val="auto"/>
        </w:rPr>
      </w:pPr>
      <w:r>
        <w:rPr>
          <w:rFonts w:ascii="Arial" w:cs="Arial" w:eastAsia="Arial" w:hAnsi="Arial"/>
          <w:sz w:val="18"/>
          <w:szCs w:val="18"/>
          <w:color w:val="auto"/>
        </w:rPr>
        <w:t>prove the existence of or enforce the Agreement in a court proceeding, arbitration proceeding, mediation, or as otherwise required by law or ethical obligations, such as for informed consent purposes to obtain court approval of a settlement before the Release can bind a minor or incompetent Person. The disclosing Party shall seek a protective order. If Plaintiffs’ Counsel or other Party receives notice of a legal proceeding in which the court or a party requests and/or orders the disclosure of any confidential matter covered by this Agreement, notice shall be given to the other Parties forthwith and the ones giving notice shall make a motion seeking a protective order to protect the confidentiality of confidential matters under this Agreement.</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b w:val="1"/>
          <w:bCs w:val="1"/>
          <w:color w:val="auto"/>
        </w:rPr>
        <w:t>No Admission of Liability or Lack of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83"/>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24"/>
          </w:cols>
          <w:pgMar w:left="436" w:top="1327" w:right="739" w:bottom="1440" w:gutter="0" w:footer="0" w:header="0"/>
        </w:sectPr>
      </w:pPr>
    </w:p>
    <w:bookmarkStart w:id="57" w:name="page58"/>
    <w:bookmarkEnd w:id="57"/>
    <w:p>
      <w:pPr>
        <w:spacing w:after="0" w:line="144" w:lineRule="exact"/>
        <w:rPr>
          <w:sz w:val="20"/>
          <w:szCs w:val="20"/>
          <w:color w:val="auto"/>
        </w:rPr>
      </w:pPr>
    </w:p>
    <w:p>
      <w:pPr>
        <w:jc w:val="both"/>
        <w:ind w:left="1300" w:hanging="656"/>
        <w:spacing w:after="0" w:line="219" w:lineRule="auto"/>
        <w:tabs>
          <w:tab w:leader="none" w:pos="12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this Agreement nor any exhibit, document, or instrument delivered hereunder, nor any statement, transaction, or proceeding in connection with the negotiation, execution, or implementation of this Agreement, is intended to be or shall be construed as or deemed to be evidence of an admission or concession by (i) any Released Party of any fault, liability, wrongdoing, fact, or damages or of the truth of any allegations asserted by any Settling Claimant against them or (ii) any Settling Claimant of any lack of merit in the Settling Claimant’s Claims.</w:t>
      </w:r>
    </w:p>
    <w:p>
      <w:pPr>
        <w:spacing w:after="0" w:line="203" w:lineRule="exact"/>
        <w:rPr>
          <w:rFonts w:ascii="Arial" w:cs="Arial" w:eastAsia="Arial" w:hAnsi="Arial"/>
          <w:sz w:val="18"/>
          <w:szCs w:val="18"/>
          <w:color w:val="auto"/>
        </w:rPr>
      </w:pPr>
    </w:p>
    <w:p>
      <w:pPr>
        <w:jc w:val="both"/>
        <w:ind w:left="1300" w:hanging="657"/>
        <w:spacing w:after="0" w:line="248" w:lineRule="auto"/>
        <w:tabs>
          <w:tab w:leader="none" w:pos="1294"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No Party shall seek to introduce into evidence or use in any judicial proceeding this Agreement, any exhibit, document, or instrument delivered hereunder, or any statement, transaction, or proceeding in connection with the negotiation, execution, or implementation of this Agreement, except as necessary to enforce the terms of this Agreement (or in connection with the determination of any income tax liability of a party) or any instrument executed and delivered pursuant to this Agreement (including any Release). If a Person seeks to introduce and/or use any of the matters described herein in any proceeding against any Released Party, the restrictions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not apply to any Released Party with respect to that Person.</w:t>
      </w:r>
    </w:p>
    <w:p>
      <w:pPr>
        <w:spacing w:after="0" w:line="18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 xml:space="preserve">Insurer Claims. </w:t>
      </w:r>
      <w:r>
        <w:rPr>
          <w:rFonts w:ascii="Arial" w:cs="Arial" w:eastAsia="Arial" w:hAnsi="Arial"/>
          <w:sz w:val="16"/>
          <w:szCs w:val="16"/>
          <w:color w:val="auto"/>
        </w:rPr>
        <w:t>For avoidance of doubt, Released Parties maintain, and do not release, any claims they may have against their</w:t>
      </w:r>
    </w:p>
    <w:p>
      <w:pPr>
        <w:spacing w:after="0"/>
        <w:rPr>
          <w:sz w:val="20"/>
          <w:szCs w:val="20"/>
          <w:color w:val="auto"/>
        </w:rPr>
      </w:pPr>
      <w:r>
        <w:rPr>
          <w:rFonts w:ascii="Arial" w:cs="Arial" w:eastAsia="Arial" w:hAnsi="Arial"/>
          <w:sz w:val="18"/>
          <w:szCs w:val="18"/>
          <w:color w:val="auto"/>
        </w:rPr>
        <w:t>insurers.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9.3. Deadlines. </w:t>
      </w:r>
      <w:r>
        <w:rPr>
          <w:rFonts w:ascii="Arial" w:cs="Arial" w:eastAsia="Arial" w:hAnsi="Arial"/>
          <w:sz w:val="16"/>
          <w:szCs w:val="16"/>
          <w:color w:val="auto"/>
        </w:rPr>
        <w:t>If any action or event does not occur by the date provided by this Agreement, the Parties shall work together to adjust</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dates in order for the Parties to accomplish their agreed upon desire to complete this settlement, including by invoking the assistance of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Mediator if necessary. Any agreement changing a date provided by this Agreement shall be in writing, with copies to the notice parties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9.4. Tax Issues. </w:t>
      </w:r>
      <w:r>
        <w:rPr>
          <w:rFonts w:ascii="Arial" w:cs="Arial" w:eastAsia="Arial" w:hAnsi="Arial"/>
          <w:sz w:val="16"/>
          <w:szCs w:val="16"/>
          <w:color w:val="auto"/>
        </w:rPr>
        <w:t>The Parties shall cooperate with respect to compliance with any required tax reporting, including by using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provide (or to cause Plaintiffs’ Counsel or Plaintiffs to provide) any information or tax forms reasonably requested by the Settling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Defendants or the QSF Administrator. No amount of taxes shall be withheld by any Person making a payment pursuant to the settlement in accordance with this Agreement except to the extent required by applicable law. Any amounts that are withheld in respect of taxes shall be treated for all purposes of this Agreement as having been paid to the Person in respect of whom such withholding was made. No Party makes any</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representations regarding the potential tax treatment for the transaction provided herein and, subject to </w:t>
      </w:r>
      <w:r>
        <w:rPr>
          <w:rFonts w:ascii="Arial" w:cs="Arial" w:eastAsia="Arial" w:hAnsi="Arial"/>
          <w:sz w:val="17"/>
          <w:szCs w:val="17"/>
          <w:u w:val="single" w:color="auto"/>
          <w:color w:val="auto"/>
        </w:rPr>
        <w:t>Section 4.5</w:t>
      </w:r>
      <w:r>
        <w:rPr>
          <w:rFonts w:ascii="Arial" w:cs="Arial" w:eastAsia="Arial" w:hAnsi="Arial"/>
          <w:sz w:val="17"/>
          <w:szCs w:val="17"/>
          <w:color w:val="auto"/>
        </w:rPr>
        <w:t>, each Party is solely responsible for paying his, her, or its own taxes, including any tax consequences arising from, relating to, or in connection with this Agreement.</w:t>
      </w:r>
    </w:p>
    <w:p>
      <w:pPr>
        <w:spacing w:after="0" w:line="26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9.5. Notice. </w:t>
      </w:r>
      <w:r>
        <w:rPr>
          <w:rFonts w:ascii="Arial" w:cs="Arial" w:eastAsia="Arial" w:hAnsi="Arial"/>
          <w:sz w:val="18"/>
          <w:szCs w:val="18"/>
          <w:color w:val="auto"/>
        </w:rPr>
        <w:t>All notices, requests, demands, and other communications hereunder shall be in writing and delivered personally by email</w:t>
      </w:r>
      <w:r>
        <w:rPr>
          <w:rFonts w:ascii="Arial" w:cs="Arial" w:eastAsia="Arial" w:hAnsi="Arial"/>
          <w:sz w:val="18"/>
          <w:szCs w:val="18"/>
          <w:b w:val="1"/>
          <w:bCs w:val="1"/>
          <w:color w:val="auto"/>
        </w:rPr>
        <w:t xml:space="preserve"> </w:t>
      </w:r>
      <w:r>
        <w:rPr>
          <w:rFonts w:ascii="Arial" w:cs="Arial" w:eastAsia="Arial" w:hAnsi="Arial"/>
          <w:sz w:val="18"/>
          <w:szCs w:val="18"/>
          <w:color w:val="auto"/>
        </w:rPr>
        <w:t>or by mail accompanied by an email copy to the recipient. Notices shall be sent to the appropriate Party at its address given below (or at such other address for such Party as shall be specified by notice given under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Plaintiffs’ Counsel or Settling Claimants, to:</w:t>
      </w:r>
    </w:p>
    <w:p>
      <w:pPr>
        <w:ind w:left="1840"/>
        <w:spacing w:after="0" w:line="219" w:lineRule="auto"/>
        <w:rPr>
          <w:sz w:val="20"/>
          <w:szCs w:val="20"/>
          <w:color w:val="auto"/>
        </w:rPr>
      </w:pPr>
      <w:r>
        <w:rPr>
          <w:rFonts w:ascii="Arial" w:cs="Arial" w:eastAsia="Arial" w:hAnsi="Arial"/>
          <w:sz w:val="18"/>
          <w:szCs w:val="18"/>
          <w:color w:val="auto"/>
        </w:rPr>
        <w:t>Salvi, Schostok &amp; Pritchard, P.C.</w:t>
      </w:r>
    </w:p>
    <w:p>
      <w:pPr>
        <w:ind w:left="1940"/>
        <w:spacing w:after="0" w:line="203" w:lineRule="auto"/>
        <w:rPr>
          <w:sz w:val="20"/>
          <w:szCs w:val="20"/>
          <w:color w:val="auto"/>
        </w:rPr>
      </w:pPr>
      <w:r>
        <w:rPr>
          <w:rFonts w:ascii="Arial" w:cs="Arial" w:eastAsia="Arial" w:hAnsi="Arial"/>
          <w:sz w:val="18"/>
          <w:szCs w:val="18"/>
          <w:color w:val="auto"/>
        </w:rPr>
        <w:t>161 N. Clark Street, Suite 4700</w:t>
      </w:r>
    </w:p>
    <w:p>
      <w:pPr>
        <w:ind w:left="1940"/>
        <w:spacing w:after="0" w:line="219" w:lineRule="auto"/>
        <w:rPr>
          <w:sz w:val="20"/>
          <w:szCs w:val="20"/>
          <w:color w:val="auto"/>
        </w:rPr>
      </w:pPr>
      <w:r>
        <w:rPr>
          <w:rFonts w:ascii="Arial" w:cs="Arial" w:eastAsia="Arial" w:hAnsi="Arial"/>
          <w:sz w:val="18"/>
          <w:szCs w:val="18"/>
          <w:color w:val="auto"/>
        </w:rPr>
        <w:t>Chicago, Illinois 60601</w:t>
      </w:r>
    </w:p>
    <w:p>
      <w:pPr>
        <w:ind w:left="1840"/>
        <w:spacing w:after="0" w:line="204" w:lineRule="auto"/>
        <w:rPr>
          <w:sz w:val="20"/>
          <w:szCs w:val="20"/>
          <w:color w:val="auto"/>
        </w:rPr>
      </w:pPr>
      <w:r>
        <w:rPr>
          <w:rFonts w:ascii="Arial" w:cs="Arial" w:eastAsia="Arial" w:hAnsi="Arial"/>
          <w:sz w:val="18"/>
          <w:szCs w:val="18"/>
          <w:color w:val="auto"/>
        </w:rPr>
        <w:t>Attn: Patrick A. Salvi</w:t>
      </w:r>
    </w:p>
    <w:p>
      <w:pPr>
        <w:ind w:left="19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2C1"/>
        </w:rPr>
        <w:t>psalvi2@salvilaw.com</w:t>
      </w:r>
    </w:p>
    <w:p>
      <w:pPr>
        <w:spacing w:after="0" w:line="27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Romanucci &amp; Blandin, LLC</w:t>
      </w:r>
    </w:p>
    <w:p>
      <w:pPr>
        <w:ind w:left="1840"/>
        <w:spacing w:after="0" w:line="203" w:lineRule="auto"/>
        <w:rPr>
          <w:sz w:val="20"/>
          <w:szCs w:val="20"/>
          <w:color w:val="auto"/>
        </w:rPr>
      </w:pPr>
      <w:r>
        <w:rPr>
          <w:rFonts w:ascii="Arial" w:cs="Arial" w:eastAsia="Arial" w:hAnsi="Arial"/>
          <w:sz w:val="18"/>
          <w:szCs w:val="18"/>
          <w:color w:val="auto"/>
        </w:rPr>
        <w:t>321 N. Clark Street, Suite 900</w:t>
      </w:r>
    </w:p>
    <w:p>
      <w:pPr>
        <w:ind w:left="1940"/>
        <w:spacing w:after="0" w:line="219" w:lineRule="auto"/>
        <w:rPr>
          <w:sz w:val="20"/>
          <w:szCs w:val="20"/>
          <w:color w:val="auto"/>
        </w:rPr>
      </w:pPr>
      <w:r>
        <w:rPr>
          <w:rFonts w:ascii="Arial" w:cs="Arial" w:eastAsia="Arial" w:hAnsi="Arial"/>
          <w:sz w:val="18"/>
          <w:szCs w:val="18"/>
          <w:color w:val="auto"/>
        </w:rPr>
        <w:t>Chicago, Illinois 60654</w:t>
      </w:r>
    </w:p>
    <w:p>
      <w:pPr>
        <w:ind w:left="1840"/>
        <w:spacing w:after="0" w:line="204" w:lineRule="auto"/>
        <w:rPr>
          <w:sz w:val="20"/>
          <w:szCs w:val="20"/>
          <w:color w:val="auto"/>
        </w:rPr>
      </w:pPr>
      <w:r>
        <w:rPr>
          <w:rFonts w:ascii="Arial" w:cs="Arial" w:eastAsia="Arial" w:hAnsi="Arial"/>
          <w:sz w:val="18"/>
          <w:szCs w:val="18"/>
          <w:color w:val="auto"/>
        </w:rPr>
        <w:t>Attn: Bryce Hensley</w:t>
      </w:r>
    </w:p>
    <w:p>
      <w:pPr>
        <w:ind w:left="19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2C1"/>
        </w:rPr>
        <w:t>bhensley@rblaw.net</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Settling Defendants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Munger, Tolles &amp; Olson LLP</w:t>
      </w:r>
    </w:p>
    <w:p>
      <w:pPr>
        <w:ind w:left="1840"/>
        <w:spacing w:after="0" w:line="203" w:lineRule="auto"/>
        <w:rPr>
          <w:sz w:val="20"/>
          <w:szCs w:val="20"/>
          <w:color w:val="auto"/>
        </w:rPr>
      </w:pPr>
      <w:r>
        <w:rPr>
          <w:rFonts w:ascii="Arial" w:cs="Arial" w:eastAsia="Arial" w:hAnsi="Arial"/>
          <w:sz w:val="18"/>
          <w:szCs w:val="18"/>
          <w:color w:val="auto"/>
        </w:rPr>
        <w:t>350 South Grand Avenue</w:t>
      </w:r>
    </w:p>
    <w:p>
      <w:pPr>
        <w:ind w:left="1840"/>
        <w:spacing w:after="0" w:line="203" w:lineRule="auto"/>
        <w:rPr>
          <w:sz w:val="20"/>
          <w:szCs w:val="20"/>
          <w:color w:val="auto"/>
        </w:rPr>
      </w:pPr>
      <w:r>
        <w:rPr>
          <w:rFonts w:ascii="Arial" w:cs="Arial" w:eastAsia="Arial" w:hAnsi="Arial"/>
          <w:sz w:val="18"/>
          <w:szCs w:val="18"/>
          <w:color w:val="auto"/>
        </w:rPr>
        <w:t>Los Angeles, CA 90071</w:t>
      </w:r>
    </w:p>
    <w:p>
      <w:pPr>
        <w:ind w:left="1840"/>
        <w:spacing w:after="0" w:line="220" w:lineRule="auto"/>
        <w:rPr>
          <w:sz w:val="20"/>
          <w:szCs w:val="20"/>
          <w:color w:val="auto"/>
        </w:rPr>
      </w:pPr>
      <w:r>
        <w:rPr>
          <w:rFonts w:ascii="Arial" w:cs="Arial" w:eastAsia="Arial" w:hAnsi="Arial"/>
          <w:sz w:val="18"/>
          <w:szCs w:val="18"/>
          <w:color w:val="auto"/>
        </w:rPr>
        <w:t>Attn: Brad D. Brian, Esq.</w:t>
      </w:r>
    </w:p>
    <w:p>
      <w:pPr>
        <w:ind w:left="1840"/>
        <w:spacing w:after="0" w:line="203" w:lineRule="auto"/>
        <w:rPr>
          <w:sz w:val="20"/>
          <w:szCs w:val="20"/>
          <w:color w:val="auto"/>
        </w:rPr>
      </w:pPr>
      <w:r>
        <w:rPr>
          <w:rFonts w:ascii="Arial" w:cs="Arial" w:eastAsia="Arial" w:hAnsi="Arial"/>
          <w:sz w:val="18"/>
          <w:szCs w:val="18"/>
          <w:color w:val="auto"/>
        </w:rPr>
        <w:t>Attn: Bethany Kristovich, Esq.</w:t>
      </w:r>
    </w:p>
    <w:p>
      <w:pPr>
        <w:ind w:left="1840"/>
        <w:spacing w:after="0" w:line="204" w:lineRule="auto"/>
        <w:rPr>
          <w:sz w:val="20"/>
          <w:szCs w:val="20"/>
          <w:color w:val="auto"/>
        </w:rPr>
      </w:pPr>
      <w:r>
        <w:rPr>
          <w:rFonts w:ascii="Arial" w:cs="Arial" w:eastAsia="Arial" w:hAnsi="Arial"/>
          <w:sz w:val="18"/>
          <w:szCs w:val="18"/>
          <w:color w:val="auto"/>
        </w:rPr>
        <w:t>Attn: Juliana Yee, Esq.</w:t>
      </w:r>
    </w:p>
    <w:p>
      <w:pPr>
        <w:ind w:left="1940"/>
        <w:spacing w:after="0"/>
        <w:rPr>
          <w:sz w:val="20"/>
          <w:szCs w:val="20"/>
          <w:color w:val="auto"/>
        </w:rPr>
      </w:pPr>
      <w:r>
        <w:rPr>
          <w:rFonts w:ascii="Arial" w:cs="Arial" w:eastAsia="Arial" w:hAnsi="Arial"/>
          <w:sz w:val="18"/>
          <w:szCs w:val="18"/>
          <w:color w:val="auto"/>
        </w:rPr>
        <w:t>Email: brad.brian@mto.com bethany.kristovich@mto.com juliana.yee@mto.com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20"/>
          </w:cols>
          <w:pgMar w:left="440" w:top="1440" w:right="739" w:bottom="1440" w:gutter="0" w:footer="0" w:header="0"/>
        </w:sectPr>
      </w:pPr>
    </w:p>
    <w:bookmarkStart w:id="58" w:name="page59"/>
    <w:bookmarkEnd w:id="58"/>
    <w:p>
      <w:pPr>
        <w:spacing w:after="0" w:line="12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 xml:space="preserve">Effective Date of Notice. </w:t>
      </w:r>
      <w:r>
        <w:rPr>
          <w:rFonts w:ascii="Arial" w:cs="Arial" w:eastAsia="Arial" w:hAnsi="Arial"/>
          <w:sz w:val="16"/>
          <w:szCs w:val="16"/>
          <w:color w:val="auto"/>
        </w:rPr>
        <w:t>Any notice, request, instruction, or other document shall be deemed to have been given as of: (i) the date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transmitted by electronic mail, (ii) on the next Business Day when sent by Federal Express or other overnight delivery service, or (iii) five Business Days after the mailing date if sent by U.S. mail, provided that if any date on which the notice or other communication shall be deemed to have been given is not a Business Day, the notice or other communication shall be deemed to have been given as of the next Business Day.</w:t>
      </w:r>
    </w:p>
    <w:p>
      <w:pPr>
        <w:spacing w:after="0" w:line="19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 xml:space="preserve">Governing Law; Venue. </w:t>
      </w:r>
      <w:r>
        <w:rPr>
          <w:rFonts w:ascii="Arial" w:cs="Arial" w:eastAsia="Arial" w:hAnsi="Arial"/>
          <w:sz w:val="16"/>
          <w:szCs w:val="16"/>
          <w:color w:val="auto"/>
        </w:rPr>
        <w:t>This Agreement shall be governed by and construed in accordance with the law of the State of Illinois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without regard to any choice-of-law rules that would require the application of the law of another jurisdiction. Any proceedings relating to this Agreement shall be filed in the Circuit Court of Cook County, Illinois.</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9.8. Consent to Submit to Jurisdiction of Court; Mediator. </w:t>
      </w:r>
      <w:r>
        <w:rPr>
          <w:rFonts w:ascii="Arial" w:cs="Arial" w:eastAsia="Arial" w:hAnsi="Arial"/>
          <w:sz w:val="16"/>
          <w:szCs w:val="16"/>
          <w:color w:val="auto"/>
        </w:rPr>
        <w:t>Except to the extent the Parties have otherwise agreed to submit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disputes to the Mediator as provided by this Agreement, the Parties acknowledge and agree that the Circuit Court of Cook County, Illinois presiding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over the </w:t>
      </w:r>
      <w:r>
        <w:rPr>
          <w:rFonts w:ascii="Arial" w:cs="Arial" w:eastAsia="Arial" w:hAnsi="Arial"/>
          <w:sz w:val="18"/>
          <w:szCs w:val="18"/>
          <w:i w:val="1"/>
          <w:iCs w:val="1"/>
          <w:color w:val="auto"/>
        </w:rPr>
        <w:t>In re: Willowbrook Ethylene Oxide Litigation</w:t>
      </w:r>
      <w:r>
        <w:rPr>
          <w:rFonts w:ascii="Arial" w:cs="Arial" w:eastAsia="Arial" w:hAnsi="Arial"/>
          <w:sz w:val="18"/>
          <w:szCs w:val="18"/>
          <w:color w:val="auto"/>
        </w:rPr>
        <w:t>, Case No. 18 L 010744, has jurisdiction to enforce this Agreement, including the adjudication of issues relating to the termination or removal of liens.</w:t>
      </w:r>
    </w:p>
    <w:p>
      <w:pPr>
        <w:spacing w:after="0" w:line="19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Waiver of Inconsistent Provisions of Law; Severability.</w:t>
      </w:r>
    </w:p>
    <w:p>
      <w:pPr>
        <w:spacing w:after="0" w:line="229" w:lineRule="exact"/>
        <w:rPr>
          <w:sz w:val="20"/>
          <w:szCs w:val="20"/>
          <w:color w:val="auto"/>
        </w:rPr>
      </w:pPr>
    </w:p>
    <w:p>
      <w:pPr>
        <w:jc w:val="both"/>
        <w:ind w:left="1300" w:hanging="656"/>
        <w:spacing w:after="0" w:line="229" w:lineRule="auto"/>
        <w:tabs>
          <w:tab w:leader="none" w:pos="12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extent permitted by applicable law and ethical requirements, and except as set forth in subsection (c) below, each Party waives any provision of law (including the common law) that renders any provision of this Agreement or Release invalid, illegal, or unenforceable in any respect.</w:t>
      </w:r>
    </w:p>
    <w:p>
      <w:pPr>
        <w:spacing w:after="0" w:line="204" w:lineRule="exact"/>
        <w:rPr>
          <w:rFonts w:ascii="Arial" w:cs="Arial" w:eastAsia="Arial" w:hAnsi="Arial"/>
          <w:sz w:val="18"/>
          <w:szCs w:val="18"/>
          <w:color w:val="auto"/>
        </w:rPr>
      </w:pPr>
    </w:p>
    <w:p>
      <w:pPr>
        <w:jc w:val="both"/>
        <w:ind w:left="1300" w:hanging="656"/>
        <w:spacing w:after="0" w:line="224" w:lineRule="auto"/>
        <w:tabs>
          <w:tab w:leader="none" w:pos="12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any event, upon any determination that any term or other provision is invalid, illegal, or unenforceable, the Parties shall negotiate in good faith to modify this Agreement so as to effect the original intent of the Parties as closely as possible to the extent permitted by applicable law and ethical requirements.</w:t>
      </w:r>
    </w:p>
    <w:p>
      <w:pPr>
        <w:spacing w:after="0" w:line="203" w:lineRule="exact"/>
        <w:rPr>
          <w:rFonts w:ascii="Arial" w:cs="Arial" w:eastAsia="Arial" w:hAnsi="Arial"/>
          <w:sz w:val="18"/>
          <w:szCs w:val="18"/>
          <w:color w:val="auto"/>
        </w:rPr>
      </w:pPr>
    </w:p>
    <w:p>
      <w:pPr>
        <w:jc w:val="both"/>
        <w:ind w:left="1300" w:hanging="656"/>
        <w:spacing w:after="0" w:line="229" w:lineRule="auto"/>
        <w:tabs>
          <w:tab w:leader="none" w:pos="12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Settling Defendants’ Walk Away Right is a non-severable part of this Agreement. If the Walk Away Right is determined or held to be invalid, in whole or part, then the entire Agreement is invalid and terminated and any obligations, including those relating to payment, are extinguished.</w:t>
      </w:r>
    </w:p>
    <w:p>
      <w:pPr>
        <w:spacing w:after="0" w:line="20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9.10. Electronic Signatures. </w:t>
      </w:r>
      <w:r>
        <w:rPr>
          <w:rFonts w:ascii="Arial" w:cs="Arial" w:eastAsia="Arial" w:hAnsi="Arial"/>
          <w:sz w:val="18"/>
          <w:szCs w:val="18"/>
          <w:color w:val="auto"/>
        </w:rPr>
        <w:t>This Agreement and any amendments thereto, to the extent signed and delivered by means of a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machine or electronic scan (including in the form of an Adobe Acrobat PDF file format), shall be treated as an original agreement and shall be considered to have the same binding legal effect as if it were the original signed version delivered in person.</w:t>
      </w:r>
    </w:p>
    <w:p>
      <w:pPr>
        <w:spacing w:after="0" w:line="198"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any number of counterparts, each of which shall be an original and all of which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shall together constitute the same instrument. It shall not be necessary for any counterpart to bear the signature of all Parties. Counsel for any Party shall be authorized to assemble a composite counterpart which shall consist of one copy of each page, except the signature pages, together with multiple counterpart signature pages executed on behalf of every party to this Agreement. The composite counterpart may then be used by any Party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all purposes as the complete and executed Agreement.</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 xml:space="preserve">9.12. Good Faith Negotiations. </w:t>
      </w:r>
      <w:r>
        <w:rPr>
          <w:rFonts w:ascii="Arial" w:cs="Arial" w:eastAsia="Arial" w:hAnsi="Arial"/>
          <w:sz w:val="16"/>
          <w:szCs w:val="16"/>
          <w:color w:val="auto"/>
        </w:rPr>
        <w:t>The Parties each acknowledge that the negotiations leading up to this Agreement were conducted</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and at arm’s length; this Agreement is made and executed by each Party’s own free will; and no Party has been improperly influenced or induced to enter this Agreement as a result of any act or action on the part of any other Party or employee, agent, attorney or representative of any</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other Party. The Parties acknowledge that they entered into this Agreement to compromise permanently and settle the claims of any Settling Claimant, on the one hand, against Settling Defendants and/or Released Parties on the other hand, settled by the execution of this Agreement and the Settling Claimants’ individual Release.</w:t>
      </w:r>
    </w:p>
    <w:p>
      <w:pPr>
        <w:spacing w:after="0" w:line="19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b w:val="1"/>
          <w:bCs w:val="1"/>
          <w:color w:val="auto"/>
        </w:rPr>
        <w:t xml:space="preserve">Construction. </w:t>
      </w:r>
      <w:r>
        <w:rPr>
          <w:rFonts w:ascii="Arial" w:cs="Arial" w:eastAsia="Arial" w:hAnsi="Arial"/>
          <w:sz w:val="16"/>
          <w:szCs w:val="16"/>
          <w:color w:val="auto"/>
        </w:rPr>
        <w:t>The Parties understand and agree that each term and condition of this Agreement has been mutually negotiated,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prepared, and drafted, and if at any time the Parties are required to interpret or construe any term or condition, no consideration shall be given to the issue of which Party actually prepared, drafted, or requested any term or condition.</w:t>
      </w:r>
    </w:p>
    <w:p>
      <w:pPr>
        <w:spacing w:after="0" w:line="2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 xml:space="preserve">9.14. Headings; References. </w:t>
      </w:r>
      <w:r>
        <w:rPr>
          <w:rFonts w:ascii="Arial" w:cs="Arial" w:eastAsia="Arial" w:hAnsi="Arial"/>
          <w:sz w:val="16"/>
          <w:szCs w:val="16"/>
          <w:color w:val="auto"/>
        </w:rPr>
        <w:t>The headings of the Table of Contents, Sections, and/or sub-sections of this Agreement are for convenience</w:t>
      </w:r>
      <w:r>
        <w:rPr>
          <w:rFonts w:ascii="Arial" w:cs="Arial" w:eastAsia="Arial" w:hAnsi="Arial"/>
          <w:sz w:val="16"/>
          <w:szCs w:val="16"/>
          <w:b w:val="1"/>
          <w:bCs w:val="1"/>
          <w:color w:val="auto"/>
        </w:rPr>
        <w:t xml:space="preserve"> </w:t>
      </w:r>
      <w:r>
        <w:rPr>
          <w:rFonts w:ascii="Arial" w:cs="Arial" w:eastAsia="Arial" w:hAnsi="Arial"/>
          <w:sz w:val="16"/>
          <w:szCs w:val="16"/>
          <w:color w:val="auto"/>
        </w:rPr>
        <w:t>only and are not intended to be a part of or to affect the meaning or interpretation of this Agreement. The words “include” and “including” and words of similar import when used in this Agreement or any Exhibit are not limiting and shall be construed to be followed by the words “but not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limited to,” whether or not they are in fact followed by those words. The definitions in this Agreement or any Exhibit apply to the singular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20"/>
          </w:cols>
          <w:pgMar w:left="440" w:top="1440" w:right="739" w:bottom="1440" w:gutter="0" w:footer="0" w:header="0"/>
        </w:sectPr>
      </w:pPr>
    </w:p>
    <w:bookmarkStart w:id="59" w:name="page60"/>
    <w:bookmarkEnd w:id="59"/>
    <w:p>
      <w:pPr>
        <w:jc w:val="both"/>
        <w:spacing w:after="0" w:line="238" w:lineRule="auto"/>
        <w:rPr>
          <w:sz w:val="20"/>
          <w:szCs w:val="20"/>
          <w:color w:val="auto"/>
        </w:rPr>
      </w:pPr>
      <w:r>
        <w:rPr>
          <w:rFonts w:ascii="Arial" w:cs="Arial" w:eastAsia="Arial" w:hAnsi="Arial"/>
          <w:sz w:val="16"/>
          <w:szCs w:val="16"/>
          <w:color w:val="auto"/>
        </w:rPr>
        <w:t>well as the plural forms of such terms. Words of any gender (masculine, feminine, neuter) mean and include correlative words of the other genders. As used herein or in any Exhibit, the symbol “$” shall mean United States dollars. References to instruments or documents being delivered or submitted “by” any Person include (whether or not so specified) delivery or submission on behalf of such Person by his counsel whether or not so specified, provided that if any particular instrument or document must be executed by a particular Person, it must (unless otherwise expressly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specified herein) be executed by that Person. References to any particular Section shall be deemed to refer to any and all sub-sections of that Section and any and all sub-sub-Sections of those sub-Sections, and so on.</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9.15. Third Party Beneficiaries; Assignment. </w:t>
      </w:r>
      <w:r>
        <w:rPr>
          <w:rFonts w:ascii="Arial" w:cs="Arial" w:eastAsia="Arial" w:hAnsi="Arial"/>
          <w:sz w:val="16"/>
          <w:szCs w:val="16"/>
          <w:color w:val="auto"/>
        </w:rPr>
        <w:t>Except for Settling Claimants and the Released Parties and their respective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assigns, no provision of this Agreement is intended to create any third-party beneficiary to this Agreement. With the exception of the Sterigenics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US, solely as funder of the Escrow Account, and Sotera Health Company, solely as guarantor of Sterigenics US’s Escrow Account funding obligation, and notwithstanding any other provision herein, none of the Released Parties has any obligation to the Settling Claimants, financial or otherwise, under this Agreement or otherwise as a result of or in consideration for the Settling Claimants opting into the settlement or for releasing</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and covenanting not to sue the Released Parties. This Agreement shall be binding upon and inure to the benefit of the Parties hereto and the Released Parties and their respective successors and permitted assigns; provided, however, that neither this Agreement nor any of the rights, interests, or obligations hereunder may be assigned by the Settling Claimants or Plaintiffs’ Counsel without the prior written consent of Settling</w:t>
      </w:r>
    </w:p>
    <w:p>
      <w:pPr>
        <w:jc w:val="both"/>
        <w:spacing w:after="0" w:line="231" w:lineRule="auto"/>
        <w:rPr>
          <w:sz w:val="20"/>
          <w:szCs w:val="20"/>
          <w:color w:val="auto"/>
        </w:rPr>
      </w:pPr>
      <w:r>
        <w:rPr>
          <w:rFonts w:ascii="Arial" w:cs="Arial" w:eastAsia="Arial" w:hAnsi="Arial"/>
          <w:sz w:val="17"/>
          <w:szCs w:val="17"/>
          <w:color w:val="auto"/>
        </w:rPr>
        <w:t xml:space="preserve">Defendants. No right in a Claim or right to release a Claim may be assigned by any Settling Claimant after the Execution Date without the prior written consent of Settling Defendants. Any assignment in violation of this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Any Party shall have the right to seek to avoid the effect of any such assignment made in violation of this section in proceedings before an appropriate court.</w:t>
      </w:r>
    </w:p>
    <w:p>
      <w:pPr>
        <w:spacing w:after="0" w:line="19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color w:val="auto"/>
        </w:rPr>
        <w:t xml:space="preserve">Amendments. </w:t>
      </w:r>
      <w:r>
        <w:rPr>
          <w:rFonts w:ascii="Arial" w:cs="Arial" w:eastAsia="Arial" w:hAnsi="Arial"/>
          <w:sz w:val="16"/>
          <w:szCs w:val="16"/>
          <w:color w:val="auto"/>
        </w:rPr>
        <w:t>This Agreement may be amended by (and only by) a written instrument signed by the Parties.</w:t>
      </w:r>
    </w:p>
    <w:p>
      <w:pPr>
        <w:spacing w:after="0" w:line="22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6"/>
          <w:szCs w:val="16"/>
          <w:b w:val="1"/>
          <w:bCs w:val="1"/>
          <w:color w:val="auto"/>
        </w:rPr>
        <w:t xml:space="preserve">Further Assurances. </w:t>
      </w:r>
      <w:r>
        <w:rPr>
          <w:rFonts w:ascii="Arial" w:cs="Arial" w:eastAsia="Arial" w:hAnsi="Arial"/>
          <w:sz w:val="16"/>
          <w:szCs w:val="16"/>
          <w:color w:val="auto"/>
        </w:rPr>
        <w:t>The Parties shall take such reasonable actions consistent with the terms of this Agreement as may reasonably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 requested by the other Party, and otherwise reasonably cooperate with the other Party in a manner consistent with the terms of this Agreement, as may be reasonably necessary to effectuate the intent, terms, and purposes of this Agreement.</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b w:val="1"/>
          <w:bCs w:val="1"/>
          <w:color w:val="auto"/>
        </w:rPr>
        <w:t xml:space="preserve">9.18. Privileges Retained. </w:t>
      </w:r>
      <w:r>
        <w:rPr>
          <w:rFonts w:ascii="Arial" w:cs="Arial" w:eastAsia="Arial" w:hAnsi="Arial"/>
          <w:sz w:val="17"/>
          <w:szCs w:val="17"/>
          <w:color w:val="auto"/>
        </w:rPr>
        <w:t>Nothing in this Agreement, or the negotiations or proceedings relating to it, is intended to be, nor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constitute, a waiver of any applicable privileges or immunities, including (without limitation) the attorney-client privilege, the joint-</w:t>
      </w:r>
    </w:p>
    <w:p>
      <w:pPr>
        <w:spacing w:after="0"/>
        <w:rPr>
          <w:sz w:val="20"/>
          <w:szCs w:val="20"/>
          <w:color w:val="auto"/>
        </w:rPr>
      </w:pPr>
      <w:r>
        <w:rPr>
          <w:rFonts w:ascii="Arial" w:cs="Arial" w:eastAsia="Arial" w:hAnsi="Arial"/>
          <w:sz w:val="18"/>
          <w:szCs w:val="18"/>
          <w:color w:val="auto"/>
        </w:rPr>
        <w:t>defense privilege, the common interest privilege, and any attorney work product protections or immunities.</w:t>
      </w:r>
    </w:p>
    <w:p>
      <w:pPr>
        <w:spacing w:after="0" w:line="25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9.19.</w:t>
      </w:r>
      <w:r>
        <w:rPr>
          <w:sz w:val="20"/>
          <w:szCs w:val="20"/>
          <w:color w:val="auto"/>
        </w:rPr>
        <w:tab/>
      </w:r>
      <w:r>
        <w:rPr>
          <w:rFonts w:ascii="Arial" w:cs="Arial" w:eastAsia="Arial" w:hAnsi="Arial"/>
          <w:sz w:val="16"/>
          <w:szCs w:val="16"/>
          <w:b w:val="1"/>
          <w:bCs w:val="1"/>
          <w:color w:val="auto"/>
        </w:rPr>
        <w:t xml:space="preserve">Construction. </w:t>
      </w:r>
      <w:r>
        <w:rPr>
          <w:rFonts w:ascii="Arial" w:cs="Arial" w:eastAsia="Arial" w:hAnsi="Arial"/>
          <w:sz w:val="16"/>
          <w:szCs w:val="16"/>
          <w:color w:val="auto"/>
        </w:rPr>
        <w:t>In the event any court, arbitrator, or other adjudicative body of competent jurisdiction is called upon to interpret this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Agreement, the language of this Agreement shall be construed as a whole, according to its fair meaning and intent, and not strictly for or against any Party, regardless of which Party drafted or was principally responsible for drafting the Agreement or any specific term or condition hereof. No Party may offer in evidence or otherwise use, for purposes of suggesting any interpretation of this Agreement, any prior drafts of this Agreement.</w:t>
      </w:r>
    </w:p>
    <w:p>
      <w:pPr>
        <w:spacing w:after="0" w:line="19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9.20.</w:t>
      </w:r>
      <w:r>
        <w:rPr>
          <w:sz w:val="20"/>
          <w:szCs w:val="20"/>
          <w:color w:val="auto"/>
        </w:rPr>
        <w:tab/>
      </w: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Agreement, including (without limitation) each Settling Claimant’s executed Release, contains the entire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agreement between Plaintiffs’ Counsel and Settling Claimants and Settling Defendants with respect to the subject matter hereof, and supersedes and cancels all previous agreements, negotiations, and commitments in writing between the Parties with respect to the subject matter hereof.</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 xml:space="preserve">9.21. Survival. </w:t>
      </w:r>
      <w:r>
        <w:rPr>
          <w:rFonts w:ascii="Arial" w:cs="Arial" w:eastAsia="Arial" w:hAnsi="Arial"/>
          <w:sz w:val="18"/>
          <w:szCs w:val="18"/>
          <w:color w:val="auto"/>
        </w:rPr>
        <w:t>Notwithstanding anything to the contrary in this Agreement, the obligations of the Parties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20"/>
          </w:cols>
          <w:pgMar w:left="440" w:top="1408" w:right="7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dates indicated below.</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SETTLING DEFENDANTS:</w:t>
      </w:r>
    </w:p>
    <w:p>
      <w:pPr>
        <w:spacing w:after="0" w:line="1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STERIGENICS U.S., LLC</w:t>
      </w:r>
    </w:p>
    <w:p>
      <w:pPr>
        <w:spacing w:after="0"/>
        <w:rPr>
          <w:sz w:val="20"/>
          <w:szCs w:val="20"/>
          <w:color w:val="auto"/>
        </w:rPr>
      </w:pPr>
      <w:r>
        <w:rPr>
          <w:rFonts w:ascii="Arial" w:cs="Arial" w:eastAsia="Arial" w:hAnsi="Arial"/>
          <w:sz w:val="18"/>
          <w:szCs w:val="18"/>
          <w:color w:val="auto"/>
        </w:rPr>
        <w:t>DATED: March 28, 2023</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15430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Matthew J. Klaben</w:t>
      </w:r>
    </w:p>
    <w:p>
      <w:pPr>
        <w:spacing w:after="0" w:line="7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 General</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Counsel and Secretary</w:t>
      </w: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SOTERA HEALTH LLC</w:t>
      </w:r>
    </w:p>
    <w:p>
      <w:pPr>
        <w:spacing w:after="0"/>
        <w:rPr>
          <w:sz w:val="20"/>
          <w:szCs w:val="20"/>
          <w:color w:val="auto"/>
        </w:rPr>
      </w:pPr>
      <w:r>
        <w:rPr>
          <w:rFonts w:ascii="Arial" w:cs="Arial" w:eastAsia="Arial" w:hAnsi="Arial"/>
          <w:sz w:val="18"/>
          <w:szCs w:val="18"/>
          <w:color w:val="auto"/>
        </w:rPr>
        <w:t>DATED: March 28, 2023</w:t>
      </w:r>
    </w:p>
    <w:p>
      <w:pPr>
        <w:spacing w:after="0" w:line="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1543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Matthew J. Klaben</w:t>
      </w:r>
    </w:p>
    <w:p>
      <w:pPr>
        <w:spacing w:after="0" w:line="7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 General</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Counsel and Secretary</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GUARANTOR, solely as to its obligations under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SOTERA HEALTH COMPANY</w:t>
      </w:r>
    </w:p>
    <w:p>
      <w:pPr>
        <w:spacing w:after="0"/>
        <w:rPr>
          <w:sz w:val="20"/>
          <w:szCs w:val="20"/>
          <w:color w:val="auto"/>
        </w:rPr>
      </w:pPr>
      <w:r>
        <w:rPr>
          <w:rFonts w:ascii="Arial" w:cs="Arial" w:eastAsia="Arial" w:hAnsi="Arial"/>
          <w:sz w:val="18"/>
          <w:szCs w:val="18"/>
          <w:color w:val="auto"/>
        </w:rPr>
        <w:t>DATED: March 28, 2023</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Alex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1543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Alex Dimitrief</w:t>
      </w:r>
    </w:p>
    <w:p>
      <w:pPr>
        <w:spacing w:after="0" w:line="7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 General</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Counsel and Secretary</w:t>
      </w: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PLAINTIFF'S COUNSEL, and on behalf of SETTLING CLAIMANTS</w:t>
      </w:r>
    </w:p>
    <w:p>
      <w:pPr>
        <w:spacing w:after="0" w:line="227" w:lineRule="exact"/>
        <w:rPr>
          <w:sz w:val="20"/>
          <w:szCs w:val="20"/>
          <w:color w:val="auto"/>
        </w:rPr>
      </w:pPr>
    </w:p>
    <w:p>
      <w:pPr>
        <w:ind w:left="5200"/>
        <w:spacing w:after="0" w:line="212" w:lineRule="auto"/>
        <w:rPr>
          <w:sz w:val="20"/>
          <w:szCs w:val="20"/>
          <w:color w:val="auto"/>
        </w:rPr>
      </w:pPr>
      <w:r>
        <w:rPr>
          <w:rFonts w:ascii="Arial" w:cs="Arial" w:eastAsia="Arial" w:hAnsi="Arial"/>
          <w:sz w:val="20"/>
          <w:szCs w:val="20"/>
          <w:color w:val="auto"/>
        </w:rPr>
        <w:t>ROMANUCCI &amp; BLANDIN, LLC, and on behalf of Heather and Michael Schumacher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DATED: March 28, 2023</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Antonio Romanucci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1543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Antonio Romanucci</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SMITH LACIEN, LLP, and on behalf of Doug and Teresa Fornek</w:t>
      </w:r>
    </w:p>
    <w:p>
      <w:pPr>
        <w:spacing w:after="0"/>
        <w:rPr>
          <w:sz w:val="20"/>
          <w:szCs w:val="20"/>
          <w:color w:val="auto"/>
        </w:rPr>
      </w:pPr>
      <w:r>
        <w:rPr>
          <w:rFonts w:ascii="Arial" w:cs="Arial" w:eastAsia="Arial" w:hAnsi="Arial"/>
          <w:sz w:val="20"/>
          <w:szCs w:val="20"/>
          <w:color w:val="auto"/>
        </w:rPr>
        <w:t>DATED: March 28, 2023</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Brian LaCien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1543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LaCien</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HART MCLAUGHLIN &amp; ELDRIDGE, LLC,</w:t>
      </w:r>
    </w:p>
    <w:p>
      <w:pPr>
        <w:ind w:left="5200"/>
        <w:spacing w:after="0" w:line="211" w:lineRule="auto"/>
        <w:rPr>
          <w:sz w:val="20"/>
          <w:szCs w:val="20"/>
          <w:color w:val="auto"/>
        </w:rPr>
      </w:pPr>
      <w:r>
        <w:rPr>
          <w:rFonts w:ascii="Arial" w:cs="Arial" w:eastAsia="Arial" w:hAnsi="Arial"/>
          <w:sz w:val="20"/>
          <w:szCs w:val="20"/>
          <w:color w:val="auto"/>
        </w:rPr>
        <w:t>and on behalf of Heather and Michael</w:t>
      </w:r>
    </w:p>
    <w:p>
      <w:pPr>
        <w:jc w:val="center"/>
        <w:ind w:right="-239"/>
        <w:spacing w:after="0" w:line="197" w:lineRule="auto"/>
        <w:rPr>
          <w:sz w:val="20"/>
          <w:szCs w:val="20"/>
          <w:color w:val="auto"/>
        </w:rPr>
      </w:pPr>
      <w:r>
        <w:rPr>
          <w:rFonts w:ascii="Arial" w:cs="Arial" w:eastAsia="Arial" w:hAnsi="Arial"/>
          <w:sz w:val="20"/>
          <w:szCs w:val="20"/>
          <w:color w:val="auto"/>
        </w:rPr>
        <w:t>Schumacher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DATED: March 28, 2023</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Steven A.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15430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Steven A. Hart</w:t>
      </w:r>
    </w:p>
    <w:p>
      <w:pPr>
        <w:spacing w:after="0" w:line="371" w:lineRule="exact"/>
        <w:rPr>
          <w:sz w:val="20"/>
          <w:szCs w:val="20"/>
          <w:color w:val="auto"/>
        </w:rPr>
      </w:pPr>
    </w:p>
    <w:p>
      <w:pPr>
        <w:ind w:left="5200" w:right="240"/>
        <w:spacing w:after="0" w:line="229" w:lineRule="auto"/>
        <w:rPr>
          <w:sz w:val="20"/>
          <w:szCs w:val="20"/>
          <w:color w:val="auto"/>
        </w:rPr>
      </w:pPr>
      <w:r>
        <w:rPr>
          <w:rFonts w:ascii="Arial" w:cs="Arial" w:eastAsia="Arial" w:hAnsi="Arial"/>
          <w:sz w:val="20"/>
          <w:szCs w:val="20"/>
          <w:color w:val="auto"/>
        </w:rPr>
        <w:t>SALVI, SCHOSTOK &amp; PRITCHARD P.C., and on behalf of Susan and Brian Kamuda</w:t>
      </w:r>
    </w:p>
    <w:p>
      <w:pPr>
        <w:spacing w:after="0" w:line="2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Patrick A. Salvi,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1543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Patrick A. Salvi, II</w:t>
      </w:r>
    </w:p>
    <w:p>
      <w:pPr>
        <w:spacing w:after="0" w:line="103"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 Settlement Agreement by and between</w:t>
      </w:r>
    </w:p>
    <w:p>
      <w:pPr>
        <w:ind w:left="3440"/>
        <w:spacing w:after="0"/>
        <w:rPr>
          <w:sz w:val="20"/>
          <w:szCs w:val="20"/>
          <w:color w:val="auto"/>
        </w:rPr>
      </w:pPr>
      <w:r>
        <w:rPr>
          <w:rFonts w:ascii="Arial" w:cs="Arial" w:eastAsia="Arial" w:hAnsi="Arial"/>
          <w:sz w:val="20"/>
          <w:szCs w:val="20"/>
          <w:i w:val="1"/>
          <w:iCs w:val="1"/>
          <w:color w:val="auto"/>
        </w:rPr>
        <w:t>Plaintiffs' Counsel, Sotera Health, and Sterigenics US</w:t>
      </w:r>
      <w:r>
        <w:rPr>
          <w:rFonts w:ascii="Arial" w:cs="Arial" w:eastAsia="Arial" w:hAnsi="Arial"/>
          <w:sz w:val="20"/>
          <w:szCs w:val="20"/>
          <w:color w:val="auto"/>
        </w:rPr>
        <w:t>]</w:t>
      </w:r>
    </w:p>
    <w:p>
      <w:pPr>
        <w:sectPr>
          <w:pgSz w:w="11900" w:h="16838" w:orient="portrait"/>
          <w:cols w:equalWidth="0" w:num="1">
            <w:col w:w="11120"/>
          </w:cols>
          <w:pgMar w:left="320" w:top="67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675" w:right="45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Executed Releases by all Settling Claimants</w:t>
      </w:r>
    </w:p>
    <w:p>
      <w:pPr>
        <w:sectPr>
          <w:pgSz w:w="11900" w:h="16838" w:orient="portrait"/>
          <w:cols w:equalWidth="0" w:num="1">
            <w:col w:w="9019"/>
          </w:cols>
          <w:pgMar w:left="1440" w:top="1395" w:right="1440" w:bottom="1440" w:gutter="0" w:footer="0" w:header="0"/>
        </w:sectPr>
      </w:pPr>
    </w:p>
    <w:bookmarkStart w:id="62" w:name="page63"/>
    <w:bookmarkEnd w:id="62"/>
    <w:p>
      <w:pPr>
        <w:jc w:val="center"/>
        <w:ind w:right="100"/>
        <w:spacing w:after="0"/>
        <w:rPr>
          <w:sz w:val="20"/>
          <w:szCs w:val="20"/>
          <w:color w:val="auto"/>
        </w:rPr>
      </w:pPr>
      <w:r>
        <w:rPr>
          <w:rFonts w:ascii="Arial" w:cs="Arial" w:eastAsia="Arial" w:hAnsi="Arial"/>
          <w:sz w:val="18"/>
          <w:szCs w:val="18"/>
          <w:b w:val="1"/>
          <w:bCs w:val="1"/>
          <w:u w:val="single" w:color="auto"/>
          <w:color w:val="auto"/>
        </w:rPr>
        <w:t>RELEASE AGREEMENT</w:t>
      </w:r>
    </w:p>
    <w:p>
      <w:pPr>
        <w:spacing w:after="0" w:line="229" w:lineRule="exact"/>
        <w:rPr>
          <w:sz w:val="20"/>
          <w:szCs w:val="20"/>
          <w:color w:val="auto"/>
        </w:rPr>
      </w:pPr>
    </w:p>
    <w:p>
      <w:pPr>
        <w:jc w:val="both"/>
        <w:ind w:right="140" w:firstLine="648"/>
        <w:spacing w:after="0" w:line="235" w:lineRule="auto"/>
        <w:rPr>
          <w:sz w:val="20"/>
          <w:szCs w:val="20"/>
          <w:color w:val="auto"/>
        </w:rPr>
      </w:pPr>
      <w:r>
        <w:rPr>
          <w:rFonts w:ascii="Arial" w:cs="Arial" w:eastAsia="Arial" w:hAnsi="Arial"/>
          <w:sz w:val="18"/>
          <w:szCs w:val="18"/>
          <w:color w:val="auto"/>
        </w:rPr>
        <w:t>This Release Agreement (the “</w:t>
      </w:r>
      <w:r>
        <w:rPr>
          <w:rFonts w:ascii="Arial" w:cs="Arial" w:eastAsia="Arial" w:hAnsi="Arial"/>
          <w:sz w:val="18"/>
          <w:szCs w:val="18"/>
          <w:u w:val="single" w:color="auto"/>
          <w:color w:val="auto"/>
        </w:rPr>
        <w:t>Release Agreement</w:t>
      </w:r>
      <w:r>
        <w:rPr>
          <w:rFonts w:ascii="Arial" w:cs="Arial" w:eastAsia="Arial" w:hAnsi="Arial"/>
          <w:sz w:val="18"/>
          <w:szCs w:val="18"/>
          <w:color w:val="auto"/>
        </w:rPr>
        <w:t>”) is made and entered into on the date signed below by Susan Kamuda (the “</w:t>
      </w:r>
      <w:r>
        <w:rPr>
          <w:rFonts w:ascii="Arial" w:cs="Arial" w:eastAsia="Arial" w:hAnsi="Arial"/>
          <w:sz w:val="18"/>
          <w:szCs w:val="18"/>
          <w:u w:val="single" w:color="auto"/>
          <w:color w:val="auto"/>
        </w:rPr>
        <w:t>Releasor</w:t>
      </w:r>
      <w:r>
        <w:rPr>
          <w:rFonts w:ascii="Arial" w:cs="Arial" w:eastAsia="Arial" w:hAnsi="Arial"/>
          <w:sz w:val="18"/>
          <w:szCs w:val="18"/>
          <w:color w:val="auto"/>
        </w:rPr>
        <w:t>”) and takes effect on the Effective Date (as defined herein).</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16"/>
          <w:szCs w:val="16"/>
          <w:color w:val="auto"/>
        </w:rPr>
        <w:t>WHEREAS, on March 28, 2023, Sotera Health LLC and Sterigenics U.S., LLC (“</w:t>
      </w:r>
      <w:r>
        <w:rPr>
          <w:rFonts w:ascii="Arial" w:cs="Arial" w:eastAsia="Arial" w:hAnsi="Arial"/>
          <w:sz w:val="16"/>
          <w:szCs w:val="16"/>
          <w:u w:val="single" w:color="auto"/>
          <w:color w:val="auto"/>
        </w:rPr>
        <w:t>Settling Defendants</w:t>
      </w:r>
      <w:r>
        <w:rPr>
          <w:rFonts w:ascii="Arial" w:cs="Arial" w:eastAsia="Arial" w:hAnsi="Arial"/>
          <w:sz w:val="16"/>
          <w:szCs w:val="16"/>
          <w:color w:val="auto"/>
        </w:rPr>
        <w:t>”) and counsel for Releasor (“</w:t>
      </w:r>
      <w:r>
        <w:rPr>
          <w:rFonts w:ascii="Arial" w:cs="Arial" w:eastAsia="Arial" w:hAnsi="Arial"/>
          <w:sz w:val="16"/>
          <w:szCs w:val="16"/>
          <w:u w:val="single" w:color="auto"/>
          <w:color w:val="auto"/>
        </w:rPr>
        <w:t>Releasor’s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Counsel</w:t>
      </w:r>
      <w:r>
        <w:rPr>
          <w:rFonts w:ascii="Arial" w:cs="Arial" w:eastAsia="Arial" w:hAnsi="Arial"/>
          <w:sz w:val="16"/>
          <w:szCs w:val="16"/>
          <w:color w:val="auto"/>
        </w:rPr>
        <w:t>”) entered into a binding agreement to provide for the full and final resolution (the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of the Releasor’s Covered Claims</w:t>
      </w:r>
    </w:p>
    <w:p>
      <w:pPr>
        <w:jc w:val="both"/>
        <w:ind w:right="140"/>
        <w:spacing w:after="0" w:line="218" w:lineRule="auto"/>
        <w:rPr>
          <w:sz w:val="20"/>
          <w:szCs w:val="20"/>
          <w:color w:val="auto"/>
        </w:rPr>
      </w:pPr>
      <w:r>
        <w:rPr>
          <w:rFonts w:ascii="Arial" w:cs="Arial" w:eastAsia="Arial" w:hAnsi="Arial"/>
          <w:sz w:val="18"/>
          <w:szCs w:val="18"/>
          <w:color w:val="auto"/>
        </w:rPr>
        <w:t>(as defined herein), including claims that have been, could have been, or may be asserted against Settling Defendants or others for injury arising from, relating to, or in connection with the use and/or emission of ethylene oxide by and/or from Sterigenics U.S., LLC’s or any other Released Party’s (as defined herein) operations in or around Willowbrook, Illinois;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Settling Defendants deny any and all liability with respect to the Covered Claims, and deny any liability to Releasor;</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WHEREAS, in return for good and valuable consideration, which shall be ********* (the “Settlement Amount”), which shall be deposited into a qualified settlement fund to be formed under Section 468B of the Internal Revenue Code and its regulations (the “</w:t>
      </w:r>
      <w:r>
        <w:rPr>
          <w:rFonts w:ascii="Arial" w:cs="Arial" w:eastAsia="Arial" w:hAnsi="Arial"/>
          <w:sz w:val="16"/>
          <w:szCs w:val="16"/>
          <w:u w:val="single" w:color="auto"/>
          <w:color w:val="auto"/>
        </w:rPr>
        <w:t>QSF</w:t>
      </w:r>
      <w:r>
        <w:rPr>
          <w:rFonts w:ascii="Arial" w:cs="Arial" w:eastAsia="Arial" w:hAnsi="Arial"/>
          <w:sz w:val="16"/>
          <w:szCs w:val="16"/>
          <w:color w:val="auto"/>
        </w:rPr>
        <w:t>”), Releasor agrees through this</w:t>
      </w:r>
    </w:p>
    <w:p>
      <w:pPr>
        <w:spacing w:after="0"/>
        <w:rPr>
          <w:sz w:val="20"/>
          <w:szCs w:val="20"/>
          <w:color w:val="auto"/>
        </w:rPr>
      </w:pPr>
      <w:r>
        <w:rPr>
          <w:rFonts w:ascii="Arial" w:cs="Arial" w:eastAsia="Arial" w:hAnsi="Arial"/>
          <w:sz w:val="18"/>
          <w:szCs w:val="18"/>
          <w:color w:val="auto"/>
        </w:rPr>
        <w:t>Release Agreement to release, settle, and discharge any and all Covered Claims against the Released Parties; and</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this Release Agreement is conditioned on the performance and fulfillment of conditions set forth in the Settlement Agreement.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in consideration of the promises and mutual covenants contained herein, Releasor agrees as follows:</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right="120" w:firstLine="643"/>
        <w:spacing w:after="0" w:line="237" w:lineRule="auto"/>
        <w:tabs>
          <w:tab w:leader="none" w:pos="1188"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Releasor. </w:t>
      </w:r>
      <w:r>
        <w:rPr>
          <w:rFonts w:ascii="Arial" w:cs="Arial" w:eastAsia="Arial" w:hAnsi="Arial"/>
          <w:sz w:val="18"/>
          <w:szCs w:val="18"/>
          <w:color w:val="auto"/>
        </w:rPr>
        <w:t>References to Releasor include Releasor’s heirs, beneficiaries, next of kin, executors, administrators, successors,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or entity claiming by, through, under, or on their behalf.</w:t>
      </w:r>
    </w:p>
    <w:p>
      <w:pPr>
        <w:spacing w:after="0" w:line="198" w:lineRule="exact"/>
        <w:rPr>
          <w:rFonts w:ascii="Arial" w:cs="Arial" w:eastAsia="Arial" w:hAnsi="Arial"/>
          <w:sz w:val="18"/>
          <w:szCs w:val="18"/>
          <w:color w:val="auto"/>
        </w:rPr>
      </w:pPr>
    </w:p>
    <w:p>
      <w:pPr>
        <w:ind w:right="140" w:firstLine="644"/>
        <w:spacing w:after="0" w:line="250" w:lineRule="auto"/>
        <w:tabs>
          <w:tab w:leader="none" w:pos="1188"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Releasor’s Counsel</w:t>
      </w:r>
      <w:r>
        <w:rPr>
          <w:rFonts w:ascii="Arial" w:cs="Arial" w:eastAsia="Arial" w:hAnsi="Arial"/>
          <w:sz w:val="18"/>
          <w:szCs w:val="18"/>
          <w:color w:val="auto"/>
        </w:rPr>
        <w:t>. “</w:t>
      </w:r>
      <w:r>
        <w:rPr>
          <w:rFonts w:ascii="Arial" w:cs="Arial" w:eastAsia="Arial" w:hAnsi="Arial"/>
          <w:sz w:val="18"/>
          <w:szCs w:val="18"/>
          <w:u w:val="single" w:color="auto"/>
          <w:color w:val="auto"/>
        </w:rPr>
        <w:t>Releasor’s Counsel</w:t>
      </w:r>
      <w:r>
        <w:rPr>
          <w:rFonts w:ascii="Arial" w:cs="Arial" w:eastAsia="Arial" w:hAnsi="Arial"/>
          <w:sz w:val="18"/>
          <w:szCs w:val="18"/>
          <w:color w:val="auto"/>
        </w:rPr>
        <w:t>” means the lawyer(s) and law firm representing Releasor in any pending Covered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against any Released Parties.</w:t>
      </w:r>
    </w:p>
    <w:p>
      <w:pPr>
        <w:spacing w:after="0" w:line="189" w:lineRule="exact"/>
        <w:rPr>
          <w:rFonts w:ascii="Arial" w:cs="Arial" w:eastAsia="Arial" w:hAnsi="Arial"/>
          <w:sz w:val="18"/>
          <w:szCs w:val="18"/>
          <w:color w:val="auto"/>
        </w:rPr>
      </w:pPr>
    </w:p>
    <w:p>
      <w:pPr>
        <w:ind w:left="1300" w:hanging="657"/>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Released Parties.</w:t>
      </w:r>
    </w:p>
    <w:p>
      <w:pPr>
        <w:spacing w:after="0" w:line="229" w:lineRule="exact"/>
        <w:rPr>
          <w:rFonts w:ascii="Arial" w:cs="Arial" w:eastAsia="Arial" w:hAnsi="Arial"/>
          <w:sz w:val="18"/>
          <w:szCs w:val="18"/>
          <w:color w:val="auto"/>
        </w:rPr>
      </w:pPr>
    </w:p>
    <w:p>
      <w:pPr>
        <w:ind w:left="1280" w:hanging="636"/>
        <w:spacing w:after="0"/>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Party</w:t>
      </w:r>
      <w:r>
        <w:rPr>
          <w:rFonts w:ascii="Arial" w:cs="Arial" w:eastAsia="Arial" w:hAnsi="Arial"/>
          <w:sz w:val="18"/>
          <w:szCs w:val="18"/>
          <w:color w:val="auto"/>
        </w:rPr>
        <w:t>” or “</w:t>
      </w:r>
      <w:r>
        <w:rPr>
          <w:rFonts w:ascii="Arial" w:cs="Arial" w:eastAsia="Arial" w:hAnsi="Arial"/>
          <w:sz w:val="18"/>
          <w:szCs w:val="18"/>
          <w:u w:val="single" w:color="auto"/>
          <w:color w:val="auto"/>
        </w:rPr>
        <w:t>Released Parties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620" w:right="860" w:hanging="443"/>
        <w:spacing w:after="0" w:line="235" w:lineRule="auto"/>
        <w:tabs>
          <w:tab w:leader="none" w:pos="1613" w:val="left"/>
        </w:tabs>
        <w:numPr>
          <w:ilvl w:val="3"/>
          <w:numId w:val="51"/>
        </w:numPr>
        <w:rPr>
          <w:rFonts w:ascii="Arial" w:cs="Arial" w:eastAsia="Arial" w:hAnsi="Arial"/>
          <w:sz w:val="18"/>
          <w:szCs w:val="18"/>
          <w:color w:val="auto"/>
        </w:rPr>
      </w:pPr>
      <w:r>
        <w:rPr>
          <w:rFonts w:ascii="Arial" w:cs="Arial" w:eastAsia="Arial" w:hAnsi="Arial"/>
          <w:sz w:val="18"/>
          <w:szCs w:val="18"/>
          <w:color w:val="auto"/>
        </w:rPr>
        <w:t>Sotera Health Company; Sotera Health Holdings, LLC; Sotera Health LLC; Sotera Health Topco Parent, LP; and Sotera Health GP, LLC;</w:t>
      </w:r>
    </w:p>
    <w:p>
      <w:pPr>
        <w:spacing w:after="0" w:line="202" w:lineRule="exact"/>
        <w:rPr>
          <w:rFonts w:ascii="Arial" w:cs="Arial" w:eastAsia="Arial" w:hAnsi="Arial"/>
          <w:sz w:val="18"/>
          <w:szCs w:val="18"/>
          <w:color w:val="auto"/>
        </w:rPr>
      </w:pPr>
    </w:p>
    <w:p>
      <w:pPr>
        <w:ind w:left="1620" w:hanging="502"/>
        <w:spacing w:after="0"/>
        <w:tabs>
          <w:tab w:leader="none" w:pos="1620" w:val="left"/>
        </w:tabs>
        <w:numPr>
          <w:ilvl w:val="3"/>
          <w:numId w:val="51"/>
        </w:numPr>
        <w:rPr>
          <w:rFonts w:ascii="Arial" w:cs="Arial" w:eastAsia="Arial" w:hAnsi="Arial"/>
          <w:sz w:val="18"/>
          <w:szCs w:val="18"/>
          <w:color w:val="auto"/>
        </w:rPr>
      </w:pPr>
      <w:r>
        <w:rPr>
          <w:rFonts w:ascii="Arial" w:cs="Arial" w:eastAsia="Arial" w:hAnsi="Arial"/>
          <w:sz w:val="18"/>
          <w:szCs w:val="18"/>
          <w:color w:val="auto"/>
        </w:rPr>
        <w:t>Sterigenics U.S., LLC;</w:t>
      </w:r>
    </w:p>
    <w:p>
      <w:pPr>
        <w:spacing w:after="0" w:line="225" w:lineRule="exact"/>
        <w:rPr>
          <w:rFonts w:ascii="Arial" w:cs="Arial" w:eastAsia="Arial" w:hAnsi="Arial"/>
          <w:sz w:val="18"/>
          <w:szCs w:val="18"/>
          <w:color w:val="auto"/>
        </w:rPr>
      </w:pPr>
    </w:p>
    <w:p>
      <w:pPr>
        <w:ind w:left="1620" w:right="180" w:hanging="563"/>
        <w:spacing w:after="0" w:line="242" w:lineRule="auto"/>
        <w:tabs>
          <w:tab w:leader="none" w:pos="1607" w:val="left"/>
        </w:tabs>
        <w:numPr>
          <w:ilvl w:val="2"/>
          <w:numId w:val="51"/>
        </w:numPr>
        <w:rPr>
          <w:rFonts w:ascii="Arial" w:cs="Arial" w:eastAsia="Arial" w:hAnsi="Arial"/>
          <w:sz w:val="16"/>
          <w:szCs w:val="16"/>
          <w:color w:val="auto"/>
        </w:rPr>
      </w:pPr>
      <w:r>
        <w:rPr>
          <w:rFonts w:ascii="Arial" w:cs="Arial" w:eastAsia="Arial" w:hAnsi="Arial"/>
          <w:sz w:val="16"/>
          <w:szCs w:val="16"/>
          <w:color w:val="auto"/>
        </w:rPr>
        <w:t>Warburg Pincus LLC and all funds, general partners and management companies associated with or managed by Warburg Pincus LLC or its affiliates, including without limitation Warburg Pincus Private Equity XI, LP; Warburg Pincus Private Equity XI-B, LP; Warburg Pincus Private Equity XI- C, LP; Warburg Pincus XI Partners, LP; WP XI Partners, LP; Warburg Pincus XI, LP; WP 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members, officers, directors, partners, and limited partners;</w:t>
      </w:r>
    </w:p>
    <w:p>
      <w:pPr>
        <w:spacing w:after="0" w:line="203" w:lineRule="exact"/>
        <w:rPr>
          <w:sz w:val="20"/>
          <w:szCs w:val="20"/>
          <w:color w:val="auto"/>
        </w:rPr>
      </w:pPr>
    </w:p>
    <w:p>
      <w:pPr>
        <w:ind w:left="1620" w:right="640" w:hanging="551"/>
        <w:spacing w:after="0" w:line="232" w:lineRule="auto"/>
        <w:tabs>
          <w:tab w:leader="none" w:pos="1597" w:val="left"/>
        </w:tabs>
        <w:numPr>
          <w:ilvl w:val="0"/>
          <w:numId w:val="52"/>
        </w:numPr>
        <w:rPr>
          <w:rFonts w:ascii="Arial" w:cs="Arial" w:eastAsia="Arial" w:hAnsi="Arial"/>
          <w:sz w:val="17"/>
          <w:szCs w:val="17"/>
          <w:color w:val="auto"/>
        </w:rPr>
      </w:pPr>
      <w:r>
        <w:rPr>
          <w:rFonts w:ascii="Arial" w:cs="Arial" w:eastAsia="Arial" w:hAnsi="Arial"/>
          <w:sz w:val="17"/>
          <w:szCs w:val="17"/>
          <w:color w:val="auto"/>
        </w:rPr>
        <w:t>GTCR LLC; GTCR L.L.C.; and GTCR Golder Rauner II, L.L.C.; all funds associated with GTCR LLC, GTCR L.L.C., and GTCR Golder Rauner II, L.L.C., including without limitation GTCR Fund IX/A, L.P.; GTCR Fund IX/B, L.P.; GTCR Co-Invest III, L.P.; GTCR Fund XI/A LP; GTCR Fund XI/CLP; GTCR Partners XI/A&amp;C LP; GTCR Co-Invest XI LP; GTCR Investment XI LLC; GTCR Fund XI/A VCOC; GTCR Fund XI/C VCOC; and the respective affiliates, managers, limited partners, and members of (i) GTCR LLC, GTCR L.L.C., and GTCR Golder Rauner II, L.L.C.; and (ii) the funds associated with GTCR LLC, GTCR L.L.C., and GTCR Golder Rauner II, LLC;</w:t>
      </w:r>
    </w:p>
    <w:p>
      <w:pPr>
        <w:sectPr>
          <w:pgSz w:w="11900" w:h="16838" w:orient="portrait"/>
          <w:cols w:equalWidth="0" w:num="1">
            <w:col w:w="11120"/>
          </w:cols>
          <w:pgMar w:left="440" w:top="1066" w:right="339" w:bottom="1440" w:gutter="0" w:footer="0" w:header="0"/>
        </w:sectPr>
      </w:pPr>
    </w:p>
    <w:bookmarkStart w:id="63" w:name="page64"/>
    <w:bookmarkEnd w:id="63"/>
    <w:p>
      <w:pPr>
        <w:ind w:left="1600" w:right="160" w:hanging="490"/>
        <w:spacing w:after="0" w:line="254" w:lineRule="auto"/>
        <w:tabs>
          <w:tab w:leader="none" w:pos="1588" w:val="left"/>
        </w:tabs>
        <w:numPr>
          <w:ilvl w:val="3"/>
          <w:numId w:val="53"/>
        </w:numPr>
        <w:rPr>
          <w:rFonts w:ascii="Arial" w:cs="Arial" w:eastAsia="Arial" w:hAnsi="Arial"/>
          <w:sz w:val="16"/>
          <w:szCs w:val="16"/>
          <w:color w:val="auto"/>
        </w:rPr>
      </w:pPr>
      <w:r>
        <w:rPr>
          <w:rFonts w:ascii="Arial" w:cs="Arial" w:eastAsia="Arial" w:hAnsi="Arial"/>
          <w:sz w:val="16"/>
          <w:szCs w:val="16"/>
          <w:color w:val="auto"/>
        </w:rPr>
        <w:t>all of the foregoing entities’ affiliates, predecessors, successors, direct or indirect parents, direct or indirect subsidiaries, assigns, as well as any current, former, direct or indirect partners, managers, members, shareholders, employees, directors, officers, management companies, incorporators, investors, landlords, tenants, suppliers, service providers, customers, consultants, attorneys, agents, declarants, affiants, or other representatives, including (without limitation) *** and</w:t>
      </w:r>
    </w:p>
    <w:p>
      <w:pPr>
        <w:spacing w:after="0" w:line="274" w:lineRule="exact"/>
        <w:rPr>
          <w:rFonts w:ascii="Arial" w:cs="Arial" w:eastAsia="Arial" w:hAnsi="Arial"/>
          <w:sz w:val="16"/>
          <w:szCs w:val="16"/>
          <w:color w:val="auto"/>
        </w:rPr>
      </w:pPr>
    </w:p>
    <w:p>
      <w:pPr>
        <w:ind w:left="1600" w:right="700" w:hanging="551"/>
        <w:spacing w:after="0" w:line="235" w:lineRule="auto"/>
        <w:tabs>
          <w:tab w:leader="none" w:pos="1589" w:val="left"/>
        </w:tabs>
        <w:numPr>
          <w:ilvl w:val="3"/>
          <w:numId w:val="53"/>
        </w:numPr>
        <w:rPr>
          <w:rFonts w:ascii="Arial" w:cs="Arial" w:eastAsia="Arial" w:hAnsi="Arial"/>
          <w:sz w:val="18"/>
          <w:szCs w:val="18"/>
          <w:color w:val="auto"/>
        </w:rPr>
      </w:pPr>
      <w:r>
        <w:rPr>
          <w:rFonts w:ascii="Arial" w:cs="Arial" w:eastAsia="Arial" w:hAnsi="Arial"/>
          <w:sz w:val="18"/>
          <w:szCs w:val="18"/>
          <w:color w:val="auto"/>
        </w:rPr>
        <w:t>The Released Parties’ insurers, including (without limitation) Steadfast Insurance Company/Zurich Insurance Group and National Union/AIG.</w:t>
      </w:r>
    </w:p>
    <w:p>
      <w:pPr>
        <w:spacing w:after="0" w:line="202" w:lineRule="exact"/>
        <w:rPr>
          <w:rFonts w:ascii="Arial" w:cs="Arial" w:eastAsia="Arial" w:hAnsi="Arial"/>
          <w:sz w:val="18"/>
          <w:szCs w:val="18"/>
          <w:color w:val="auto"/>
        </w:rPr>
      </w:pPr>
    </w:p>
    <w:p>
      <w:pPr>
        <w:ind w:left="1260" w:hanging="636"/>
        <w:spacing w:after="0"/>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Released Parties are intended third-party beneficiaries of this Release Agreement.</w:t>
      </w:r>
    </w:p>
    <w:p>
      <w:pPr>
        <w:spacing w:after="0" w:line="221" w:lineRule="exact"/>
        <w:rPr>
          <w:rFonts w:ascii="Arial" w:cs="Arial" w:eastAsia="Arial" w:hAnsi="Arial"/>
          <w:sz w:val="18"/>
          <w:szCs w:val="18"/>
          <w:color w:val="auto"/>
        </w:rPr>
      </w:pPr>
    </w:p>
    <w:p>
      <w:pPr>
        <w:ind w:left="1160" w:hanging="563"/>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Covered Claims</w:t>
      </w:r>
      <w:r>
        <w:rPr>
          <w:rFonts w:ascii="Arial" w:cs="Arial" w:eastAsia="Arial" w:hAnsi="Arial"/>
          <w:sz w:val="18"/>
          <w:szCs w:val="18"/>
          <w:color w:val="auto"/>
        </w:rPr>
        <w:t>. “</w:t>
      </w:r>
      <w:r>
        <w:rPr>
          <w:rFonts w:ascii="Arial" w:cs="Arial" w:eastAsia="Arial" w:hAnsi="Arial"/>
          <w:sz w:val="18"/>
          <w:szCs w:val="18"/>
          <w:u w:val="single" w:color="auto"/>
          <w:color w:val="auto"/>
        </w:rPr>
        <w:t>Covered Claims</w:t>
      </w:r>
      <w:r>
        <w:rPr>
          <w:rFonts w:ascii="Arial" w:cs="Arial" w:eastAsia="Arial" w:hAnsi="Arial"/>
          <w:sz w:val="18"/>
          <w:szCs w:val="18"/>
          <w:color w:val="auto"/>
        </w:rPr>
        <w:t>” means the following categories of claims:</w:t>
      </w:r>
    </w:p>
    <w:p>
      <w:pPr>
        <w:spacing w:after="0" w:line="229" w:lineRule="exact"/>
        <w:rPr>
          <w:rFonts w:ascii="Arial" w:cs="Arial" w:eastAsia="Arial" w:hAnsi="Arial"/>
          <w:sz w:val="18"/>
          <w:szCs w:val="18"/>
          <w:color w:val="auto"/>
        </w:rPr>
      </w:pPr>
    </w:p>
    <w:p>
      <w:pPr>
        <w:jc w:val="both"/>
        <w:ind w:left="1280" w:hanging="656"/>
        <w:spacing w:after="0" w:line="243" w:lineRule="auto"/>
        <w:tabs>
          <w:tab w:leader="none" w:pos="1277"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lawsuits, disputes, and/or claims, whether filed or unfiled, that have been, or may in the future be, asserted against the Settling Defendants or any other Released Parties regarding injuries arising from, relating to, or in connection with the alleged use or emissions of ethylene oxide from Sterigenics U.S., LLC’s or any other Released Party’s operations in or around Willowbrook, Illinois (“</w:t>
      </w:r>
      <w:r>
        <w:rPr>
          <w:rFonts w:ascii="Arial" w:cs="Arial" w:eastAsia="Arial" w:hAnsi="Arial"/>
          <w:sz w:val="16"/>
          <w:szCs w:val="16"/>
          <w:u w:val="single" w:color="auto"/>
          <w:color w:val="auto"/>
        </w:rPr>
        <w:t>Willowbrook Claims</w:t>
      </w:r>
      <w:r>
        <w:rPr>
          <w:rFonts w:ascii="Arial" w:cs="Arial" w:eastAsia="Arial" w:hAnsi="Arial"/>
          <w:sz w:val="16"/>
          <w:szCs w:val="16"/>
          <w:color w:val="auto"/>
        </w:rPr>
        <w:t>”). For the avoidance of doubt, Willowbrook Claims include (without limitation) injuries—arising from, relating to, or in connection with the alleged use or emissions of ethylene oxide from Sterigenics U.S., LLC’s Willowbrook facility— that may develop in the future, whether the alleged injury relates to an entirely new diagnosis or a recurrence of an earlier medical diagnosis. Willowbrook Claims do not include claims regarding injuries that are unrelated or not alleged to be related to ethylene oxide exposure in or around Willowbrook, Illinois (e.g., a claim arising from a vehicle accident between a Released Party and an employee driving a vehicle belonging to a Settling Defendant). The Willowbrook Claims include (without limitation):</w:t>
      </w:r>
    </w:p>
    <w:p>
      <w:pPr>
        <w:spacing w:after="0" w:line="199" w:lineRule="exact"/>
        <w:rPr>
          <w:rFonts w:ascii="Arial" w:cs="Arial" w:eastAsia="Arial" w:hAnsi="Arial"/>
          <w:sz w:val="16"/>
          <w:szCs w:val="16"/>
          <w:color w:val="auto"/>
        </w:rPr>
      </w:pPr>
    </w:p>
    <w:p>
      <w:pPr>
        <w:ind w:left="1580" w:hanging="484"/>
        <w:spacing w:after="0"/>
        <w:tabs>
          <w:tab w:leader="none" w:pos="15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The judgment in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xml:space="preserve"> Case No. 18-L-010475;</w:t>
      </w:r>
    </w:p>
    <w:p>
      <w:pPr>
        <w:spacing w:after="0" w:line="211" w:lineRule="exact"/>
        <w:rPr>
          <w:rFonts w:ascii="Arial" w:cs="Arial" w:eastAsia="Arial" w:hAnsi="Arial"/>
          <w:sz w:val="18"/>
          <w:szCs w:val="18"/>
          <w:color w:val="auto"/>
        </w:rPr>
      </w:pPr>
    </w:p>
    <w:p>
      <w:pPr>
        <w:ind w:left="1600" w:right="140" w:hanging="504"/>
        <w:spacing w:after="0" w:line="229" w:lineRule="auto"/>
        <w:tabs>
          <w:tab w:leader="none" w:pos="1597" w:val="left"/>
        </w:tabs>
        <w:numPr>
          <w:ilvl w:val="2"/>
          <w:numId w:val="55"/>
        </w:numPr>
        <w:rPr>
          <w:rFonts w:ascii="Arial" w:cs="Arial" w:eastAsia="Arial" w:hAnsi="Arial"/>
          <w:sz w:val="18"/>
          <w:szCs w:val="18"/>
          <w:color w:val="auto"/>
        </w:rPr>
      </w:pPr>
      <w:r>
        <w:rPr>
          <w:rFonts w:ascii="Arial" w:cs="Arial" w:eastAsia="Arial" w:hAnsi="Arial"/>
          <w:sz w:val="18"/>
          <w:szCs w:val="18"/>
          <w:color w:val="auto"/>
        </w:rPr>
        <w:t>All claims against Sterigenics U.S., LLC as successor to Sterigenics EO, Inc., IBA S&amp;I, Inc., Griffith Micro Science, Inc., Micro-Biotrol, Inc., and Micro- Biotrol Company related to the operations of any of those companies in or around Willowbrook, Illinois; and</w:t>
      </w:r>
    </w:p>
    <w:p>
      <w:pPr>
        <w:spacing w:after="0" w:line="204" w:lineRule="exact"/>
        <w:rPr>
          <w:rFonts w:ascii="Arial" w:cs="Arial" w:eastAsia="Arial" w:hAnsi="Arial"/>
          <w:sz w:val="18"/>
          <w:szCs w:val="18"/>
          <w:color w:val="auto"/>
        </w:rPr>
      </w:pPr>
    </w:p>
    <w:p>
      <w:pPr>
        <w:ind w:left="1600" w:right="160" w:hanging="564"/>
        <w:spacing w:after="0" w:line="289" w:lineRule="auto"/>
        <w:tabs>
          <w:tab w:leader="none" w:pos="1587" w:val="left"/>
        </w:tabs>
        <w:numPr>
          <w:ilvl w:val="3"/>
          <w:numId w:val="55"/>
        </w:numPr>
        <w:rPr>
          <w:rFonts w:ascii="Arial" w:cs="Arial" w:eastAsia="Arial" w:hAnsi="Arial"/>
          <w:sz w:val="16"/>
          <w:szCs w:val="16"/>
          <w:color w:val="auto"/>
        </w:rPr>
      </w:pPr>
      <w:r>
        <w:rPr>
          <w:rFonts w:ascii="Arial" w:cs="Arial" w:eastAsia="Arial" w:hAnsi="Arial"/>
          <w:sz w:val="16"/>
          <w:szCs w:val="16"/>
          <w:color w:val="auto"/>
        </w:rPr>
        <w:t xml:space="preserve">The following cases in the Circuit Court of Cook County, Illinois: </w:t>
      </w:r>
      <w:r>
        <w:rPr>
          <w:rFonts w:ascii="Arial" w:cs="Arial" w:eastAsia="Arial" w:hAnsi="Arial"/>
          <w:sz w:val="16"/>
          <w:szCs w:val="16"/>
          <w:i w:val="1"/>
          <w:iCs w:val="1"/>
          <w:color w:val="auto"/>
        </w:rPr>
        <w:t>Kamuda v. Sterigenics U.S., LLC</w:t>
      </w:r>
      <w:r>
        <w:rPr>
          <w:rFonts w:ascii="Arial" w:cs="Arial" w:eastAsia="Arial" w:hAnsi="Arial"/>
          <w:sz w:val="16"/>
          <w:szCs w:val="16"/>
          <w:color w:val="auto"/>
        </w:rPr>
        <w:t xml:space="preserve">, Case No. 2018-L-010475; </w:t>
      </w:r>
      <w:r>
        <w:rPr>
          <w:rFonts w:ascii="Arial" w:cs="Arial" w:eastAsia="Arial" w:hAnsi="Arial"/>
          <w:sz w:val="16"/>
          <w:szCs w:val="16"/>
          <w:i w:val="1"/>
          <w:iCs w:val="1"/>
          <w:color w:val="auto"/>
        </w:rPr>
        <w:t>Fornek v. Sterigenics U.S., LLC</w:t>
      </w:r>
      <w:r>
        <w:rPr>
          <w:rFonts w:ascii="Arial" w:cs="Arial" w:eastAsia="Arial" w:hAnsi="Arial"/>
          <w:sz w:val="16"/>
          <w:szCs w:val="16"/>
          <w:color w:val="auto"/>
        </w:rPr>
        <w:t>, Case No. 2018-L-010744; and</w:t>
      </w:r>
      <w:r>
        <w:rPr>
          <w:rFonts w:ascii="Arial" w:cs="Arial" w:eastAsia="Arial" w:hAnsi="Arial"/>
          <w:sz w:val="16"/>
          <w:szCs w:val="16"/>
          <w:i w:val="1"/>
          <w:iCs w:val="1"/>
          <w:color w:val="auto"/>
        </w:rPr>
        <w:t xml:space="preserve"> Schumacher v. Sterigenics U.S., LLC</w:t>
      </w:r>
      <w:r>
        <w:rPr>
          <w:rFonts w:ascii="Arial" w:cs="Arial" w:eastAsia="Arial" w:hAnsi="Arial"/>
          <w:sz w:val="16"/>
          <w:szCs w:val="16"/>
          <w:color w:val="auto"/>
        </w:rPr>
        <w:t>, Case No. 2018-L-011939.</w:t>
      </w:r>
    </w:p>
    <w:p>
      <w:pPr>
        <w:spacing w:after="0" w:line="164" w:lineRule="exact"/>
        <w:rPr>
          <w:rFonts w:ascii="Arial" w:cs="Arial" w:eastAsia="Arial" w:hAnsi="Arial"/>
          <w:sz w:val="16"/>
          <w:szCs w:val="16"/>
          <w:color w:val="auto"/>
        </w:rPr>
      </w:pPr>
    </w:p>
    <w:p>
      <w:pPr>
        <w:jc w:val="both"/>
        <w:ind w:left="1280" w:hanging="656"/>
        <w:spacing w:after="0" w:line="229" w:lineRule="auto"/>
        <w:tabs>
          <w:tab w:leader="none" w:pos="1274"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Actions, citations, or potential actions or citations to enforce or collect on a judgment or verdict obtained in any case involving Willowbrook Claims, including but not limited to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 pending in the Circuit Court of Cook County, Illinois (Hon. Patrick Heneghan); and</w:t>
      </w:r>
    </w:p>
    <w:p>
      <w:pPr>
        <w:spacing w:after="0" w:line="204" w:lineRule="exact"/>
        <w:rPr>
          <w:rFonts w:ascii="Arial" w:cs="Arial" w:eastAsia="Arial" w:hAnsi="Arial"/>
          <w:sz w:val="18"/>
          <w:szCs w:val="18"/>
          <w:color w:val="auto"/>
        </w:rPr>
      </w:pPr>
    </w:p>
    <w:p>
      <w:pPr>
        <w:jc w:val="both"/>
        <w:ind w:left="1280" w:hanging="656"/>
        <w:spacing w:after="0" w:line="223" w:lineRule="auto"/>
        <w:tabs>
          <w:tab w:leader="none" w:pos="127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Bachoe v. Sotera Health Co.</w:t>
      </w:r>
      <w:r>
        <w:rPr>
          <w:rFonts w:ascii="Arial" w:cs="Arial" w:eastAsia="Arial" w:hAnsi="Arial"/>
          <w:sz w:val="18"/>
          <w:szCs w:val="18"/>
          <w:color w:val="auto"/>
        </w:rPr>
        <w:t xml:space="preserve"> action filed on November 1, 2022 in the Circuit Court of Cook County, Illinois (Case No. 2022-L-009825), the </w:t>
      </w:r>
      <w:r>
        <w:rPr>
          <w:rFonts w:ascii="Arial" w:cs="Arial" w:eastAsia="Arial" w:hAnsi="Arial"/>
          <w:sz w:val="18"/>
          <w:szCs w:val="18"/>
          <w:i w:val="1"/>
          <w:iCs w:val="1"/>
          <w:color w:val="auto"/>
        </w:rPr>
        <w:t>Bachoe v. Sotera Health Co.</w:t>
      </w:r>
      <w:r>
        <w:rPr>
          <w:rFonts w:ascii="Arial" w:cs="Arial" w:eastAsia="Arial" w:hAnsi="Arial"/>
          <w:sz w:val="18"/>
          <w:szCs w:val="18"/>
          <w:color w:val="auto"/>
        </w:rPr>
        <w:t xml:space="preserve"> action now pending in the U.S. District Court for the Northern District of Illinois (Case No. 22-cv-06292), and any other actual or potential actions seeking to challenge any transfer of assets to or from Sterigenics U.S., LLC, Sotera Health LLC, or any other Released Party to any other entity or person.</w:t>
      </w:r>
    </w:p>
    <w:p>
      <w:pPr>
        <w:spacing w:after="0" w:line="199" w:lineRule="exact"/>
        <w:rPr>
          <w:sz w:val="20"/>
          <w:szCs w:val="20"/>
          <w:color w:val="auto"/>
        </w:rPr>
      </w:pPr>
    </w:p>
    <w:p>
      <w:pPr>
        <w:jc w:val="both"/>
        <w:ind w:left="-20" w:firstLine="644"/>
        <w:spacing w:after="0" w:line="220" w:lineRule="auto"/>
        <w:tabs>
          <w:tab w:leader="none" w:pos="116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terms of this Release Agreement immediately become binding upon the Releasor’s execution hereof (such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and without any further action required;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Covered Claims, as described in Paragraphs 6 and 7, will not become effective unless and until the Settlement Funding Date occurs (as defined in the Settlement Agreement). If the Settling Defendants opt to terminate the Settlement Agreement, this Release Agreement will be null and void </w:t>
      </w:r>
      <w:r>
        <w:rPr>
          <w:rFonts w:ascii="Arial" w:cs="Arial" w:eastAsia="Arial" w:hAnsi="Arial"/>
          <w:sz w:val="18"/>
          <w:szCs w:val="18"/>
          <w:i w:val="1"/>
          <w:iCs w:val="1"/>
          <w:color w:val="auto"/>
        </w:rPr>
        <w:t>nunc pro tunc</w:t>
      </w:r>
      <w:r>
        <w:rPr>
          <w:rFonts w:ascii="Arial" w:cs="Arial" w:eastAsia="Arial" w:hAnsi="Arial"/>
          <w:sz w:val="18"/>
          <w:szCs w:val="18"/>
          <w:color w:val="auto"/>
        </w:rPr>
        <w:t xml:space="preserve"> and returned to Releasor’s Counsel.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5" w:lineRule="exact"/>
        <w:rPr>
          <w:sz w:val="20"/>
          <w:szCs w:val="20"/>
          <w:color w:val="auto"/>
        </w:rPr>
      </w:pPr>
    </w:p>
    <w:p>
      <w:pPr>
        <w:jc w:val="both"/>
        <w:ind w:left="-20" w:firstLine="643"/>
        <w:spacing w:after="0" w:line="249" w:lineRule="auto"/>
        <w:tabs>
          <w:tab w:leader="none" w:pos="1168"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Complete and Final Release. </w:t>
      </w:r>
      <w:r>
        <w:rPr>
          <w:rFonts w:ascii="Arial" w:cs="Arial" w:eastAsia="Arial" w:hAnsi="Arial"/>
          <w:sz w:val="16"/>
          <w:szCs w:val="16"/>
          <w:color w:val="auto"/>
        </w:rPr>
        <w:t>As of the Effective Date, in return for the deposit of the Settlement Amount into the QSF, the sufficiency</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is acknowledged, Releasor hereby releases, settles, cancels, discharges, and acknowledges to be fully satisfied any and all claims, demands, rights, actions, suits, damages, and causes of action of whatever kind, nature, or description whatsoever, in law or in equity, whether known or unknown, suspected or unsuspected, which Releasor may now or may hereafter have or assert against Released Parties arising from, relating to, or in connection with the Covered Claims, or based on any of the conduct alleged in the litigation relating to any Covered Claims.</w:t>
      </w:r>
    </w:p>
    <w:p>
      <w:pPr>
        <w:spacing w:after="0" w:line="197" w:lineRule="exact"/>
        <w:rPr>
          <w:sz w:val="20"/>
          <w:szCs w:val="20"/>
          <w:color w:val="auto"/>
        </w:rPr>
      </w:pPr>
    </w:p>
    <w:p>
      <w:pPr>
        <w:jc w:val="both"/>
        <w:ind w:left="1280" w:hanging="657"/>
        <w:spacing w:after="0" w:line="229" w:lineRule="auto"/>
        <w:tabs>
          <w:tab w:leader="none" w:pos="12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Without limiting the foregoing, this Release Agreement includes any and all claims which Releasor may now or may hereafter have or assert against Released Parties for alleged injuries, losses, and damages, including pain and suffering, wrongful death, punitive damages,</w:t>
      </w:r>
    </w:p>
    <w:p>
      <w:pPr>
        <w:sectPr>
          <w:pgSz w:w="11900" w:h="16838" w:orient="portrait"/>
          <w:cols w:equalWidth="0" w:num="1">
            <w:col w:w="10980"/>
          </w:cols>
          <w:pgMar w:left="460" w:top="746" w:right="459" w:bottom="1440" w:gutter="0" w:footer="0" w:header="0"/>
        </w:sectPr>
      </w:pPr>
    </w:p>
    <w:bookmarkStart w:id="64" w:name="page65"/>
    <w:bookmarkEnd w:id="64"/>
    <w:p>
      <w:pPr>
        <w:jc w:val="both"/>
        <w:ind w:left="657" w:right="20"/>
        <w:spacing w:after="0" w:line="248" w:lineRule="auto"/>
        <w:rPr>
          <w:sz w:val="20"/>
          <w:szCs w:val="20"/>
          <w:color w:val="auto"/>
        </w:rPr>
      </w:pPr>
      <w:r>
        <w:rPr>
          <w:rFonts w:ascii="Arial" w:cs="Arial" w:eastAsia="Arial" w:hAnsi="Arial"/>
          <w:sz w:val="16"/>
          <w:szCs w:val="16"/>
          <w:color w:val="auto"/>
        </w:rPr>
        <w:t>survivorship, personal injuries, and related damages, and loss of services, consortium, companionship, and all other intangible losses, whether based in tort, intentional tort, contract, statute, or other theory of recovery, attorneys’ fees and costs, mental or emotional</w:t>
      </w:r>
    </w:p>
    <w:p>
      <w:pPr>
        <w:jc w:val="both"/>
        <w:ind w:left="657"/>
        <w:spacing w:after="0" w:line="231" w:lineRule="auto"/>
        <w:rPr>
          <w:sz w:val="20"/>
          <w:szCs w:val="20"/>
          <w:color w:val="auto"/>
        </w:rPr>
      </w:pPr>
      <w:r>
        <w:rPr>
          <w:rFonts w:ascii="Arial" w:cs="Arial" w:eastAsia="Arial" w:hAnsi="Arial"/>
          <w:sz w:val="17"/>
          <w:szCs w:val="17"/>
          <w:color w:val="auto"/>
        </w:rPr>
        <w:t>distress, or for hospital, medical, nursing, or other healthcare expenses, lost wages, or any other losses or expenses, whether known or unknown, whether already in existence or to arise in the future, anticipated or not, arising from, relating to, or in connection with the Covered Claims, or based on any of the conduct alleged in the litigation relating to any Covered Claims.</w:t>
      </w:r>
    </w:p>
    <w:p>
      <w:pPr>
        <w:spacing w:after="0" w:line="203" w:lineRule="exact"/>
        <w:rPr>
          <w:sz w:val="20"/>
          <w:szCs w:val="20"/>
          <w:color w:val="auto"/>
        </w:rPr>
      </w:pPr>
    </w:p>
    <w:p>
      <w:pPr>
        <w:jc w:val="both"/>
        <w:ind w:left="657" w:hanging="657"/>
        <w:spacing w:after="0" w:line="229" w:lineRule="auto"/>
        <w:tabs>
          <w:tab w:leader="none" w:pos="651"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Without limiting the foregoing, this Release Agreement includes any and all claims which Releasor’s spouse (including but not limited to putative or common law spouse or domestic partner), if any, may now or may hereafter have or assert against Released Parties for alleged injuries, losses and damages, including pain and suffering, wrongful death, punitive damages, attorneys’ fees and costs, loss of services, loss of companionship and/or consortium, society or support, mental or emotional distress, or for hospital, medical, or nursing or other healthcare expenses, lost wages, or any other losses and expenses, whether known or unknown, whether already in existence or to arise in the future, arising from, relating to, or in connection with the Covered Claims, or based on any of the conduct alleged in the litigation relating to any Covered Claims.</w:t>
      </w:r>
    </w:p>
    <w:p>
      <w:pPr>
        <w:spacing w:after="0" w:line="206" w:lineRule="exact"/>
        <w:rPr>
          <w:rFonts w:ascii="Arial" w:cs="Arial" w:eastAsia="Arial" w:hAnsi="Arial"/>
          <w:sz w:val="17"/>
          <w:szCs w:val="17"/>
          <w:color w:val="auto"/>
        </w:rPr>
      </w:pPr>
    </w:p>
    <w:p>
      <w:pPr>
        <w:jc w:val="both"/>
        <w:ind w:left="657" w:hanging="657"/>
        <w:spacing w:after="0" w:line="254" w:lineRule="auto"/>
        <w:tabs>
          <w:tab w:leader="none" w:pos="654"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Without limiting the foregoing, this Release Agreement includes any and all claims against Released Parties for pecuniary loss, injury, or damage which might accrue to Releasor, his or her estate, and others by virtue of Releasor’s death, whether such claims are pursued directly or indirectly or by some person or persons in a representative capacity, if such claims arise from, relate to, or are in connection with the Covered Claims or based on any of the conduct alleged in the litigation relating to any Covered Claims.</w:t>
      </w:r>
    </w:p>
    <w:p>
      <w:pPr>
        <w:spacing w:after="0" w:line="193" w:lineRule="exact"/>
        <w:rPr>
          <w:rFonts w:ascii="Arial" w:cs="Arial" w:eastAsia="Arial" w:hAnsi="Arial"/>
          <w:sz w:val="16"/>
          <w:szCs w:val="16"/>
          <w:color w:val="auto"/>
        </w:rPr>
      </w:pPr>
    </w:p>
    <w:p>
      <w:pPr>
        <w:jc w:val="both"/>
        <w:ind w:left="657" w:hanging="656"/>
        <w:spacing w:after="0" w:line="228" w:lineRule="auto"/>
        <w:tabs>
          <w:tab w:leader="none" w:pos="651"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Without limiting the foregoing, Releasor hereby agrees and covenants that Releasor will never: (i) take any legal or other action to initiate, pursue or maintain, or otherwise attempt to execute upon, collect, or otherwise enforce, any claim against any of the Released Parties constituting, arising from, relating to, or in connection with the Covered Claims, (ii) institute any new legal action against any Released Party relating to any injury Releasor has ever claimed, or may at any time hereafter claim, was caused in whole or in part by any Released Party arising from, relating to, or in connection with the Covered Claims, or based on any of the conduct alleged in the litigation relating to any Covered Claims, whether in the past or in the future, and/or (iii) attempt to execute or collect on, or otherwise enforce, any judgment that has been or may be entered against any Released Party in any legal action described in clause (ii), or (iv) maintain Releasor’s pending legal action(s) against any Released Party.</w:t>
      </w:r>
    </w:p>
    <w:p>
      <w:pPr>
        <w:spacing w:after="0" w:line="215" w:lineRule="exact"/>
        <w:rPr>
          <w:rFonts w:ascii="Arial" w:cs="Arial" w:eastAsia="Arial" w:hAnsi="Arial"/>
          <w:sz w:val="17"/>
          <w:szCs w:val="17"/>
          <w:color w:val="auto"/>
        </w:rPr>
      </w:pPr>
    </w:p>
    <w:p>
      <w:pPr>
        <w:jc w:val="both"/>
        <w:ind w:left="657" w:hanging="656"/>
        <w:spacing w:after="0" w:line="228" w:lineRule="auto"/>
        <w:tabs>
          <w:tab w:leader="none" w:pos="654"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Without limiting the foregoing, Releasor acknowledges that the Settlement Amount shall constitute the full compensation which will ever be paid to Releasor by or on behalf of the Released Parties by reason of the claims which have been or which may ever be made against Released Parties arising out of or by reason of or in any manner connected with Releasor’s injuries arising from, relating to, or in connection with the Covered Claims, or based on any of the conduct alleged in the litigation relating to any Covered Claims; that neither Sterigenics U.S., LLC nor any Released Party shall have any responsibility whatsoever for the payment of Releasor’s attorneys’ fees or costs, or for the payment of any taxes owed by Releasor, or for satisfaction of liens associated with the allocation of settlement funds; that this Release Agreement is final and binding upon Releasor; and that no Covered Claim, derivative or otherwise, may ever be brought against Released Parties.</w:t>
      </w:r>
    </w:p>
    <w:p>
      <w:pPr>
        <w:spacing w:after="0" w:line="201" w:lineRule="exact"/>
        <w:rPr>
          <w:rFonts w:ascii="Arial" w:cs="Arial" w:eastAsia="Arial" w:hAnsi="Arial"/>
          <w:sz w:val="17"/>
          <w:szCs w:val="17"/>
          <w:color w:val="auto"/>
        </w:rPr>
      </w:pPr>
    </w:p>
    <w:p>
      <w:pPr>
        <w:jc w:val="both"/>
        <w:ind w:left="657" w:hanging="656"/>
        <w:spacing w:after="0" w:line="223"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Without limiting the foregoing, Releasor agrees to release any rights he or she may have regarding claims relating to or arising from any Covered Claim that Releasor does not know or suspect to exist at this time and that, if known by him or her, would materially affect his or her settlement with the Released Parties. Releasor expressly and knowingly waives any statutory or judicial provisions, rulings, or mandates to the contrary.</w:t>
      </w:r>
    </w:p>
    <w:p>
      <w:pPr>
        <w:spacing w:after="0" w:line="202" w:lineRule="exact"/>
        <w:rPr>
          <w:rFonts w:ascii="Arial" w:cs="Arial" w:eastAsia="Arial" w:hAnsi="Arial"/>
          <w:sz w:val="18"/>
          <w:szCs w:val="18"/>
          <w:color w:val="auto"/>
        </w:rPr>
      </w:pPr>
    </w:p>
    <w:p>
      <w:pPr>
        <w:jc w:val="both"/>
        <w:ind w:left="657" w:hanging="656"/>
        <w:spacing w:after="0" w:line="236" w:lineRule="auto"/>
        <w:tabs>
          <w:tab w:leader="none" w:pos="651"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Without limiting the foregoing, Releasor agrees to release all claims, past, present, and future, alleged or that could have been alleged against insurers that have any of the Released Parties as a named insured, including but not limited to Steadfast Insurance Company/Zurich Insurance Group and National Union/AIG, relating to or arising from any Covered Claims. For the avoidance of doubt, Released Parties maintain, and do not release, any claims they may have against their insurers.</w:t>
      </w:r>
    </w:p>
    <w:p>
      <w:pPr>
        <w:spacing w:after="0" w:line="203" w:lineRule="exact"/>
        <w:rPr>
          <w:rFonts w:ascii="Arial" w:cs="Arial" w:eastAsia="Arial" w:hAnsi="Arial"/>
          <w:sz w:val="17"/>
          <w:szCs w:val="17"/>
          <w:color w:val="auto"/>
        </w:rPr>
      </w:pPr>
    </w:p>
    <w:p>
      <w:pPr>
        <w:jc w:val="both"/>
        <w:ind w:left="657" w:hanging="656"/>
        <w:spacing w:after="0" w:line="216" w:lineRule="auto"/>
        <w:tabs>
          <w:tab w:leader="none" w:pos="6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Without limiting the foregoing, if Releasor settles with any third party against whom claims are not released through this Release Agreement (collectively, “</w:t>
      </w:r>
      <w:r>
        <w:rPr>
          <w:rFonts w:ascii="Arial" w:cs="Arial" w:eastAsia="Arial" w:hAnsi="Arial"/>
          <w:sz w:val="18"/>
          <w:szCs w:val="18"/>
          <w:u w:val="single" w:color="auto"/>
          <w:color w:val="auto"/>
        </w:rPr>
        <w:t>Non-Settling Third Parties</w:t>
      </w:r>
      <w:r>
        <w:rPr>
          <w:rFonts w:ascii="Arial" w:cs="Arial" w:eastAsia="Arial" w:hAnsi="Arial"/>
          <w:sz w:val="18"/>
          <w:szCs w:val="18"/>
          <w:color w:val="auto"/>
        </w:rPr>
        <w:t>”), Releasor will obtain a release from the Non-Settling Third Party for Released Parties for any claim for indemnity, contribution, or similar theory. If Releasor obtains a judgment against any Non-Settling Third Party, Releasor will not execute on any portion of that judgment that the Non-Settling Third Party successfully seeks from Released Parties via a claim for indemnity, contribution, or similar claim. Releasor agrees to indemnify, defend, and hold harmless Released Parties for any claims for</w:t>
      </w:r>
    </w:p>
    <w:p>
      <w:pPr>
        <w:sectPr>
          <w:pgSz w:w="11900" w:h="16838" w:orient="portrait"/>
          <w:cols w:equalWidth="0" w:num="1">
            <w:col w:w="10357"/>
          </w:cols>
          <w:pgMar w:left="1083" w:top="746" w:right="459" w:bottom="1440" w:gutter="0" w:footer="0" w:header="0"/>
        </w:sectPr>
      </w:pPr>
    </w:p>
    <w:bookmarkStart w:id="65" w:name="page66"/>
    <w:bookmarkEnd w:id="65"/>
    <w:p>
      <w:pPr>
        <w:ind w:left="1300" w:right="20"/>
        <w:spacing w:after="0" w:line="235" w:lineRule="auto"/>
        <w:rPr>
          <w:sz w:val="20"/>
          <w:szCs w:val="20"/>
          <w:color w:val="auto"/>
        </w:rPr>
      </w:pPr>
      <w:r>
        <w:rPr>
          <w:rFonts w:ascii="Arial" w:cs="Arial" w:eastAsia="Arial" w:hAnsi="Arial"/>
          <w:sz w:val="18"/>
          <w:szCs w:val="18"/>
          <w:color w:val="auto"/>
        </w:rPr>
        <w:t>indemnity or contribution brought by any Non-Settling Third Parties against Released Parties arising from or relating to the Covered Claims.</w:t>
      </w:r>
    </w:p>
    <w:p>
      <w:pPr>
        <w:spacing w:after="0" w:line="198" w:lineRule="exact"/>
        <w:rPr>
          <w:sz w:val="20"/>
          <w:szCs w:val="20"/>
          <w:color w:val="auto"/>
        </w:rPr>
      </w:pPr>
    </w:p>
    <w:p>
      <w:pPr>
        <w:jc w:val="both"/>
        <w:ind w:firstLine="644"/>
        <w:spacing w:after="0" w:line="245" w:lineRule="auto"/>
        <w:tabs>
          <w:tab w:leader="none" w:pos="1188"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Other Claims. </w:t>
      </w:r>
      <w:r>
        <w:rPr>
          <w:rFonts w:ascii="Arial" w:cs="Arial" w:eastAsia="Arial" w:hAnsi="Arial"/>
          <w:sz w:val="16"/>
          <w:szCs w:val="16"/>
          <w:color w:val="auto"/>
        </w:rPr>
        <w:t>Releasor understands and agrees that certain of Releasor’s relatives, dependents, or others might have potential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Released Parties for the alleged injuries of Releasor. Releasor understands and agrees that by executing this Release Agreement and having the Settlement Amount deposited into the QSF, Releasor has received fair, just, and adequate consideration for any claims for the alleged injuries of Releasor which may arise from, relate to, or are in connection with the Covered Claims, or based on any of the conduct alleged in the litigation relating to any Covered Claims. Releasor understands and agrees that by executing this Release Agreement, Releasor has forever released, discharged, and given up any and all claims that Releasor or others might have against Released Parties for the alleged injuries of Releasor arising from, relating to, or in connection with the Covered Claims, or based on any of the conduct alleged in the litigation relating to any Covered Claims.</w:t>
      </w:r>
    </w:p>
    <w:p>
      <w:pPr>
        <w:spacing w:after="0" w:line="201" w:lineRule="exact"/>
        <w:rPr>
          <w:sz w:val="20"/>
          <w:szCs w:val="20"/>
          <w:color w:val="auto"/>
        </w:rPr>
      </w:pPr>
    </w:p>
    <w:p>
      <w:pPr>
        <w:jc w:val="both"/>
        <w:ind w:left="1300" w:hanging="656"/>
        <w:spacing w:after="0" w:line="222" w:lineRule="auto"/>
        <w:tabs>
          <w:tab w:leader="none" w:pos="12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Releasor specifically agrees to indemnify, defend, and hold the Released Parties harmless from and against any claim arising from, relating to, or in connection with the Covered Claims that may be brought by any beneficiary or next of kin of Releasor. Releasor agrees that such indemnification includes the payment of all reasonable costs and expenses of investigation, defense, settlement, attorneys’ fees, judgments, court costs, and all other costs and expenses of defending any such claim or other claim for wrongful death.</w:t>
      </w:r>
    </w:p>
    <w:p>
      <w:pPr>
        <w:spacing w:after="0" w:line="203" w:lineRule="exact"/>
        <w:rPr>
          <w:rFonts w:ascii="Arial" w:cs="Arial" w:eastAsia="Arial" w:hAnsi="Arial"/>
          <w:sz w:val="18"/>
          <w:szCs w:val="18"/>
          <w:color w:val="auto"/>
        </w:rPr>
      </w:pPr>
    </w:p>
    <w:p>
      <w:pPr>
        <w:jc w:val="both"/>
        <w:ind w:left="1300" w:hanging="656"/>
        <w:spacing w:after="0" w:line="242" w:lineRule="auto"/>
        <w:tabs>
          <w:tab w:leader="none" w:pos="12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Releasor warrants and represents that, apart from any liens held by the Lien Holders as defined in Paragraph 9(a) below, no claims or portion of the claims which are the subject of this Release Agreement have been assigned or otherwise transferred to any person or legal entity which claims a right thereunder as against the Releasor and/or Released Parties. Releasor specifically warrants and represents that to the extent any bankruptcy action is pending, Releasor will take all necessary actions to notify the Bankruptcy Court of this settlement and will fulfill all obligations to the Bankruptcy Court. Releasor agrees to indemnify, defend, and hold harmless Released Parties from any loss, claim, expense, demand, or cause of action of any kind or character, including costs and attorneys’ fees, that result from the failure, if any, of Releasor to fulfill his or her obligations to any bankruptcy court. Upon request, Releasor further agrees that he or she will provide written confirmation that he or she fulfilled any bankruptcy court obligations.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RELEASOR ACKNOWLEDGMENTS</w:t>
      </w:r>
    </w:p>
    <w:p>
      <w:pPr>
        <w:spacing w:after="0" w:line="225" w:lineRule="exact"/>
        <w:rPr>
          <w:sz w:val="20"/>
          <w:szCs w:val="20"/>
          <w:color w:val="auto"/>
        </w:rPr>
      </w:pPr>
    </w:p>
    <w:p>
      <w:pPr>
        <w:ind w:left="1300" w:hanging="656"/>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Acknowledgements by Releasor</w:t>
      </w:r>
    </w:p>
    <w:p>
      <w:pPr>
        <w:spacing w:after="0" w:line="200" w:lineRule="exact"/>
        <w:rPr>
          <w:sz w:val="20"/>
          <w:szCs w:val="20"/>
          <w:color w:val="auto"/>
        </w:rPr>
      </w:pPr>
    </w:p>
    <w:p>
      <w:pPr>
        <w:spacing w:after="0" w:line="259" w:lineRule="exact"/>
        <w:rPr>
          <w:sz w:val="20"/>
          <w:szCs w:val="20"/>
          <w:color w:val="auto"/>
        </w:rPr>
      </w:pPr>
    </w:p>
    <w:p>
      <w:pPr>
        <w:jc w:val="both"/>
        <w:ind w:left="1300" w:hanging="656"/>
        <w:spacing w:after="0" w:line="222" w:lineRule="auto"/>
        <w:tabs>
          <w:tab w:leader="none" w:pos="1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RELEASOR IS ENTERING INTO THIS RELEASE AGREEMENT FREELY AND VOLUNTARILY, WITHOUT BEING INDUCED, PRESSURED OR INFLUENCED BY, AND WITHOUT RELYING ON ANY REPRESENTATION OR OTHER STATEMENT MADE BY OR ON BEHALF OF ANY RELEASED PARTY OR ANY OTHER PERSON. RELEASOR UNDERSTANDS, ACKNOWLEDGES AND ACCEPTS THE NATURE, VALUE AND SUFFICIENCY OF THE CONSIDERATION DESCRIBED IN THIS RELEASE AGREEMENT.</w:t>
      </w:r>
    </w:p>
    <w:p>
      <w:pPr>
        <w:spacing w:after="0" w:line="190" w:lineRule="exact"/>
        <w:rPr>
          <w:rFonts w:ascii="Arial" w:cs="Arial" w:eastAsia="Arial" w:hAnsi="Arial"/>
          <w:sz w:val="18"/>
          <w:szCs w:val="18"/>
          <w:color w:val="auto"/>
        </w:rPr>
      </w:pPr>
    </w:p>
    <w:p>
      <w:pPr>
        <w:jc w:val="both"/>
        <w:ind w:left="1300" w:hanging="657"/>
        <w:spacing w:after="0" w:line="230" w:lineRule="auto"/>
        <w:tabs>
          <w:tab w:leader="none" w:pos="12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Releasor acknowledges that Releasor has been informed of the terms of Settlement Agreement and has read this Release Agreement, and Releasor has had an opportunity to obtain advice from, and ask questions of, a lawyer of Releasor’s choosing regarding the terms and legal effect of the Settlement Agreement, this Release Agreement and Releasor’s decision to accept the Settlement Amount. Releasor further acknowledges that Releasor has been informed that the effectiveness of this Release Agreement and payment to Releasor of Releasor’s settlement allocation are contingent on certain events and conditions outside of Releasor’s control, including, but not limited to, the decisions by other plaintiffs alleging Covered Claims to participate in a settlement with Released Parties. Releasor acknowledges that Releasor has been informed of all these matters by Releasor’s Counsel and such counsel has answered all of Releasor’s questions (if any) to Releasor’s satisfaction.</w:t>
      </w:r>
    </w:p>
    <w:p>
      <w:pPr>
        <w:spacing w:after="0" w:line="202" w:lineRule="exact"/>
        <w:rPr>
          <w:rFonts w:ascii="Arial" w:cs="Arial" w:eastAsia="Arial" w:hAnsi="Arial"/>
          <w:sz w:val="17"/>
          <w:szCs w:val="17"/>
          <w:color w:val="auto"/>
        </w:rPr>
      </w:pPr>
    </w:p>
    <w:p>
      <w:pPr>
        <w:ind w:left="1300" w:hanging="657"/>
        <w:spacing w:after="0" w:line="235" w:lineRule="auto"/>
        <w:tabs>
          <w:tab w:leader="none" w:pos="1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Releasor understands that Releasor has the right to make an informed decision regarding whether to sign this Release Agreement. Releasor acknowledges that Releasor understands this Release Agreement.</w:t>
      </w:r>
    </w:p>
    <w:p>
      <w:pPr>
        <w:spacing w:after="0" w:line="202" w:lineRule="exact"/>
        <w:rPr>
          <w:rFonts w:ascii="Arial" w:cs="Arial" w:eastAsia="Arial" w:hAnsi="Arial"/>
          <w:sz w:val="18"/>
          <w:szCs w:val="18"/>
          <w:color w:val="auto"/>
        </w:rPr>
      </w:pPr>
    </w:p>
    <w:p>
      <w:pPr>
        <w:jc w:val="both"/>
        <w:ind w:left="1300" w:hanging="657"/>
        <w:spacing w:after="0" w:line="219" w:lineRule="auto"/>
        <w:tabs>
          <w:tab w:leader="none" w:pos="12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Releasor further understands that any amounts paid to Releasor will be transmitted from the QSF to Releasor’s Counsel, in trust for Releasor, to be disbursed to Releasor subject to: (a) any applicable lien holdbacks or payment obligations, including to Releasor’s counsel; (b) the payment of any court-ordered common cost assessments; and (c) the provisions of the Settlement Agreement and this Release Agreement. Released Parties take and bear no responsibility for the maintenance of funds in trust, or distribution or withholding of settlement funds from Releasor’s Counsel to Releasor.</w:t>
      </w:r>
    </w:p>
    <w:p>
      <w:pPr>
        <w:spacing w:after="0" w:line="203" w:lineRule="exact"/>
        <w:rPr>
          <w:rFonts w:ascii="Arial" w:cs="Arial" w:eastAsia="Arial" w:hAnsi="Arial"/>
          <w:sz w:val="18"/>
          <w:szCs w:val="18"/>
          <w:color w:val="auto"/>
        </w:rPr>
      </w:pPr>
    </w:p>
    <w:p>
      <w:pPr>
        <w:ind w:left="1300" w:right="20" w:hanging="657"/>
        <w:spacing w:after="0" w:line="246" w:lineRule="auto"/>
        <w:tabs>
          <w:tab w:leader="none" w:pos="1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Releasor understands and acknowledges that Released Parties and their counsel have played no role in, and take and bear no responsibility for, the allocation of settlement amounts among settling</w:t>
      </w:r>
    </w:p>
    <w:p>
      <w:pPr>
        <w:sectPr>
          <w:pgSz w:w="11900" w:h="16838" w:orient="portrait"/>
          <w:cols w:equalWidth="0" w:num="1">
            <w:col w:w="11000"/>
          </w:cols>
          <w:pgMar w:left="440" w:top="746" w:right="459" w:bottom="1440" w:gutter="0" w:footer="0" w:header="0"/>
        </w:sectPr>
      </w:pPr>
    </w:p>
    <w:bookmarkStart w:id="66" w:name="page67"/>
    <w:bookmarkEnd w:id="66"/>
    <w:p>
      <w:pPr>
        <w:ind w:left="1400"/>
        <w:spacing w:after="0"/>
        <w:rPr>
          <w:sz w:val="20"/>
          <w:szCs w:val="20"/>
          <w:color w:val="auto"/>
        </w:rPr>
      </w:pPr>
      <w:r>
        <w:rPr>
          <w:rFonts w:ascii="Arial" w:cs="Arial" w:eastAsia="Arial" w:hAnsi="Arial"/>
          <w:sz w:val="18"/>
          <w:szCs w:val="18"/>
          <w:color w:val="auto"/>
        </w:rPr>
        <w:t>plaintiffs or the allocation of settlement funds between settling plaintiffs and settling plaintiffs’ counsel.</w:t>
      </w:r>
    </w:p>
    <w:p>
      <w:pPr>
        <w:spacing w:after="0" w:line="225" w:lineRule="exact"/>
        <w:rPr>
          <w:sz w:val="20"/>
          <w:szCs w:val="20"/>
          <w:color w:val="auto"/>
        </w:rPr>
      </w:pPr>
    </w:p>
    <w:p>
      <w:pPr>
        <w:ind w:left="1400" w:hanging="657"/>
        <w:spacing w:after="0" w:line="235" w:lineRule="auto"/>
        <w:tabs>
          <w:tab w:leader="none" w:pos="1391"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Releasor acknowledges that Releasor’s Counsel have been available to assist Releasor in the informed consent process and to answer any questions that Releasor might have had about the Settlement Agreement or this Release Agreement.</w:t>
      </w:r>
    </w:p>
    <w:p>
      <w:pPr>
        <w:spacing w:after="0" w:line="202" w:lineRule="exact"/>
        <w:rPr>
          <w:rFonts w:ascii="Arial" w:cs="Arial" w:eastAsia="Arial" w:hAnsi="Arial"/>
          <w:sz w:val="18"/>
          <w:szCs w:val="18"/>
          <w:color w:val="auto"/>
        </w:rPr>
      </w:pPr>
    </w:p>
    <w:p>
      <w:pPr>
        <w:jc w:val="both"/>
        <w:ind w:left="1400" w:hanging="657"/>
        <w:spacing w:after="0"/>
        <w:tabs>
          <w:tab w:leader="none" w:pos="13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Neither Settling Defendants nor any Released Party has provided tax advice to Releasor. All parties to this Release Agreement understand and expressly agree that any income or other tax payable by the Releasor under applicable law, including any interest or penalties (if any) ultimately determined to be payable, as well as any federal, state or local reporting or payment obligations resulting from or attributable to the settlement funds, are the sole responsibility of Releasor. The Settling Defendants, Released Parties, and Releasor acknowledge and agree that $***** of Releasor’s total allocated settlement funds constitute payment for Releasor’s $*****</w:t>
      </w:r>
    </w:p>
    <w:p>
      <w:pPr>
        <w:jc w:val="both"/>
        <w:ind w:left="1400"/>
        <w:spacing w:after="0"/>
        <w:rPr>
          <w:rFonts w:ascii="Arial" w:cs="Arial" w:eastAsia="Arial" w:hAnsi="Arial"/>
          <w:sz w:val="16"/>
          <w:szCs w:val="16"/>
          <w:color w:val="auto"/>
        </w:rPr>
      </w:pPr>
      <w:r>
        <w:rPr>
          <w:rFonts w:ascii="Arial" w:cs="Arial" w:eastAsia="Arial" w:hAnsi="Arial"/>
          <w:sz w:val="16"/>
          <w:szCs w:val="16"/>
          <w:color w:val="auto"/>
        </w:rPr>
        <w:t>judgment for claims of personal physical injuries and physical sickness within the meaning of Section 104 of the Internal Revenue Code of 1986, as amended, and emotional distress due to such personal physical injuries or physical sickness. Unless otherwise required by a change in applicable law, Settling Defendants and Released Parties do not intend to issue an IRS Form 1099 that reports this excludible portion as income to Releasor. Settling Defendants, Released Parties, and Releasor further recognize that the balance of Releasor’s allocated settlement funds, or $*****, constitutes payment for Releasor’s other, taxable claims, and is expected to be reported to Releasor on an IRS Form 1099-MISC. No later than ten days in advance of the transfer of any settlement funds to Releasor, Releasor shall provide the QSF administrator, the Settling Defendants and their respective authorized agents with a duly completed and signed IRS Form W-9, in form and substance reasonably satisfactory to the QSF administrator and the Settling Defendants, certifying that Releasor is a U.S. citizen or other U.S. person and not subject to backup withholding.</w:t>
      </w:r>
    </w:p>
    <w:p>
      <w:pPr>
        <w:spacing w:after="0" w:line="204" w:lineRule="exact"/>
        <w:rPr>
          <w:rFonts w:ascii="Arial" w:cs="Arial" w:eastAsia="Arial" w:hAnsi="Arial"/>
          <w:sz w:val="16"/>
          <w:szCs w:val="16"/>
          <w:color w:val="auto"/>
        </w:rPr>
      </w:pPr>
    </w:p>
    <w:p>
      <w:pPr>
        <w:jc w:val="both"/>
        <w:ind w:left="1400" w:hanging="657"/>
        <w:spacing w:after="0" w:line="254" w:lineRule="auto"/>
        <w:tabs>
          <w:tab w:leader="none" w:pos="13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Releasor understands and agrees that a substantial reason for Settling Defendants agreeing to pay and paying the money referenced in this Release Agreement is the settlement, release, and elimination of any and all claims that Releasor or others have now or in the future might have, absent this Release Agreement, for the alleged injuries of Releasor arising from, relating to, or in connection with the Covered Claims, or based on any of the conduct alleged in the litigation relating to any Covered Claims.</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LIENS AND SUBROGATION CLAIMS</w:t>
      </w:r>
    </w:p>
    <w:p>
      <w:pPr>
        <w:spacing w:after="0" w:line="225" w:lineRule="exact"/>
        <w:rPr>
          <w:sz w:val="20"/>
          <w:szCs w:val="20"/>
          <w:color w:val="auto"/>
        </w:rPr>
      </w:pPr>
    </w:p>
    <w:p>
      <w:pPr>
        <w:ind w:left="1400" w:hanging="656"/>
        <w:spacing w:after="0"/>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Releasor’s Responsibility for Liens and Subrogation Claims</w:t>
      </w:r>
      <w:r>
        <w:rPr>
          <w:rFonts w:ascii="Arial" w:cs="Arial" w:eastAsia="Arial" w:hAnsi="Arial"/>
          <w:sz w:val="18"/>
          <w:szCs w:val="18"/>
          <w:color w:val="auto"/>
        </w:rPr>
        <w:t>.</w:t>
      </w:r>
    </w:p>
    <w:p>
      <w:pPr>
        <w:spacing w:after="0" w:line="229" w:lineRule="exact"/>
        <w:rPr>
          <w:sz w:val="20"/>
          <w:szCs w:val="20"/>
          <w:color w:val="auto"/>
        </w:rPr>
      </w:pPr>
    </w:p>
    <w:p>
      <w:pPr>
        <w:jc w:val="both"/>
        <w:ind w:left="1400" w:hanging="656"/>
        <w:spacing w:after="0" w:line="218" w:lineRule="auto"/>
        <w:tabs>
          <w:tab w:leader="none" w:pos="1397"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Releasor is solely responsible for any liens and agrees to pay or has paid any liens held by or amounts owed to third parties, whether persons or entities, including any state or federal government entities, individual healthcare providers, insurers, litigation funders, or attorneys (all hereinafter “</w:t>
      </w:r>
      <w:r>
        <w:rPr>
          <w:rFonts w:ascii="Arial" w:cs="Arial" w:eastAsia="Arial" w:hAnsi="Arial"/>
          <w:sz w:val="17"/>
          <w:szCs w:val="17"/>
          <w:u w:val="single" w:color="auto"/>
          <w:color w:val="auto"/>
        </w:rPr>
        <w:t>Lien Holders</w:t>
      </w:r>
      <w:r>
        <w:rPr>
          <w:rFonts w:ascii="Arial" w:cs="Arial" w:eastAsia="Arial" w:hAnsi="Arial"/>
          <w:sz w:val="22"/>
          <w:szCs w:val="22"/>
          <w:color w:val="auto"/>
          <w:vertAlign w:val="superscript"/>
        </w:rPr>
        <w:t>1</w:t>
      </w:r>
      <w:r>
        <w:rPr>
          <w:rFonts w:ascii="Arial" w:cs="Arial" w:eastAsia="Arial" w:hAnsi="Arial"/>
          <w:sz w:val="17"/>
          <w:szCs w:val="17"/>
          <w:color w:val="auto"/>
        </w:rPr>
        <w:t>”), arising out of or related to Releasor’s Covered Claims. Releasor also agrees that any liens based on any hospital or medical expenses incurred as a result of Releasor’s claimed injuries arising from, relating to, or in connection with the Covered Claims will be resolved and/or satisfied by Releasor. Releasor will indemnify, defend, and hold harmless Released Parties from claims by any Lien Holders, actual or asserted.</w:t>
      </w:r>
    </w:p>
    <w:p>
      <w:pPr>
        <w:spacing w:after="0" w:line="191" w:lineRule="exact"/>
        <w:rPr>
          <w:rFonts w:ascii="Arial" w:cs="Arial" w:eastAsia="Arial" w:hAnsi="Arial"/>
          <w:sz w:val="17"/>
          <w:szCs w:val="17"/>
          <w:color w:val="auto"/>
        </w:rPr>
      </w:pPr>
    </w:p>
    <w:p>
      <w:pPr>
        <w:jc w:val="both"/>
        <w:ind w:left="1400" w:hanging="656"/>
        <w:spacing w:after="0" w:line="229" w:lineRule="auto"/>
        <w:tabs>
          <w:tab w:leader="none" w:pos="13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Releasor agrees that any interest in, lien on, or right of subrogation in his or her Covered Claims by or belonging to any and all entities and individuals, including without limitation any governmental agencies or authorities, attorneys, litigation funders, healthcare providers, and/or insurers, will be satisfied by Releasor’s allocated payment.</w:t>
      </w:r>
    </w:p>
    <w:p>
      <w:pPr>
        <w:spacing w:after="0" w:line="204" w:lineRule="exact"/>
        <w:rPr>
          <w:rFonts w:ascii="Arial" w:cs="Arial" w:eastAsia="Arial" w:hAnsi="Arial"/>
          <w:sz w:val="18"/>
          <w:szCs w:val="18"/>
          <w:color w:val="auto"/>
        </w:rPr>
      </w:pPr>
    </w:p>
    <w:p>
      <w:pPr>
        <w:ind w:left="1400" w:hanging="656"/>
        <w:spacing w:after="0" w:line="258" w:lineRule="auto"/>
        <w:tabs>
          <w:tab w:leader="none" w:pos="1397"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Releasor agrees that Released Parties are not responsible for liens or subrogation claims against any settlement payments or the costs and expenses incurred in resolving any such liens or subrogation claims against settlement payments.</w:t>
      </w:r>
    </w:p>
    <w:p>
      <w:pPr>
        <w:spacing w:after="0" w:line="187" w:lineRule="exact"/>
        <w:rPr>
          <w:rFonts w:ascii="Arial" w:cs="Arial" w:eastAsia="Arial" w:hAnsi="Arial"/>
          <w:sz w:val="17"/>
          <w:szCs w:val="17"/>
          <w:color w:val="auto"/>
        </w:rPr>
      </w:pPr>
    </w:p>
    <w:p>
      <w:pPr>
        <w:jc w:val="both"/>
        <w:ind w:left="1400" w:hanging="656"/>
        <w:spacing w:after="0" w:line="212" w:lineRule="auto"/>
        <w:tabs>
          <w:tab w:leader="none" w:pos="13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Releasor acknowledges that lien resolution may take place pursuant to a Medicare global model for any Medicare-entitled Releasor receiving payment under the Release Agreement. Releasor and Releasor’s Counsel agree to follow any centralized protocols to coordinate and aggregate the resolution of all Releasor’s lien obligations, including Medicare.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33" w:lineRule="exact"/>
        <w:rPr>
          <w:sz w:val="20"/>
          <w:szCs w:val="20"/>
          <w:color w:val="auto"/>
        </w:rPr>
      </w:pPr>
    </w:p>
    <w:p>
      <w:pPr>
        <w:jc w:val="both"/>
        <w:ind w:left="100" w:hanging="5"/>
        <w:spacing w:after="0" w:line="235" w:lineRule="auto"/>
        <w:tabs>
          <w:tab w:leader="none" w:pos="228" w:val="left"/>
        </w:tabs>
        <w:numPr>
          <w:ilvl w:val="0"/>
          <w:numId w:val="67"/>
        </w:numPr>
        <w:rPr>
          <w:rFonts w:ascii="Arial" w:cs="Arial" w:eastAsia="Arial" w:hAnsi="Arial"/>
          <w:sz w:val="22"/>
          <w:szCs w:val="22"/>
          <w:color w:val="auto"/>
          <w:vertAlign w:val="superscript"/>
        </w:rPr>
      </w:pPr>
      <w:r>
        <w:rPr>
          <w:rFonts w:ascii="Arial" w:cs="Arial" w:eastAsia="Arial" w:hAnsi="Arial"/>
          <w:sz w:val="17"/>
          <w:szCs w:val="17"/>
          <w:color w:val="auto"/>
        </w:rPr>
        <w:t>For purposes of this Release Agreement, the term Lien Holder shall expressly include (without limitation) the following: workers’ compensation carriers, health insurers, healthcare providers, Medicare, Medicaid, the U.S. Department of Veterans Affairs, the U.S. Department of Defense, TRICARE, Indian Health Services, litigation funders, attorneys, and any other private or public individual, entity, or program that holds liens or is owed payment arising out of or related to Releasor’s claimed injuries arising from, relating to, or in connection with the Covered Claims.</w:t>
      </w:r>
    </w:p>
    <w:p>
      <w:pPr>
        <w:sectPr>
          <w:pgSz w:w="11900" w:h="16838" w:orient="portrait"/>
          <w:cols w:equalWidth="0" w:num="1">
            <w:col w:w="11100"/>
          </w:cols>
          <w:pgMar w:left="340" w:top="746" w:right="459" w:bottom="1440" w:gutter="0" w:footer="0" w:header="0"/>
        </w:sectPr>
      </w:pPr>
    </w:p>
    <w:bookmarkStart w:id="67" w:name="page68"/>
    <w:bookmarkEnd w:id="67"/>
    <w:p>
      <w:pPr>
        <w:jc w:val="both"/>
        <w:ind w:left="1280" w:hanging="656"/>
        <w:spacing w:after="0" w:line="239" w:lineRule="auto"/>
        <w:tabs>
          <w:tab w:leader="none" w:pos="1277"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Releasor understands and agrees that as a condition to the disbursement of the allocated settlement funds to Releasor, Releasor, through Releasor’s Counsel or a lien resolution administrator retained by Releasor’s Counsel on behalf of Releasor, shall ensure that:</w:t>
      </w:r>
    </w:p>
    <w:p>
      <w:pPr>
        <w:ind w:left="1280"/>
        <w:spacing w:after="0"/>
        <w:rPr>
          <w:rFonts w:ascii="Arial" w:cs="Arial" w:eastAsia="Arial" w:hAnsi="Arial"/>
          <w:sz w:val="16"/>
          <w:szCs w:val="16"/>
          <w:color w:val="auto"/>
        </w:rPr>
      </w:pPr>
      <w:r>
        <w:rPr>
          <w:rFonts w:ascii="Arial" w:cs="Arial" w:eastAsia="Arial" w:hAnsi="Arial"/>
          <w:sz w:val="16"/>
          <w:szCs w:val="16"/>
          <w:color w:val="auto"/>
        </w:rPr>
        <w:t>(1) any and all known medical liens, claims arising from medical expenses, past, present, and/or future, and/or other liens including</w:t>
      </w:r>
    </w:p>
    <w:p>
      <w:pPr>
        <w:spacing w:after="0" w:line="5" w:lineRule="exact"/>
        <w:rPr>
          <w:sz w:val="20"/>
          <w:szCs w:val="20"/>
          <w:color w:val="auto"/>
        </w:rPr>
      </w:pPr>
    </w:p>
    <w:p>
      <w:pPr>
        <w:jc w:val="both"/>
        <w:ind w:left="1280"/>
        <w:spacing w:after="0" w:line="234" w:lineRule="auto"/>
        <w:rPr>
          <w:sz w:val="20"/>
          <w:szCs w:val="20"/>
          <w:color w:val="auto"/>
        </w:rPr>
      </w:pPr>
      <w:r>
        <w:rPr>
          <w:rFonts w:ascii="Arial" w:cs="Arial" w:eastAsia="Arial" w:hAnsi="Arial"/>
          <w:sz w:val="16"/>
          <w:szCs w:val="16"/>
          <w:color w:val="auto"/>
        </w:rPr>
        <w:t>but not restricted to liens and/or claims by any Lien Holder (hereinafter “</w:t>
      </w:r>
      <w:r>
        <w:rPr>
          <w:rFonts w:ascii="Arial" w:cs="Arial" w:eastAsia="Arial" w:hAnsi="Arial"/>
          <w:sz w:val="16"/>
          <w:szCs w:val="16"/>
          <w:u w:val="single" w:color="auto"/>
          <w:color w:val="auto"/>
        </w:rPr>
        <w:t>Liens</w:t>
      </w:r>
      <w:r>
        <w:rPr>
          <w:rFonts w:ascii="Arial" w:cs="Arial" w:eastAsia="Arial" w:hAnsi="Arial"/>
          <w:sz w:val="16"/>
          <w:szCs w:val="16"/>
          <w:color w:val="auto"/>
        </w:rPr>
        <w:t>”), incurred as a result of Releasor’s claims or claimed injuries arising from, relating to, or in connection with the Covered Claims have been, or will be, resolved, or that a holdback amount has been agreed to with Medicare, and (2) each Lien asserted by a state or federal government, individual healthcare provider, insurer,</w:t>
      </w:r>
    </w:p>
    <w:p>
      <w:pPr>
        <w:spacing w:after="0" w:line="2" w:lineRule="exact"/>
        <w:rPr>
          <w:sz w:val="20"/>
          <w:szCs w:val="20"/>
          <w:color w:val="auto"/>
        </w:rPr>
      </w:pPr>
    </w:p>
    <w:p>
      <w:pPr>
        <w:jc w:val="both"/>
        <w:ind w:left="1280"/>
        <w:spacing w:after="0" w:line="234" w:lineRule="auto"/>
        <w:rPr>
          <w:sz w:val="20"/>
          <w:szCs w:val="20"/>
          <w:color w:val="auto"/>
        </w:rPr>
      </w:pPr>
      <w:r>
        <w:rPr>
          <w:rFonts w:ascii="Arial" w:cs="Arial" w:eastAsia="Arial" w:hAnsi="Arial"/>
          <w:sz w:val="16"/>
          <w:szCs w:val="16"/>
          <w:color w:val="auto"/>
        </w:rPr>
        <w:t>litigation funders, and/or attorney Lien Holder has been, or will be, resolved. In addition to the foregoing, Releasor, through Releasor’s Counsel or a lien resolution administrator retained by Releasor’s Counsel on behalf of Releasor, shall cooperate fully with Released Parties, their attorneys and agents by executing any and all documents and providing any additional information required by</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or on behalf of the Releasor to comply with mandatory reporting requirements.</w:t>
      </w:r>
    </w:p>
    <w:p>
      <w:pPr>
        <w:spacing w:after="0" w:line="209" w:lineRule="exact"/>
        <w:rPr>
          <w:sz w:val="20"/>
          <w:szCs w:val="20"/>
          <w:color w:val="auto"/>
        </w:rPr>
      </w:pPr>
    </w:p>
    <w:p>
      <w:pPr>
        <w:jc w:val="both"/>
        <w:ind w:left="1280" w:hanging="656"/>
        <w:spacing w:after="0" w:line="244" w:lineRule="auto"/>
        <w:tabs>
          <w:tab w:leader="none" w:pos="1271"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Releasor further agrees to cooperate fully with Released Parties, their attorneys and agents by executing any and all documents and providing any additional information required by or on behalf of the Releasor to comply with the mandatory Medicare reporting requirements of Section 111 of the Medicare, Medicaid and SCHIP Extension Act of 2007 (“</w:t>
      </w:r>
      <w:r>
        <w:rPr>
          <w:rFonts w:ascii="Arial" w:cs="Arial" w:eastAsia="Arial" w:hAnsi="Arial"/>
          <w:sz w:val="16"/>
          <w:szCs w:val="16"/>
          <w:u w:val="single" w:color="auto"/>
          <w:color w:val="auto"/>
        </w:rPr>
        <w:t>MMSEA § 111</w:t>
      </w:r>
      <w:r>
        <w:rPr>
          <w:rFonts w:ascii="Arial" w:cs="Arial" w:eastAsia="Arial" w:hAnsi="Arial"/>
          <w:sz w:val="16"/>
          <w:szCs w:val="16"/>
          <w:color w:val="auto"/>
        </w:rPr>
        <w:t>”). If Releasor is found to be Medicare eligible, Sterigenics U.S., LLC, as the Responsible Reporting Entity (under the provisions of MMSEA § 111) shall report the settlement in accordance with MMSEA § 111, and will share the same with Releasor’s Counsel. Releasor further specifically releases and relinquishes any and all right to and claim for any private cause of action pursuant to 42 U.S.C. § 1395y(b)(3)(A).</w:t>
      </w:r>
    </w:p>
    <w:p>
      <w:pPr>
        <w:spacing w:after="0" w:line="200" w:lineRule="exact"/>
        <w:rPr>
          <w:rFonts w:ascii="Arial" w:cs="Arial" w:eastAsia="Arial" w:hAnsi="Arial"/>
          <w:sz w:val="16"/>
          <w:szCs w:val="16"/>
          <w:color w:val="auto"/>
        </w:rPr>
      </w:pPr>
    </w:p>
    <w:p>
      <w:pPr>
        <w:ind w:left="1280" w:right="20" w:hanging="657"/>
        <w:spacing w:after="0" w:line="289" w:lineRule="auto"/>
        <w:tabs>
          <w:tab w:leader="none" w:pos="1274"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addition, Releasor expressly agrees and undertakes to indemnify, defend, and hold harmless the Released Parties from all costs and expenses incurred on account of any claims, demands, rights or causes of action by any other person or entity claiming:</w:t>
      </w:r>
    </w:p>
    <w:p>
      <w:pPr>
        <w:spacing w:after="0" w:line="164" w:lineRule="exact"/>
        <w:rPr>
          <w:rFonts w:ascii="Arial" w:cs="Arial" w:eastAsia="Arial" w:hAnsi="Arial"/>
          <w:sz w:val="16"/>
          <w:szCs w:val="16"/>
          <w:color w:val="auto"/>
        </w:rPr>
      </w:pPr>
    </w:p>
    <w:p>
      <w:pPr>
        <w:ind w:left="1580" w:hanging="423"/>
        <w:spacing w:after="0"/>
        <w:tabs>
          <w:tab w:leader="none" w:pos="1580" w:val="left"/>
        </w:tabs>
        <w:numPr>
          <w:ilvl w:val="3"/>
          <w:numId w:val="69"/>
        </w:numPr>
        <w:rPr>
          <w:rFonts w:ascii="Arial" w:cs="Arial" w:eastAsia="Arial" w:hAnsi="Arial"/>
          <w:sz w:val="18"/>
          <w:szCs w:val="18"/>
          <w:color w:val="auto"/>
        </w:rPr>
      </w:pPr>
      <w:r>
        <w:rPr>
          <w:rFonts w:ascii="Arial" w:cs="Arial" w:eastAsia="Arial" w:hAnsi="Arial"/>
          <w:sz w:val="18"/>
          <w:szCs w:val="18"/>
          <w:color w:val="auto"/>
        </w:rPr>
        <w:t>a right on behalf of or through the Releasor as against the Released Parties;</w:t>
      </w:r>
    </w:p>
    <w:p>
      <w:pPr>
        <w:spacing w:after="0" w:line="225" w:lineRule="exact"/>
        <w:rPr>
          <w:rFonts w:ascii="Arial" w:cs="Arial" w:eastAsia="Arial" w:hAnsi="Arial"/>
          <w:sz w:val="18"/>
          <w:szCs w:val="18"/>
          <w:color w:val="auto"/>
        </w:rPr>
      </w:pPr>
    </w:p>
    <w:p>
      <w:pPr>
        <w:ind w:left="1600" w:hanging="504"/>
        <w:spacing w:after="0"/>
        <w:tabs>
          <w:tab w:leader="none" w:pos="16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Lien upon, subrogated interest in, or right or entitlement to the proceeds of the settlement;</w:t>
      </w:r>
    </w:p>
    <w:p>
      <w:pPr>
        <w:spacing w:after="0" w:line="225" w:lineRule="exact"/>
        <w:rPr>
          <w:rFonts w:ascii="Arial" w:cs="Arial" w:eastAsia="Arial" w:hAnsi="Arial"/>
          <w:sz w:val="18"/>
          <w:szCs w:val="18"/>
          <w:color w:val="auto"/>
        </w:rPr>
      </w:pPr>
    </w:p>
    <w:p>
      <w:pPr>
        <w:ind w:left="1600" w:right="1200" w:hanging="563"/>
        <w:spacing w:after="0" w:line="235" w:lineRule="auto"/>
        <w:tabs>
          <w:tab w:leader="none" w:pos="1587"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right to reimbursement or subrogation for any reason arising out of the consideration payable under this Release Agreement;</w:t>
      </w:r>
    </w:p>
    <w:p>
      <w:pPr>
        <w:spacing w:after="0" w:line="202" w:lineRule="exact"/>
        <w:rPr>
          <w:rFonts w:ascii="Arial" w:cs="Arial" w:eastAsia="Arial" w:hAnsi="Arial"/>
          <w:sz w:val="18"/>
          <w:szCs w:val="18"/>
          <w:color w:val="auto"/>
        </w:rPr>
      </w:pPr>
    </w:p>
    <w:p>
      <w:pPr>
        <w:ind w:left="1600" w:right="240" w:hanging="551"/>
        <w:spacing w:after="0" w:line="229" w:lineRule="auto"/>
        <w:tabs>
          <w:tab w:leader="none" w:pos="1577" w:val="left"/>
        </w:tabs>
        <w:numPr>
          <w:ilvl w:val="1"/>
          <w:numId w:val="69"/>
        </w:numPr>
        <w:rPr>
          <w:rFonts w:ascii="Arial" w:cs="Arial" w:eastAsia="Arial" w:hAnsi="Arial"/>
          <w:sz w:val="17"/>
          <w:szCs w:val="17"/>
          <w:color w:val="auto"/>
        </w:rPr>
      </w:pPr>
      <w:r>
        <w:rPr>
          <w:rFonts w:ascii="Arial" w:cs="Arial" w:eastAsia="Arial" w:hAnsi="Arial"/>
          <w:sz w:val="17"/>
          <w:szCs w:val="17"/>
          <w:color w:val="auto"/>
        </w:rPr>
        <w:t>a right to recovery by, or reimbursement to, the appropriate funds for conditional payments made or to be made by The Centers for Medicare and Medicaid Services (such payments, “</w:t>
      </w:r>
      <w:r>
        <w:rPr>
          <w:rFonts w:ascii="Arial" w:cs="Arial" w:eastAsia="Arial" w:hAnsi="Arial"/>
          <w:sz w:val="17"/>
          <w:szCs w:val="17"/>
          <w:u w:val="single" w:color="auto"/>
          <w:color w:val="auto"/>
        </w:rPr>
        <w:t>Government Health Payments</w:t>
      </w:r>
      <w:r>
        <w:rPr>
          <w:rFonts w:ascii="Arial" w:cs="Arial" w:eastAsia="Arial" w:hAnsi="Arial"/>
          <w:sz w:val="17"/>
          <w:szCs w:val="17"/>
          <w:color w:val="auto"/>
        </w:rPr>
        <w:t>”) with respect to covered items and services (or any portion thereof), pursuant to 42 U.S.C. § 1395y(b), and corresponding regulations, including but not limited to 42 CFR § 411.22 and 42 CFR § 411.24, including any amendments thereto or interpretations thereof that may be placed upon such statutes and regulations by any state or federal court (sometimes known as the “Medicare Secondary Payor” laws and program). Releasor expressly agrees that he or she assumes full responsibility for satisfying any and all notification, reimbursement and recovery obligations owed with respect to Government Health Payments; or</w:t>
      </w:r>
    </w:p>
    <w:p>
      <w:pPr>
        <w:spacing w:after="0" w:line="206" w:lineRule="exact"/>
        <w:rPr>
          <w:rFonts w:ascii="Arial" w:cs="Arial" w:eastAsia="Arial" w:hAnsi="Arial"/>
          <w:sz w:val="17"/>
          <w:szCs w:val="17"/>
          <w:color w:val="auto"/>
        </w:rPr>
      </w:pPr>
    </w:p>
    <w:p>
      <w:pPr>
        <w:ind w:left="1600" w:right="100" w:hanging="490"/>
        <w:spacing w:after="0" w:line="235" w:lineRule="auto"/>
        <w:tabs>
          <w:tab w:leader="none" w:pos="1588" w:val="left"/>
        </w:tabs>
        <w:numPr>
          <w:ilvl w:val="2"/>
          <w:numId w:val="70"/>
        </w:numPr>
        <w:rPr>
          <w:rFonts w:ascii="Arial" w:cs="Arial" w:eastAsia="Arial" w:hAnsi="Arial"/>
          <w:sz w:val="18"/>
          <w:szCs w:val="18"/>
          <w:color w:val="auto"/>
        </w:rPr>
      </w:pPr>
      <w:r>
        <w:rPr>
          <w:rFonts w:ascii="Arial" w:cs="Arial" w:eastAsia="Arial" w:hAnsi="Arial"/>
          <w:sz w:val="18"/>
          <w:szCs w:val="18"/>
          <w:color w:val="auto"/>
        </w:rPr>
        <w:t>a right against Released Parties due to the fact that Releasor is, in fact, a party to bankruptcy proceedings at such time as to affect the rights of Released Parties under this Release Agreement.</w:t>
      </w:r>
    </w:p>
    <w:p>
      <w:pPr>
        <w:spacing w:after="0" w:line="202" w:lineRule="exact"/>
        <w:rPr>
          <w:rFonts w:ascii="Arial" w:cs="Arial" w:eastAsia="Arial" w:hAnsi="Arial"/>
          <w:sz w:val="18"/>
          <w:szCs w:val="18"/>
          <w:color w:val="auto"/>
        </w:rPr>
      </w:pPr>
    </w:p>
    <w:p>
      <w:pPr>
        <w:jc w:val="both"/>
        <w:ind w:left="1280" w:hanging="656"/>
        <w:spacing w:after="0" w:line="230" w:lineRule="auto"/>
        <w:tabs>
          <w:tab w:leader="none" w:pos="1274"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Releasor further expressly agrees and covenants to release, discharge, forever indemnify, defend, and hold harmless the Released Parties and their attorneys from any Liens and/or claims which may arise or may have arisen in favor of Medicare, Medicaid, any other government program or any other governmental entity, federal, state or local, by operation of law or equity, for medical expenses, disability benefits, or any other charge or expense, directly or indirectly relating to Releasor’s injuries arising from, relating to, or in connection with the Covered Claims. The indemnification set forth in this Section specifically includes, but is not limited to, the payment of all reasonable costs and expenses of investigation, defense, settlement, attorney fees, judgments, court costs, and all other costs and expenses of defending such claims. Releasor’s total indemnification obligations under this Release Agreement shall not exceed Releasor’s settlement amount.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25" w:lineRule="exact"/>
        <w:rPr>
          <w:sz w:val="20"/>
          <w:szCs w:val="20"/>
          <w:color w:val="auto"/>
        </w:rPr>
      </w:pPr>
    </w:p>
    <w:p>
      <w:pPr>
        <w:ind w:left="-20" w:right="300" w:firstLine="644"/>
        <w:spacing w:after="0" w:line="237" w:lineRule="auto"/>
        <w:tabs>
          <w:tab w:leader="none" w:pos="11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Good Faith Settlement Determination</w:t>
      </w:r>
      <w:r>
        <w:rPr>
          <w:rFonts w:ascii="Arial" w:cs="Arial" w:eastAsia="Arial" w:hAnsi="Arial"/>
          <w:sz w:val="18"/>
          <w:szCs w:val="18"/>
          <w:color w:val="auto"/>
        </w:rPr>
        <w:t>. If requested by any Released Party, Releasor will cooperate and use best efforts to obtain a</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Settlement Determination.</w:t>
      </w:r>
    </w:p>
    <w:p>
      <w:pPr>
        <w:sectPr>
          <w:pgSz w:w="11900" w:h="16838" w:orient="portrait"/>
          <w:cols w:equalWidth="0" w:num="1">
            <w:col w:w="10980"/>
          </w:cols>
          <w:pgMar w:left="460" w:top="1003" w:right="459" w:bottom="1440" w:gutter="0" w:footer="0" w:header="0"/>
        </w:sectPr>
      </w:pPr>
    </w:p>
    <w:bookmarkStart w:id="68" w:name="page69"/>
    <w:bookmarkEnd w:id="68"/>
    <w:p>
      <w:pPr>
        <w:ind w:left="-20" w:firstLine="643"/>
        <w:spacing w:after="0" w:line="237" w:lineRule="auto"/>
        <w:tabs>
          <w:tab w:leader="none" w:pos="1157"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Release Agreement shall be governed by and construed in accordance with the law of the State of Illinois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any choice-of-law rules that would require the application of the law of another jurisdiction.</w:t>
      </w:r>
    </w:p>
    <w:p>
      <w:pPr>
        <w:spacing w:after="0" w:line="198" w:lineRule="exact"/>
        <w:rPr>
          <w:rFonts w:ascii="Arial" w:cs="Arial" w:eastAsia="Arial" w:hAnsi="Arial"/>
          <w:sz w:val="18"/>
          <w:szCs w:val="18"/>
          <w:color w:val="auto"/>
        </w:rPr>
      </w:pPr>
    </w:p>
    <w:p>
      <w:pPr>
        <w:jc w:val="both"/>
        <w:ind w:left="-20" w:firstLine="643"/>
        <w:spacing w:after="0" w:line="224" w:lineRule="auto"/>
        <w:tabs>
          <w:tab w:leader="none" w:pos="1163"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Competence</w:t>
      </w:r>
      <w:r>
        <w:rPr>
          <w:rFonts w:ascii="Arial" w:cs="Arial" w:eastAsia="Arial" w:hAnsi="Arial"/>
          <w:sz w:val="18"/>
          <w:szCs w:val="18"/>
          <w:color w:val="auto"/>
        </w:rPr>
        <w:t>. Releasor warrants and represents that he or she is of legal age and legally competent to execute this Release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promise or condition not contained or expressly referenced in this Release Agreement has been made to him or her, and that Releasor has been fully informed of the terms of this Release Agreement through discussions with Releasor’s Counsel. No term in this Release Agreement shall be construed against any party on the basis that the party drafted the Release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60" w:top="999" w:right="459" w:bottom="1440" w:gutter="0" w:footer="0" w:header="0"/>
        </w:sectPr>
      </w:pPr>
    </w:p>
    <w:bookmarkStart w:id="69" w:name="page70"/>
    <w:bookmarkEnd w:id="69"/>
    <w:p>
      <w:pPr>
        <w:ind w:left="120" w:right="240"/>
        <w:spacing w:after="0" w:line="248" w:lineRule="auto"/>
        <w:rPr>
          <w:sz w:val="20"/>
          <w:szCs w:val="20"/>
          <w:color w:val="auto"/>
        </w:rPr>
      </w:pPr>
      <w:r>
        <w:rPr>
          <w:rFonts w:ascii="Arial" w:cs="Arial" w:eastAsia="Arial" w:hAnsi="Arial"/>
          <w:sz w:val="16"/>
          <w:szCs w:val="16"/>
          <w:color w:val="auto"/>
        </w:rPr>
        <w:t>Under penalties as provided by law pursuant to Section 1-109 of the Illinois Code of Civil Procedure, the undersigned Releasor certifies that the statements set forth in this Release Agreement are true and correct, except as to matters therein stated to be on information and belief and as to</w:t>
      </w:r>
    </w:p>
    <w:p>
      <w:pPr>
        <w:ind w:left="120"/>
        <w:spacing w:after="0"/>
        <w:rPr>
          <w:sz w:val="20"/>
          <w:szCs w:val="20"/>
          <w:color w:val="auto"/>
        </w:rPr>
      </w:pPr>
      <w:r>
        <w:rPr>
          <w:rFonts w:ascii="Arial" w:cs="Arial" w:eastAsia="Arial" w:hAnsi="Arial"/>
          <w:sz w:val="18"/>
          <w:szCs w:val="18"/>
          <w:color w:val="auto"/>
        </w:rPr>
        <w:t>such matters the undersigned certifies as aforesaid that the Releasor verily believes the same to be true.</w:t>
      </w:r>
    </w:p>
    <w:p>
      <w:pPr>
        <w:spacing w:after="0" w:line="385"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so signing, I acknowledge that all provisions have been fully agreed to, understood and comprehended by me, and that I enter into this Release Agreement knowingly and voluntarily for the purpose of making a full and final compromise and settlement of any and all claims arising out of the matters referred to above. This certification shall have the same effect as a verification provided and sworn under oath.</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Susan M. Kamuda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6574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RELEASOR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FULL NAME OF RELEASOR: Susan Kamuda</w:t>
      </w:r>
    </w:p>
    <w:p>
      <w:pPr>
        <w:sectPr>
          <w:pgSz w:w="11900" w:h="16838" w:orient="portrait"/>
          <w:cols w:equalWidth="0" w:num="1">
            <w:col w:w="10720"/>
          </w:cols>
          <w:pgMar w:left="320" w:top="814" w:right="85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-3175</wp:posOffset>
            </wp:positionV>
            <wp:extent cx="1143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3/27/2023</w:t>
      </w:r>
    </w:p>
    <w:p>
      <w:pPr>
        <w:spacing w:after="0" w:line="359" w:lineRule="exact"/>
        <w:rPr>
          <w:sz w:val="20"/>
          <w:szCs w:val="20"/>
          <w:color w:val="auto"/>
        </w:rPr>
      </w:pPr>
    </w:p>
    <w:p>
      <w:pPr>
        <w:sectPr>
          <w:pgSz w:w="11900" w:h="16838" w:orient="portrait"/>
          <w:cols w:equalWidth="0" w:num="2">
            <w:col w:w="1240" w:space="720"/>
            <w:col w:w="8760"/>
          </w:cols>
          <w:pgMar w:left="320" w:top="814" w:right="859" w:bottom="208"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DOB: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8001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SSN: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7423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STATE OF ILLINOIS</w:t>
      </w:r>
    </w:p>
    <w:p>
      <w:pPr>
        <w:spacing w:after="0" w:line="26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DuPage</w:t>
      </w:r>
    </w:p>
    <w:p>
      <w:pPr>
        <w:spacing w:after="0"/>
        <w:rPr>
          <w:sz w:val="20"/>
          <w:szCs w:val="20"/>
          <w:color w:val="auto"/>
        </w:rPr>
      </w:pPr>
      <w:r>
        <w:rPr>
          <w:rFonts w:ascii="Arial" w:cs="Arial" w:eastAsia="Arial" w:hAnsi="Arial"/>
          <w:sz w:val="18"/>
          <w:szCs w:val="18"/>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-71755</wp:posOffset>
            </wp:positionV>
            <wp:extent cx="7283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ectPr>
          <w:pgSz w:w="11900" w:h="16838" w:orient="portrait"/>
          <w:cols w:equalWidth="0" w:num="1">
            <w:col w:w="10720"/>
          </w:cols>
          <w:pgMar w:left="320" w:top="814" w:right="859" w:bottom="2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Release Agreement – Susan Kamuda</w:t>
      </w:r>
      <w:r>
        <w:rPr>
          <w:rFonts w:ascii="Arial" w:cs="Arial" w:eastAsia="Arial" w:hAnsi="Arial"/>
          <w:sz w:val="15"/>
          <w:szCs w:val="15"/>
          <w:color w:val="auto"/>
        </w:rPr>
        <w:t>]</w:t>
      </w:r>
    </w:p>
    <w:p>
      <w:pPr>
        <w:sectPr>
          <w:pgSz w:w="11900" w:h="16838" w:orient="portrait"/>
          <w:cols w:equalWidth="0" w:num="1">
            <w:col w:w="10720"/>
          </w:cols>
          <w:pgMar w:left="320" w:top="814" w:right="859" w:bottom="208"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363636"/>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20"/>
          <w:szCs w:val="20"/>
          <w:color w:val="232323"/>
        </w:rPr>
        <w:t>SETTLING DEFENDANTS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232323"/>
        </w:rPr>
        <w:t>Acknowledged:</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20"/>
          <w:szCs w:val="20"/>
          <w:color w:val="232323"/>
        </w:rPr>
        <w:t>SOTERA HEALTH LLC: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28803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232323"/>
        </w:rPr>
        <w:t>Name: Matthew J. Klaben</w:t>
      </w:r>
    </w:p>
    <w:p>
      <w:pPr>
        <w:spacing w:after="0" w:line="54"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20"/>
          <w:szCs w:val="20"/>
          <w:color w:val="232323"/>
        </w:rPr>
        <w:t>Its:</w:t>
      </w:r>
      <w:r>
        <w:rPr>
          <w:sz w:val="20"/>
          <w:szCs w:val="20"/>
          <w:color w:val="auto"/>
        </w:rPr>
        <w:tab/>
      </w:r>
      <w:r>
        <w:rPr>
          <w:rFonts w:ascii="Arial" w:cs="Arial" w:eastAsia="Arial" w:hAnsi="Arial"/>
          <w:sz w:val="16"/>
          <w:szCs w:val="16"/>
          <w:color w:val="232323"/>
        </w:rPr>
        <w:t>Senior Vice President, General Counsel and Secretary</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0"/>
          <w:szCs w:val="20"/>
          <w:color w:val="232323"/>
        </w:rPr>
        <w:t>STERIGENICS U.S., LLC: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28803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232323"/>
        </w:rPr>
        <w:t>Name: Matthew J. Klaben</w:t>
      </w:r>
    </w:p>
    <w:p>
      <w:pPr>
        <w:spacing w:after="0" w:line="54"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20"/>
          <w:szCs w:val="20"/>
          <w:color w:val="232323"/>
        </w:rPr>
        <w:t>Its:</w:t>
      </w:r>
      <w:r>
        <w:rPr>
          <w:sz w:val="20"/>
          <w:szCs w:val="20"/>
          <w:color w:val="auto"/>
        </w:rPr>
        <w:tab/>
      </w:r>
      <w:r>
        <w:rPr>
          <w:rFonts w:ascii="Arial" w:cs="Arial" w:eastAsia="Arial" w:hAnsi="Arial"/>
          <w:sz w:val="16"/>
          <w:szCs w:val="16"/>
          <w:color w:val="232323"/>
        </w:rPr>
        <w:t>Senior Vice President, General Counsel and Secretary</w:t>
      </w:r>
    </w:p>
    <w:p>
      <w:pPr>
        <w:spacing w:after="0" w:line="200" w:lineRule="exact"/>
        <w:rPr>
          <w:sz w:val="20"/>
          <w:szCs w:val="20"/>
          <w:color w:val="auto"/>
        </w:rPr>
      </w:pPr>
    </w:p>
    <w:p>
      <w:pPr>
        <w:sectPr>
          <w:pgSz w:w="11900" w:h="16838" w:orient="portrait"/>
          <w:cols w:equalWidth="0" w:num="2">
            <w:col w:w="260" w:space="80"/>
            <w:col w:w="9799"/>
          </w:cols>
          <w:pgMar w:left="320" w:top="1440" w:right="1440" w:bottom="8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Release Agreement – Susan Kamuda</w:t>
      </w:r>
      <w:r>
        <w:rPr>
          <w:rFonts w:ascii="Arial" w:cs="Arial" w:eastAsia="Arial" w:hAnsi="Arial"/>
          <w:sz w:val="15"/>
          <w:szCs w:val="15"/>
          <w:color w:val="auto"/>
        </w:rPr>
        <w:t>]</w:t>
      </w:r>
    </w:p>
    <w:p>
      <w:pPr>
        <w:sectPr>
          <w:pgSz w:w="11900" w:h="16838" w:orient="portrait"/>
          <w:cols w:equalWidth="0" w:num="1">
            <w:col w:w="10139"/>
          </w:cols>
          <w:pgMar w:left="320" w:top="1440" w:right="1440" w:bottom="829" w:gutter="0" w:footer="0" w:header="0"/>
          <w:type w:val="continuous"/>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u w:val="single" w:color="auto"/>
          <w:color w:val="auto"/>
        </w:rPr>
        <w:t>RELEASE AGREEMENT</w:t>
      </w:r>
    </w:p>
    <w:p>
      <w:pPr>
        <w:spacing w:after="0" w:line="229" w:lineRule="exact"/>
        <w:rPr>
          <w:sz w:val="20"/>
          <w:szCs w:val="20"/>
          <w:color w:val="auto"/>
        </w:rPr>
      </w:pPr>
    </w:p>
    <w:p>
      <w:pPr>
        <w:jc w:val="both"/>
        <w:ind w:left="120" w:right="20" w:firstLine="648"/>
        <w:spacing w:after="0" w:line="235" w:lineRule="auto"/>
        <w:rPr>
          <w:sz w:val="20"/>
          <w:szCs w:val="20"/>
          <w:color w:val="auto"/>
        </w:rPr>
      </w:pPr>
      <w:r>
        <w:rPr>
          <w:rFonts w:ascii="Arial" w:cs="Arial" w:eastAsia="Arial" w:hAnsi="Arial"/>
          <w:sz w:val="18"/>
          <w:szCs w:val="18"/>
          <w:color w:val="auto"/>
        </w:rPr>
        <w:t>This Release Agreement (the “</w:t>
      </w:r>
      <w:r>
        <w:rPr>
          <w:rFonts w:ascii="Arial" w:cs="Arial" w:eastAsia="Arial" w:hAnsi="Arial"/>
          <w:sz w:val="18"/>
          <w:szCs w:val="18"/>
          <w:u w:val="single" w:color="auto"/>
          <w:color w:val="auto"/>
        </w:rPr>
        <w:t>Release Agreement</w:t>
      </w:r>
      <w:r>
        <w:rPr>
          <w:rFonts w:ascii="Arial" w:cs="Arial" w:eastAsia="Arial" w:hAnsi="Arial"/>
          <w:sz w:val="18"/>
          <w:szCs w:val="18"/>
          <w:color w:val="auto"/>
        </w:rPr>
        <w:t>”) is made and entered into on the date signed below by Brian Kamuda (the “</w:t>
      </w:r>
      <w:r>
        <w:rPr>
          <w:rFonts w:ascii="Arial" w:cs="Arial" w:eastAsia="Arial" w:hAnsi="Arial"/>
          <w:sz w:val="18"/>
          <w:szCs w:val="18"/>
          <w:u w:val="single" w:color="auto"/>
          <w:color w:val="auto"/>
        </w:rPr>
        <w:t>Releasor</w:t>
      </w:r>
      <w:r>
        <w:rPr>
          <w:rFonts w:ascii="Arial" w:cs="Arial" w:eastAsia="Arial" w:hAnsi="Arial"/>
          <w:sz w:val="18"/>
          <w:szCs w:val="18"/>
          <w:color w:val="auto"/>
        </w:rPr>
        <w:t>”) and takes effect on the Effective Date (as defined herein).</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120" w:right="20" w:firstLine="648"/>
        <w:spacing w:after="0" w:line="241" w:lineRule="auto"/>
        <w:rPr>
          <w:sz w:val="20"/>
          <w:szCs w:val="20"/>
          <w:color w:val="auto"/>
        </w:rPr>
      </w:pPr>
      <w:r>
        <w:rPr>
          <w:rFonts w:ascii="Arial" w:cs="Arial" w:eastAsia="Arial" w:hAnsi="Arial"/>
          <w:sz w:val="16"/>
          <w:szCs w:val="16"/>
          <w:color w:val="auto"/>
        </w:rPr>
        <w:t>WHEREAS, on March 28, 2023, Sotera Health LLC and Sterigenics U.S., LLC (“</w:t>
      </w:r>
      <w:r>
        <w:rPr>
          <w:rFonts w:ascii="Arial" w:cs="Arial" w:eastAsia="Arial" w:hAnsi="Arial"/>
          <w:sz w:val="16"/>
          <w:szCs w:val="16"/>
          <w:u w:val="single" w:color="auto"/>
          <w:color w:val="auto"/>
        </w:rPr>
        <w:t>Settling Defendants</w:t>
      </w:r>
      <w:r>
        <w:rPr>
          <w:rFonts w:ascii="Arial" w:cs="Arial" w:eastAsia="Arial" w:hAnsi="Arial"/>
          <w:sz w:val="16"/>
          <w:szCs w:val="16"/>
          <w:color w:val="auto"/>
        </w:rPr>
        <w:t>”) and counsel for Releasor (“</w:t>
      </w:r>
      <w:r>
        <w:rPr>
          <w:rFonts w:ascii="Arial" w:cs="Arial" w:eastAsia="Arial" w:hAnsi="Arial"/>
          <w:sz w:val="16"/>
          <w:szCs w:val="16"/>
          <w:u w:val="single" w:color="auto"/>
          <w:color w:val="auto"/>
        </w:rPr>
        <w:t>Releasor’s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Counsel</w:t>
      </w:r>
      <w:r>
        <w:rPr>
          <w:rFonts w:ascii="Arial" w:cs="Arial" w:eastAsia="Arial" w:hAnsi="Arial"/>
          <w:sz w:val="16"/>
          <w:szCs w:val="16"/>
          <w:color w:val="auto"/>
        </w:rPr>
        <w:t>”) entered into a binding agreement to provide for the full and final resolution (the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of the Releasor’s Covered Claims (as defined herein), including claims that have been, could have been, or may be asserted against Settling Defendants or others for injury arising from,</w:t>
      </w:r>
    </w:p>
    <w:p>
      <w:pPr>
        <w:spacing w:after="0" w:line="2" w:lineRule="exact"/>
        <w:rPr>
          <w:sz w:val="20"/>
          <w:szCs w:val="20"/>
          <w:color w:val="auto"/>
        </w:rPr>
      </w:pPr>
    </w:p>
    <w:p>
      <w:pPr>
        <w:jc w:val="both"/>
        <w:ind w:left="120" w:right="20"/>
        <w:spacing w:after="0" w:line="226" w:lineRule="auto"/>
        <w:rPr>
          <w:sz w:val="20"/>
          <w:szCs w:val="20"/>
          <w:color w:val="auto"/>
        </w:rPr>
      </w:pPr>
      <w:r>
        <w:rPr>
          <w:rFonts w:ascii="Arial" w:cs="Arial" w:eastAsia="Arial" w:hAnsi="Arial"/>
          <w:sz w:val="18"/>
          <w:szCs w:val="18"/>
          <w:color w:val="auto"/>
        </w:rPr>
        <w:t>relating to, or in connection with the use and/or emission of ethylene oxide by and/or from Sterigenics U.S., LLC’s or any other Released Party’s (as defined herein) operations in or around Willowbrook, Illinois;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Settling Defendants deny any and all liability with respect to the Covered Claims, and deny any liability to Releasor;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in return for good and valuable consideration, which shall be ***** (the “</w:t>
      </w:r>
      <w:r>
        <w:rPr>
          <w:rFonts w:ascii="Arial" w:cs="Arial" w:eastAsia="Arial" w:hAnsi="Arial"/>
          <w:sz w:val="18"/>
          <w:szCs w:val="18"/>
          <w:u w:val="single" w:color="auto"/>
          <w:color w:val="auto"/>
        </w:rPr>
        <w:t>Settlement Amount</w:t>
      </w:r>
      <w:r>
        <w:rPr>
          <w:rFonts w:ascii="Arial" w:cs="Arial" w:eastAsia="Arial" w:hAnsi="Arial"/>
          <w:sz w:val="18"/>
          <w:szCs w:val="18"/>
          <w:color w:val="auto"/>
        </w:rPr>
        <w:t>”),</w:t>
      </w:r>
    </w:p>
    <w:p>
      <w:pPr>
        <w:spacing w:after="0"/>
        <w:rPr>
          <w:sz w:val="20"/>
          <w:szCs w:val="20"/>
          <w:color w:val="auto"/>
        </w:rPr>
      </w:pPr>
      <w:r>
        <w:rPr>
          <w:rFonts w:ascii="Arial" w:cs="Arial" w:eastAsia="Arial" w:hAnsi="Arial"/>
          <w:sz w:val="17"/>
          <w:szCs w:val="17"/>
          <w:color w:val="auto"/>
        </w:rPr>
        <w:t>Releasor agrees through this Release Agreement to release, settle, and discharge any and all Covered Claims against the Released Parties; and</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WHEREAS, this Release Agreement is conditioned on the performance and fulfillment of conditions set forth in the Settlement Agreement.</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NOW, THEREFORE, in consideration of the promises and mutual covenants contained herein, Releasor agrees as follows:</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120" w:firstLine="643"/>
        <w:spacing w:after="0" w:line="237" w:lineRule="auto"/>
        <w:tabs>
          <w:tab w:leader="none" w:pos="130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Releasor. </w:t>
      </w:r>
      <w:r>
        <w:rPr>
          <w:rFonts w:ascii="Arial" w:cs="Arial" w:eastAsia="Arial" w:hAnsi="Arial"/>
          <w:sz w:val="18"/>
          <w:szCs w:val="18"/>
          <w:color w:val="auto"/>
        </w:rPr>
        <w:t>References to Releasor include Releasor’s heirs, beneficiaries, next of kin, executors, administrators, successors,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or entity claiming by, through, under, or on their behalf.</w:t>
      </w:r>
    </w:p>
    <w:p>
      <w:pPr>
        <w:spacing w:after="0" w:line="198" w:lineRule="exact"/>
        <w:rPr>
          <w:rFonts w:ascii="Arial" w:cs="Arial" w:eastAsia="Arial" w:hAnsi="Arial"/>
          <w:sz w:val="18"/>
          <w:szCs w:val="18"/>
          <w:color w:val="auto"/>
        </w:rPr>
      </w:pPr>
    </w:p>
    <w:p>
      <w:pPr>
        <w:ind w:left="120" w:right="20" w:firstLine="644"/>
        <w:spacing w:after="0" w:line="237" w:lineRule="auto"/>
        <w:tabs>
          <w:tab w:leader="none" w:pos="130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Releasor’s Counsel</w:t>
      </w:r>
      <w:r>
        <w:rPr>
          <w:rFonts w:ascii="Arial" w:cs="Arial" w:eastAsia="Arial" w:hAnsi="Arial"/>
          <w:sz w:val="18"/>
          <w:szCs w:val="18"/>
          <w:color w:val="auto"/>
        </w:rPr>
        <w:t>. “</w:t>
      </w:r>
      <w:r>
        <w:rPr>
          <w:rFonts w:ascii="Arial" w:cs="Arial" w:eastAsia="Arial" w:hAnsi="Arial"/>
          <w:sz w:val="18"/>
          <w:szCs w:val="18"/>
          <w:u w:val="single" w:color="auto"/>
          <w:color w:val="auto"/>
        </w:rPr>
        <w:t>Releasor’s Counsel</w:t>
      </w:r>
      <w:r>
        <w:rPr>
          <w:rFonts w:ascii="Arial" w:cs="Arial" w:eastAsia="Arial" w:hAnsi="Arial"/>
          <w:sz w:val="18"/>
          <w:szCs w:val="18"/>
          <w:color w:val="auto"/>
        </w:rPr>
        <w:t>” means the lawyer(s) and law firm representing Releasor in any pending Covered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against any Released Parties.</w:t>
      </w:r>
    </w:p>
    <w:p>
      <w:pPr>
        <w:spacing w:after="0" w:line="198" w:lineRule="exact"/>
        <w:rPr>
          <w:rFonts w:ascii="Arial" w:cs="Arial" w:eastAsia="Arial" w:hAnsi="Arial"/>
          <w:sz w:val="18"/>
          <w:szCs w:val="18"/>
          <w:color w:val="auto"/>
        </w:rPr>
      </w:pPr>
    </w:p>
    <w:p>
      <w:pPr>
        <w:ind w:left="1420" w:hanging="657"/>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Released Parties.</w:t>
      </w:r>
    </w:p>
    <w:p>
      <w:pPr>
        <w:spacing w:after="0" w:line="229" w:lineRule="exact"/>
        <w:rPr>
          <w:rFonts w:ascii="Arial" w:cs="Arial" w:eastAsia="Arial" w:hAnsi="Arial"/>
          <w:sz w:val="18"/>
          <w:szCs w:val="18"/>
          <w:color w:val="auto"/>
        </w:rPr>
      </w:pPr>
    </w:p>
    <w:p>
      <w:pPr>
        <w:ind w:left="1400" w:hanging="636"/>
        <w:spacing w:after="0"/>
        <w:tabs>
          <w:tab w:leader="none" w:pos="1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Party</w:t>
      </w:r>
      <w:r>
        <w:rPr>
          <w:rFonts w:ascii="Arial" w:cs="Arial" w:eastAsia="Arial" w:hAnsi="Arial"/>
          <w:sz w:val="18"/>
          <w:szCs w:val="18"/>
          <w:color w:val="auto"/>
        </w:rPr>
        <w:t>” or “</w:t>
      </w:r>
      <w:r>
        <w:rPr>
          <w:rFonts w:ascii="Arial" w:cs="Arial" w:eastAsia="Arial" w:hAnsi="Arial"/>
          <w:sz w:val="18"/>
          <w:szCs w:val="18"/>
          <w:u w:val="single" w:color="auto"/>
          <w:color w:val="auto"/>
        </w:rPr>
        <w:t>Released Parties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740" w:right="740" w:hanging="443"/>
        <w:spacing w:after="0" w:line="246" w:lineRule="auto"/>
        <w:tabs>
          <w:tab w:leader="none" w:pos="1733" w:val="left"/>
        </w:tabs>
        <w:numPr>
          <w:ilvl w:val="3"/>
          <w:numId w:val="74"/>
        </w:numPr>
        <w:rPr>
          <w:rFonts w:ascii="Arial" w:cs="Arial" w:eastAsia="Arial" w:hAnsi="Arial"/>
          <w:sz w:val="18"/>
          <w:szCs w:val="18"/>
          <w:color w:val="auto"/>
        </w:rPr>
      </w:pPr>
      <w:r>
        <w:rPr>
          <w:rFonts w:ascii="Arial" w:cs="Arial" w:eastAsia="Arial" w:hAnsi="Arial"/>
          <w:sz w:val="18"/>
          <w:szCs w:val="18"/>
          <w:color w:val="auto"/>
        </w:rPr>
        <w:t>Sotera Health Company; Sotera Health Holdings, LLC; Sotera Health LLC; Sotera Health Topco Parent, LP; and Sotera Health GP, LLC;</w:t>
      </w:r>
    </w:p>
    <w:p>
      <w:pPr>
        <w:spacing w:after="0" w:line="196" w:lineRule="exact"/>
        <w:rPr>
          <w:rFonts w:ascii="Arial" w:cs="Arial" w:eastAsia="Arial" w:hAnsi="Arial"/>
          <w:sz w:val="18"/>
          <w:szCs w:val="18"/>
          <w:color w:val="auto"/>
        </w:rPr>
      </w:pPr>
    </w:p>
    <w:p>
      <w:pPr>
        <w:ind w:left="1740" w:hanging="502"/>
        <w:spacing w:after="0"/>
        <w:tabs>
          <w:tab w:leader="none" w:pos="1740" w:val="left"/>
        </w:tabs>
        <w:numPr>
          <w:ilvl w:val="3"/>
          <w:numId w:val="74"/>
        </w:numPr>
        <w:rPr>
          <w:rFonts w:ascii="Arial" w:cs="Arial" w:eastAsia="Arial" w:hAnsi="Arial"/>
          <w:sz w:val="18"/>
          <w:szCs w:val="18"/>
          <w:color w:val="auto"/>
        </w:rPr>
      </w:pPr>
      <w:r>
        <w:rPr>
          <w:rFonts w:ascii="Arial" w:cs="Arial" w:eastAsia="Arial" w:hAnsi="Arial"/>
          <w:sz w:val="18"/>
          <w:szCs w:val="18"/>
          <w:color w:val="auto"/>
        </w:rPr>
        <w:t>Sterigenics U.S., LLC;</w:t>
      </w:r>
    </w:p>
    <w:p>
      <w:pPr>
        <w:spacing w:after="0" w:line="211" w:lineRule="exact"/>
        <w:rPr>
          <w:rFonts w:ascii="Arial" w:cs="Arial" w:eastAsia="Arial" w:hAnsi="Arial"/>
          <w:sz w:val="18"/>
          <w:szCs w:val="18"/>
          <w:color w:val="auto"/>
        </w:rPr>
      </w:pPr>
    </w:p>
    <w:p>
      <w:pPr>
        <w:ind w:left="1740" w:right="60" w:hanging="563"/>
        <w:spacing w:after="0" w:line="242" w:lineRule="auto"/>
        <w:tabs>
          <w:tab w:leader="none" w:pos="1727" w:val="left"/>
        </w:tabs>
        <w:numPr>
          <w:ilvl w:val="2"/>
          <w:numId w:val="74"/>
        </w:numPr>
        <w:rPr>
          <w:rFonts w:ascii="Arial" w:cs="Arial" w:eastAsia="Arial" w:hAnsi="Arial"/>
          <w:sz w:val="16"/>
          <w:szCs w:val="16"/>
          <w:color w:val="auto"/>
        </w:rPr>
      </w:pPr>
      <w:r>
        <w:rPr>
          <w:rFonts w:ascii="Arial" w:cs="Arial" w:eastAsia="Arial" w:hAnsi="Arial"/>
          <w:sz w:val="16"/>
          <w:szCs w:val="16"/>
          <w:color w:val="auto"/>
        </w:rPr>
        <w:t>Warburg Pincus LLC and all funds, general partners and management companies associated with or managed by Warburg Pincus LLC or its affiliates, including without limitation Warburg Pincus Private Equity XI, LP; Warburg Pincus Private Equity XI-B, LP; Warburg Pincus Private Equity XI- C, LP; Warburg Pincus XI Partners, LP; WP XI Partners, LP; Warburg Pincus XI, LP; WP 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members, officers, directors, partners, and limited partners;</w:t>
      </w:r>
    </w:p>
    <w:p>
      <w:pPr>
        <w:spacing w:after="0" w:line="203" w:lineRule="exact"/>
        <w:rPr>
          <w:sz w:val="20"/>
          <w:szCs w:val="20"/>
          <w:color w:val="auto"/>
        </w:rPr>
      </w:pPr>
    </w:p>
    <w:p>
      <w:pPr>
        <w:ind w:left="1740" w:right="520" w:hanging="551"/>
        <w:spacing w:after="0" w:line="232" w:lineRule="auto"/>
        <w:tabs>
          <w:tab w:leader="none" w:pos="1717" w:val="left"/>
        </w:tabs>
        <w:numPr>
          <w:ilvl w:val="0"/>
          <w:numId w:val="75"/>
        </w:numPr>
        <w:rPr>
          <w:rFonts w:ascii="Arial" w:cs="Arial" w:eastAsia="Arial" w:hAnsi="Arial"/>
          <w:sz w:val="17"/>
          <w:szCs w:val="17"/>
          <w:color w:val="auto"/>
        </w:rPr>
      </w:pPr>
      <w:r>
        <w:rPr>
          <w:rFonts w:ascii="Arial" w:cs="Arial" w:eastAsia="Arial" w:hAnsi="Arial"/>
          <w:sz w:val="17"/>
          <w:szCs w:val="17"/>
          <w:color w:val="auto"/>
        </w:rPr>
        <w:t>GTCR LLC; GTCR L.L.C.; and GTCR Golder Rauner II, L.L.C.; all funds associated with GTCR LLC, GTCR L.L.C., and GTCR Golder Rauner II, L.L.C., including without limitation GTCR Fund IX/A, L.P.; GTCR Fund IX/B, L.P.; GTCR Co-Invest III, L.P.; GTCR Fund XI/A LP; GTCR Fund XI/CLP; GTCR Partners XI/A&amp;C LP; GTCR Co-Invest XI LP; GTCR Investment XI LLC; GTCR Fund XI/A VCOC; GTCR Fund XI/C VCOC; and the respective affiliates, managers, limited partners, and members of (i) GTCR LLC, GTCR L.L.C., and GTCR Golder Rauner II, L.L.C.; and (ii) the funds associated with GTCR LLC, GTCR L.L.C., and GTCR Golder Rauner II, LLC;</w:t>
      </w:r>
    </w:p>
    <w:p>
      <w:pPr>
        <w:spacing w:after="0" w:line="202" w:lineRule="exact"/>
        <w:rPr>
          <w:rFonts w:ascii="Arial" w:cs="Arial" w:eastAsia="Arial" w:hAnsi="Arial"/>
          <w:sz w:val="17"/>
          <w:szCs w:val="17"/>
          <w:color w:val="auto"/>
        </w:rPr>
      </w:pPr>
    </w:p>
    <w:p>
      <w:pPr>
        <w:ind w:left="1740" w:right="160" w:hanging="490"/>
        <w:spacing w:after="0" w:line="224" w:lineRule="auto"/>
        <w:tabs>
          <w:tab w:leader="none" w:pos="172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of the foregoing entities’ affiliates, predecessors, successors, direct or indirect parents, direct or indirect subsidiaries, assigns, as well as any current, former, direct or indirect partners, managers, members, shareholders, employees, directors, officers, management</w:t>
      </w:r>
    </w:p>
    <w:p>
      <w:pPr>
        <w:sectPr>
          <w:pgSz w:w="11900" w:h="16838" w:orient="portrait"/>
          <w:cols w:equalWidth="0" w:num="1">
            <w:col w:w="11120"/>
          </w:cols>
          <w:pgMar w:left="320" w:top="823" w:right="459" w:bottom="1440" w:gutter="0" w:footer="0" w:header="0"/>
        </w:sectPr>
      </w:pPr>
    </w:p>
    <w:bookmarkStart w:id="72" w:name="page73"/>
    <w:bookmarkEnd w:id="72"/>
    <w:p>
      <w:pPr>
        <w:ind w:left="1600" w:right="340"/>
        <w:spacing w:after="0" w:line="235" w:lineRule="auto"/>
        <w:rPr>
          <w:sz w:val="20"/>
          <w:szCs w:val="20"/>
          <w:color w:val="auto"/>
        </w:rPr>
      </w:pPr>
      <w:r>
        <w:rPr>
          <w:rFonts w:ascii="Arial" w:cs="Arial" w:eastAsia="Arial" w:hAnsi="Arial"/>
          <w:sz w:val="18"/>
          <w:szCs w:val="18"/>
          <w:color w:val="auto"/>
        </w:rPr>
        <w:t>companies, incorporators, investors, landlords, tenants, suppliers, service providers, customers, consultants, attorneys, agents, declarants, affiants, or other representatives, including (without limitation)*****; and</w:t>
      </w:r>
    </w:p>
    <w:p>
      <w:pPr>
        <w:spacing w:after="0" w:line="283" w:lineRule="exact"/>
        <w:rPr>
          <w:sz w:val="20"/>
          <w:szCs w:val="20"/>
          <w:color w:val="auto"/>
        </w:rPr>
      </w:pPr>
    </w:p>
    <w:p>
      <w:pPr>
        <w:ind w:left="1600" w:right="700" w:hanging="551"/>
        <w:spacing w:after="0" w:line="235" w:lineRule="auto"/>
        <w:tabs>
          <w:tab w:leader="none" w:pos="1589"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Released Parties’ insurers, including (without limitation) Steadfast Insurance Company/Zurich Insurance Group and National Union/AIG.</w:t>
      </w:r>
    </w:p>
    <w:p>
      <w:pPr>
        <w:spacing w:after="0" w:line="202" w:lineRule="exact"/>
        <w:rPr>
          <w:rFonts w:ascii="Arial" w:cs="Arial" w:eastAsia="Arial" w:hAnsi="Arial"/>
          <w:sz w:val="18"/>
          <w:szCs w:val="18"/>
          <w:color w:val="auto"/>
        </w:rPr>
      </w:pPr>
    </w:p>
    <w:p>
      <w:pPr>
        <w:ind w:left="1260" w:hanging="636"/>
        <w:spacing w:after="0"/>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Released Parties are intended third-party beneficiaries of this Release Agreement.</w:t>
      </w:r>
    </w:p>
    <w:p>
      <w:pPr>
        <w:spacing w:after="0" w:line="221" w:lineRule="exact"/>
        <w:rPr>
          <w:rFonts w:ascii="Arial" w:cs="Arial" w:eastAsia="Arial" w:hAnsi="Arial"/>
          <w:sz w:val="18"/>
          <w:szCs w:val="18"/>
          <w:color w:val="auto"/>
        </w:rPr>
      </w:pPr>
    </w:p>
    <w:p>
      <w:pPr>
        <w:ind w:left="1160" w:hanging="563"/>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Covered Claims</w:t>
      </w:r>
      <w:r>
        <w:rPr>
          <w:rFonts w:ascii="Arial" w:cs="Arial" w:eastAsia="Arial" w:hAnsi="Arial"/>
          <w:sz w:val="18"/>
          <w:szCs w:val="18"/>
          <w:color w:val="auto"/>
        </w:rPr>
        <w:t>. “</w:t>
      </w:r>
      <w:r>
        <w:rPr>
          <w:rFonts w:ascii="Arial" w:cs="Arial" w:eastAsia="Arial" w:hAnsi="Arial"/>
          <w:sz w:val="18"/>
          <w:szCs w:val="18"/>
          <w:u w:val="single" w:color="auto"/>
          <w:color w:val="auto"/>
        </w:rPr>
        <w:t>Covered Claims</w:t>
      </w:r>
      <w:r>
        <w:rPr>
          <w:rFonts w:ascii="Arial" w:cs="Arial" w:eastAsia="Arial" w:hAnsi="Arial"/>
          <w:sz w:val="18"/>
          <w:szCs w:val="18"/>
          <w:color w:val="auto"/>
        </w:rPr>
        <w:t>” means the following categories of claims:</w:t>
      </w:r>
    </w:p>
    <w:p>
      <w:pPr>
        <w:spacing w:after="0" w:line="229" w:lineRule="exact"/>
        <w:rPr>
          <w:rFonts w:ascii="Arial" w:cs="Arial" w:eastAsia="Arial" w:hAnsi="Arial"/>
          <w:sz w:val="18"/>
          <w:szCs w:val="18"/>
          <w:color w:val="auto"/>
        </w:rPr>
      </w:pPr>
    </w:p>
    <w:p>
      <w:pPr>
        <w:jc w:val="both"/>
        <w:ind w:left="1280" w:hanging="657"/>
        <w:spacing w:after="0" w:line="243" w:lineRule="auto"/>
        <w:tabs>
          <w:tab w:leader="none" w:pos="1277"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lawsuits, disputes, and/or claims, whether filed or unfiled, that have been, or may in the future be, asserted against the Settling Defendants or any other Released Parties regarding injuries arising from, relating to, or in connection with the alleged use or emissions of ethylene oxide from Sterigenics U.S., LLC’s or any other Released Party’s operations in or around Willowbrook, Illinois (“</w:t>
      </w:r>
      <w:r>
        <w:rPr>
          <w:rFonts w:ascii="Arial" w:cs="Arial" w:eastAsia="Arial" w:hAnsi="Arial"/>
          <w:sz w:val="16"/>
          <w:szCs w:val="16"/>
          <w:u w:val="single" w:color="auto"/>
          <w:color w:val="auto"/>
        </w:rPr>
        <w:t>Willowbrook Claims</w:t>
      </w:r>
      <w:r>
        <w:rPr>
          <w:rFonts w:ascii="Arial" w:cs="Arial" w:eastAsia="Arial" w:hAnsi="Arial"/>
          <w:sz w:val="16"/>
          <w:szCs w:val="16"/>
          <w:color w:val="auto"/>
        </w:rPr>
        <w:t>”). For the avoidance of doubt, Willowbrook Claims include (without limitation) injuries—arising from, relating to, or in connection with the alleged use or emissions of ethylene oxide from Sterigenics U.S., LLC’s Willowbrook facility— that may develop in the future, whether the alleged injury relates to an entirely new diagnosis or a recurrence of an earlier medical diagnosis. Willowbrook Claims do not include claims regarding injuries that are unrelated or not alleged to be related to ethylene oxide exposure in or around Willowbrook, Illinois (e.g., a claim arising from a vehicle accident between a Released Party and an employee driving a vehicle belonging to a Settling Defendant). The Willowbrook Claims include (without limitation):</w:t>
      </w:r>
    </w:p>
    <w:p>
      <w:pPr>
        <w:spacing w:after="0" w:line="200" w:lineRule="exact"/>
        <w:rPr>
          <w:sz w:val="20"/>
          <w:szCs w:val="20"/>
          <w:color w:val="auto"/>
        </w:rPr>
      </w:pPr>
    </w:p>
    <w:p>
      <w:pPr>
        <w:ind w:left="1580" w:hanging="484"/>
        <w:spacing w:after="0"/>
        <w:tabs>
          <w:tab w:leader="none" w:pos="15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The judgment in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w:t>
      </w:r>
    </w:p>
    <w:p>
      <w:pPr>
        <w:spacing w:after="0" w:line="225" w:lineRule="exact"/>
        <w:rPr>
          <w:rFonts w:ascii="Arial" w:cs="Arial" w:eastAsia="Arial" w:hAnsi="Arial"/>
          <w:sz w:val="18"/>
          <w:szCs w:val="18"/>
          <w:color w:val="auto"/>
        </w:rPr>
      </w:pPr>
    </w:p>
    <w:p>
      <w:pPr>
        <w:ind w:left="1600" w:right="140" w:hanging="504"/>
        <w:spacing w:after="0" w:line="224" w:lineRule="auto"/>
        <w:tabs>
          <w:tab w:leader="none" w:pos="1597"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claims against Sterigenics U.S., LLC as successor to Sterigenics EO, Inc., IBA S&amp;I, Inc., Griffith Micro Science, Inc., Micro-Biotrol, Inc., and Micro- Biotrol Company related to the operations of any of those companies in or around Willowbrook, Illinois; and</w:t>
      </w:r>
    </w:p>
    <w:p>
      <w:pPr>
        <w:spacing w:after="0" w:line="203" w:lineRule="exact"/>
        <w:rPr>
          <w:rFonts w:ascii="Arial" w:cs="Arial" w:eastAsia="Arial" w:hAnsi="Arial"/>
          <w:sz w:val="18"/>
          <w:szCs w:val="18"/>
          <w:color w:val="auto"/>
        </w:rPr>
      </w:pPr>
    </w:p>
    <w:p>
      <w:pPr>
        <w:ind w:left="1600" w:right="160" w:hanging="564"/>
        <w:spacing w:after="0" w:line="307" w:lineRule="auto"/>
        <w:tabs>
          <w:tab w:leader="none" w:pos="1587"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The following cases in the Circuit Court of Cook County, Illinois: </w:t>
      </w:r>
      <w:r>
        <w:rPr>
          <w:rFonts w:ascii="Arial" w:cs="Arial" w:eastAsia="Arial" w:hAnsi="Arial"/>
          <w:sz w:val="16"/>
          <w:szCs w:val="16"/>
          <w:i w:val="1"/>
          <w:iCs w:val="1"/>
          <w:color w:val="auto"/>
        </w:rPr>
        <w:t>Kamuda v. Sterigenics U.S., LLC</w:t>
      </w:r>
      <w:r>
        <w:rPr>
          <w:rFonts w:ascii="Arial" w:cs="Arial" w:eastAsia="Arial" w:hAnsi="Arial"/>
          <w:sz w:val="16"/>
          <w:szCs w:val="16"/>
          <w:color w:val="auto"/>
        </w:rPr>
        <w:t xml:space="preserve">, Case No. 2018-L-010475; </w:t>
      </w:r>
      <w:r>
        <w:rPr>
          <w:rFonts w:ascii="Arial" w:cs="Arial" w:eastAsia="Arial" w:hAnsi="Arial"/>
          <w:sz w:val="16"/>
          <w:szCs w:val="16"/>
          <w:i w:val="1"/>
          <w:iCs w:val="1"/>
          <w:color w:val="auto"/>
        </w:rPr>
        <w:t>Fornek v. Sterigenics U.S., LLC</w:t>
      </w:r>
      <w:r>
        <w:rPr>
          <w:rFonts w:ascii="Arial" w:cs="Arial" w:eastAsia="Arial" w:hAnsi="Arial"/>
          <w:sz w:val="16"/>
          <w:szCs w:val="16"/>
          <w:color w:val="auto"/>
        </w:rPr>
        <w:t>, Case No. 2018-L-010744; and</w:t>
      </w:r>
      <w:r>
        <w:rPr>
          <w:rFonts w:ascii="Arial" w:cs="Arial" w:eastAsia="Arial" w:hAnsi="Arial"/>
          <w:sz w:val="16"/>
          <w:szCs w:val="16"/>
          <w:i w:val="1"/>
          <w:iCs w:val="1"/>
          <w:color w:val="auto"/>
        </w:rPr>
        <w:t xml:space="preserve"> Schumacher v. Sterigenics U.S., LLC</w:t>
      </w:r>
      <w:r>
        <w:rPr>
          <w:rFonts w:ascii="Arial" w:cs="Arial" w:eastAsia="Arial" w:hAnsi="Arial"/>
          <w:sz w:val="16"/>
          <w:szCs w:val="16"/>
          <w:color w:val="auto"/>
        </w:rPr>
        <w:t>, Case No. 2018-L-011939.</w:t>
      </w:r>
    </w:p>
    <w:p>
      <w:pPr>
        <w:spacing w:after="0" w:line="150" w:lineRule="exact"/>
        <w:rPr>
          <w:rFonts w:ascii="Arial" w:cs="Arial" w:eastAsia="Arial" w:hAnsi="Arial"/>
          <w:sz w:val="16"/>
          <w:szCs w:val="16"/>
          <w:color w:val="auto"/>
        </w:rPr>
      </w:pPr>
    </w:p>
    <w:p>
      <w:pPr>
        <w:jc w:val="both"/>
        <w:ind w:left="1280" w:hanging="656"/>
        <w:spacing w:after="0" w:line="224" w:lineRule="auto"/>
        <w:tabs>
          <w:tab w:leader="none" w:pos="12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Actions, citations, or potential actions or citations to enforce or collect on a judgment or verdict obtained in any case involving Willowbrook Claims, including but not limited to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 pending in the Circuit Court of Cook County, Illinois (Hon. Patrick Heneghan); and</w:t>
      </w:r>
    </w:p>
    <w:p>
      <w:pPr>
        <w:spacing w:after="0" w:line="203" w:lineRule="exact"/>
        <w:rPr>
          <w:rFonts w:ascii="Arial" w:cs="Arial" w:eastAsia="Arial" w:hAnsi="Arial"/>
          <w:sz w:val="18"/>
          <w:szCs w:val="18"/>
          <w:color w:val="auto"/>
        </w:rPr>
      </w:pPr>
    </w:p>
    <w:p>
      <w:pPr>
        <w:jc w:val="both"/>
        <w:ind w:left="1280" w:hanging="656"/>
        <w:spacing w:after="0" w:line="223" w:lineRule="auto"/>
        <w:tabs>
          <w:tab w:leader="none" w:pos="12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Bachoe v. Sotera Health Co.</w:t>
      </w:r>
      <w:r>
        <w:rPr>
          <w:rFonts w:ascii="Arial" w:cs="Arial" w:eastAsia="Arial" w:hAnsi="Arial"/>
          <w:sz w:val="18"/>
          <w:szCs w:val="18"/>
          <w:color w:val="auto"/>
        </w:rPr>
        <w:t xml:space="preserve"> action filed on November 1, 2022 in the Circuit Court of Cook County, Illinois (Case No. 2022-L-009825), the </w:t>
      </w:r>
      <w:r>
        <w:rPr>
          <w:rFonts w:ascii="Arial" w:cs="Arial" w:eastAsia="Arial" w:hAnsi="Arial"/>
          <w:sz w:val="18"/>
          <w:szCs w:val="18"/>
          <w:i w:val="1"/>
          <w:iCs w:val="1"/>
          <w:color w:val="auto"/>
        </w:rPr>
        <w:t>Bachoe v. Sotera Health Co.</w:t>
      </w:r>
      <w:r>
        <w:rPr>
          <w:rFonts w:ascii="Arial" w:cs="Arial" w:eastAsia="Arial" w:hAnsi="Arial"/>
          <w:sz w:val="18"/>
          <w:szCs w:val="18"/>
          <w:color w:val="auto"/>
        </w:rPr>
        <w:t xml:space="preserve"> action now pending in the U.S. District Court for the Northern District of Illinois (Case No. 22-cv-06292), and any other actual or potential actions seeking to challenge any transfer of assets to or from Sterigenics U.S., LLC, Sotera Health LLC, or any other Released Party to any other entity or person.</w:t>
      </w:r>
    </w:p>
    <w:p>
      <w:pPr>
        <w:spacing w:after="0" w:line="199" w:lineRule="exact"/>
        <w:rPr>
          <w:sz w:val="20"/>
          <w:szCs w:val="20"/>
          <w:color w:val="auto"/>
        </w:rPr>
      </w:pPr>
    </w:p>
    <w:p>
      <w:pPr>
        <w:jc w:val="both"/>
        <w:ind w:left="-20" w:firstLine="644"/>
        <w:spacing w:after="0" w:line="223"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terms of this Release Agreement immediately become binding upon the Releasor’s execution hereof (such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and without any further action required;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Covered Claims, as described in Paragraphs 6 and 7, will not become effective unless and until the Settlement Funding Date occurs (as defined in the Settlement Agreement). If the Settling Defendants opt to terminate the Settlement Agreement, this Release Agreement will be null and void </w:t>
      </w:r>
      <w:r>
        <w:rPr>
          <w:rFonts w:ascii="Arial" w:cs="Arial" w:eastAsia="Arial" w:hAnsi="Arial"/>
          <w:sz w:val="18"/>
          <w:szCs w:val="18"/>
          <w:i w:val="1"/>
          <w:iCs w:val="1"/>
          <w:color w:val="auto"/>
        </w:rPr>
        <w:t>nunc pro tunc</w:t>
      </w:r>
      <w:r>
        <w:rPr>
          <w:rFonts w:ascii="Arial" w:cs="Arial" w:eastAsia="Arial" w:hAnsi="Arial"/>
          <w:sz w:val="18"/>
          <w:szCs w:val="18"/>
          <w:color w:val="auto"/>
        </w:rPr>
        <w:t xml:space="preserve"> and returned to Releasor’s Counsel.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5" w:lineRule="exact"/>
        <w:rPr>
          <w:sz w:val="20"/>
          <w:szCs w:val="20"/>
          <w:color w:val="auto"/>
        </w:rPr>
      </w:pPr>
    </w:p>
    <w:p>
      <w:pPr>
        <w:jc w:val="both"/>
        <w:ind w:left="-20" w:firstLine="643"/>
        <w:spacing w:after="0" w:line="233" w:lineRule="auto"/>
        <w:tabs>
          <w:tab w:leader="none" w:pos="1168"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Complete and Final Release. </w:t>
      </w:r>
      <w:r>
        <w:rPr>
          <w:rFonts w:ascii="Arial" w:cs="Arial" w:eastAsia="Arial" w:hAnsi="Arial"/>
          <w:sz w:val="17"/>
          <w:szCs w:val="17"/>
          <w:color w:val="auto"/>
        </w:rPr>
        <w:t>As of the Effective Date, in return for the Settlement Amount, the sufficiency of which is acknowledged,</w:t>
      </w:r>
      <w:r>
        <w:rPr>
          <w:rFonts w:ascii="Arial" w:cs="Arial" w:eastAsia="Arial" w:hAnsi="Arial"/>
          <w:sz w:val="17"/>
          <w:szCs w:val="17"/>
          <w:b w:val="1"/>
          <w:bCs w:val="1"/>
          <w:color w:val="auto"/>
        </w:rPr>
        <w:t xml:space="preserve"> </w:t>
      </w:r>
      <w:r>
        <w:rPr>
          <w:rFonts w:ascii="Arial" w:cs="Arial" w:eastAsia="Arial" w:hAnsi="Arial"/>
          <w:sz w:val="17"/>
          <w:szCs w:val="17"/>
          <w:color w:val="auto"/>
        </w:rPr>
        <w:t>Releasor hereby releases, settles, cancels, discharges, and acknowledges to be fully satisfied any and all claims, demands, rights, actions, suits, damages, and causes of action of whatever kind, nature, or description whatsoever, in law or in equity, whether known or unknown, suspected or unsuspected, which Releasor may now or may hereafter have or assert against Released Parties arising from, relating to, or in connection with the Covered Claims, or based on any of the conduct alleged in the litigation relating to any Covered Claims.</w:t>
      </w:r>
    </w:p>
    <w:p>
      <w:pPr>
        <w:spacing w:after="0" w:line="203" w:lineRule="exact"/>
        <w:rPr>
          <w:sz w:val="20"/>
          <w:szCs w:val="20"/>
          <w:color w:val="auto"/>
        </w:rPr>
      </w:pPr>
    </w:p>
    <w:p>
      <w:pPr>
        <w:jc w:val="both"/>
        <w:ind w:left="1280" w:hanging="657"/>
        <w:spacing w:after="0" w:line="252" w:lineRule="auto"/>
        <w:tabs>
          <w:tab w:leader="none" w:pos="127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Without limiting the foregoing, this Release Agreement includes any and all claims which Releasor may now or may hereafter have or assert against Released Parties for alleged injuries, losses, and damages, including pain and suffering, wrongful death, punitive damages, survivorship, personal injuries, and related damages, and loss of services, consortium, companionship, and all other intangible losses, whether based in tort, intentional tort, contract, statute, or other theory of recovery, attorneys’ fees and costs, mental or emotional distress, or for hospital, medical, nursing, or other healthcare expenses, lost wages, or any other losses or</w:t>
      </w:r>
    </w:p>
    <w:p>
      <w:pPr>
        <w:sectPr>
          <w:pgSz w:w="11900" w:h="16838" w:orient="portrait"/>
          <w:cols w:equalWidth="0" w:num="1">
            <w:col w:w="10980"/>
          </w:cols>
          <w:pgMar w:left="460" w:top="746" w:right="459" w:bottom="1440" w:gutter="0" w:footer="0" w:header="0"/>
        </w:sectPr>
      </w:pPr>
    </w:p>
    <w:bookmarkStart w:id="73" w:name="page74"/>
    <w:bookmarkEnd w:id="73"/>
    <w:p>
      <w:pPr>
        <w:ind w:left="657"/>
        <w:spacing w:after="0" w:line="289" w:lineRule="auto"/>
        <w:rPr>
          <w:sz w:val="20"/>
          <w:szCs w:val="20"/>
          <w:color w:val="auto"/>
        </w:rPr>
      </w:pPr>
      <w:r>
        <w:rPr>
          <w:rFonts w:ascii="Arial" w:cs="Arial" w:eastAsia="Arial" w:hAnsi="Arial"/>
          <w:sz w:val="16"/>
          <w:szCs w:val="16"/>
          <w:color w:val="auto"/>
        </w:rPr>
        <w:t>expenses, whether known or unknown, whether already in existence or to arise in the future, anticipated or not, arising from, relating to, or in connection with the Covered Claims, or based on any of the conduct alleged in the litigation relating to any Covered Claims.</w:t>
      </w:r>
    </w:p>
    <w:p>
      <w:pPr>
        <w:spacing w:after="0" w:line="164" w:lineRule="exact"/>
        <w:rPr>
          <w:sz w:val="20"/>
          <w:szCs w:val="20"/>
          <w:color w:val="auto"/>
        </w:rPr>
      </w:pPr>
    </w:p>
    <w:p>
      <w:pPr>
        <w:jc w:val="both"/>
        <w:ind w:left="657" w:hanging="657"/>
        <w:spacing w:after="0" w:line="229" w:lineRule="auto"/>
        <w:tabs>
          <w:tab w:leader="none" w:pos="651"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Without limiting the foregoing, this Release Agreement includes any and all claims which Releasor’s spouse (including but not limited to putative or common law spouse or domestic partner), if any, may now or may hereafter have or assert against Released Parties for alleged injuries, losses and damages, including pain and suffering, wrongful death, punitive damages, attorneys’ fees and costs, loss of services, loss of companionship and/or consortium, society or support, mental or emotional distress, or for hospital, medical, or nursing or other healthcare expenses, lost wages, or any other losses and expenses, whether known or unknown, whether already in existence or to arise in the future, arising from, relating to, or in connection with the Covered Claims, or based on any of the conduct alleged in the litigation relating to any Covered Claims.</w:t>
      </w:r>
    </w:p>
    <w:p>
      <w:pPr>
        <w:spacing w:after="0" w:line="206" w:lineRule="exact"/>
        <w:rPr>
          <w:rFonts w:ascii="Arial" w:cs="Arial" w:eastAsia="Arial" w:hAnsi="Arial"/>
          <w:sz w:val="17"/>
          <w:szCs w:val="17"/>
          <w:color w:val="auto"/>
        </w:rPr>
      </w:pPr>
    </w:p>
    <w:p>
      <w:pPr>
        <w:jc w:val="both"/>
        <w:ind w:left="657" w:hanging="657"/>
        <w:spacing w:after="0" w:line="254" w:lineRule="auto"/>
        <w:tabs>
          <w:tab w:leader="none" w:pos="654"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Without limiting the foregoing, this Release Agreement includes any and all claims against Released Parties for pecuniary loss, injury, or damage which might accrue to Releasor, his or her estate, and others by virtue of Releasor’s death, whether such claims are pursued directly or indirectly or by some person or persons in a representative capacity, if such claims arise from, relate to, or are in connection with the Covered Claims or based on any of the conduct alleged in the litigation relating to any Covered Claims.</w:t>
      </w:r>
    </w:p>
    <w:p>
      <w:pPr>
        <w:spacing w:after="0" w:line="193" w:lineRule="exact"/>
        <w:rPr>
          <w:rFonts w:ascii="Arial" w:cs="Arial" w:eastAsia="Arial" w:hAnsi="Arial"/>
          <w:sz w:val="16"/>
          <w:szCs w:val="16"/>
          <w:color w:val="auto"/>
        </w:rPr>
      </w:pPr>
    </w:p>
    <w:p>
      <w:pPr>
        <w:jc w:val="both"/>
        <w:ind w:left="657" w:hanging="656"/>
        <w:spacing w:after="0" w:line="230" w:lineRule="auto"/>
        <w:tabs>
          <w:tab w:leader="none" w:pos="651"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Without limiting the foregoing, Releasor hereby agrees and covenants that Releasor will never: (i) take any legal or other action to initiate, pursue or maintain, or otherwise attempt to execute upon, collect, or otherwise enforce, any claim against any of the Released Parties constituting, arising from, relating to, or in connection with the Covered Claims, (ii) institute any new legal action against any Released Party relating to any injury Releasor has ever claimed, or may at any time hereafter claim, was caused in whole or in part by any Released Party arising from, relating to, or in connection with the Covered Claims, or based on any of the conduct alleged in the litigation relating to any Covered Claims, whether in the past or in the future, and/or (iii) attempt to execute or collect on, or otherwise enforce, any judgment that has been or may be entered against any Released Party in any legal action described in clause (ii), or (iv) maintain Releasor’s pending legal action(s) against any Released Party.</w:t>
      </w:r>
    </w:p>
    <w:p>
      <w:pPr>
        <w:spacing w:after="0" w:line="202" w:lineRule="exact"/>
        <w:rPr>
          <w:rFonts w:ascii="Arial" w:cs="Arial" w:eastAsia="Arial" w:hAnsi="Arial"/>
          <w:sz w:val="17"/>
          <w:szCs w:val="17"/>
          <w:color w:val="auto"/>
        </w:rPr>
      </w:pPr>
    </w:p>
    <w:p>
      <w:pPr>
        <w:jc w:val="both"/>
        <w:ind w:left="657" w:hanging="657"/>
        <w:spacing w:after="0" w:line="228" w:lineRule="auto"/>
        <w:tabs>
          <w:tab w:leader="none" w:pos="654"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Without limiting the foregoing, Releasor acknowledges that the Settlement Amount shall constitute the full compensation which will ever be paid to Releasor by or on behalf of the Released Parties by reason of the claims which have been or which may ever be made against Released Parties arising out of or by reason of or in any manner connected with Releasor’s injuries arising from, relating to, or in connection with the Covered Claims, or based on any of the conduct alleged in the litigation relating to any Covered Claims; that neither Sterigenics U.S., LLC nor any Released Party shall have any responsibility whatsoever for the payment of Releasor’s attorneys’ fees or costs, or for the payment of any taxes owed by Releasor, or for satisfaction of liens associated with the allocation of settlement funds; that this Release Agreement is final and binding upon Releasor; and that no Covered Claim, derivative or otherwise, may ever be brought against Released Parties.</w:t>
      </w:r>
    </w:p>
    <w:p>
      <w:pPr>
        <w:spacing w:after="0" w:line="201" w:lineRule="exact"/>
        <w:rPr>
          <w:rFonts w:ascii="Arial" w:cs="Arial" w:eastAsia="Arial" w:hAnsi="Arial"/>
          <w:sz w:val="17"/>
          <w:szCs w:val="17"/>
          <w:color w:val="auto"/>
        </w:rPr>
      </w:pPr>
    </w:p>
    <w:p>
      <w:pPr>
        <w:jc w:val="both"/>
        <w:ind w:left="657" w:hanging="656"/>
        <w:spacing w:after="0" w:line="223"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Without limiting the foregoing, Releasor agrees to release any rights he or she may have regarding claims relating to or arising from any Covered Claim that Releasor does not know or suspect to exist at this time and that, if known by him or her, would materially affect his or her settlement with the Released Parties. Releasor expressly and knowingly waives any statutory or judicial provisions, rulings, or mandates to the contrary.</w:t>
      </w:r>
    </w:p>
    <w:p>
      <w:pPr>
        <w:spacing w:after="0" w:line="202" w:lineRule="exact"/>
        <w:rPr>
          <w:rFonts w:ascii="Arial" w:cs="Arial" w:eastAsia="Arial" w:hAnsi="Arial"/>
          <w:sz w:val="18"/>
          <w:szCs w:val="18"/>
          <w:color w:val="auto"/>
        </w:rPr>
      </w:pPr>
    </w:p>
    <w:p>
      <w:pPr>
        <w:jc w:val="both"/>
        <w:ind w:left="657" w:hanging="656"/>
        <w:spacing w:after="0" w:line="236" w:lineRule="auto"/>
        <w:tabs>
          <w:tab w:leader="none" w:pos="651"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Without limiting the foregoing, Releasor agrees to release all claims, past, present, and future, alleged or that could have been alleged against insurers that have any of the Released Parties as a named insured, including but not limited to Steadfast Insurance Company/Zurich Insurance Group and National Union/AIG, relating to or arising from any Covered Claims. For the avoidance of doubt, Released Parties maintain, and do not release, any claims they may have against their insurers.</w:t>
      </w:r>
    </w:p>
    <w:p>
      <w:pPr>
        <w:spacing w:after="0" w:line="203" w:lineRule="exact"/>
        <w:rPr>
          <w:rFonts w:ascii="Arial" w:cs="Arial" w:eastAsia="Arial" w:hAnsi="Arial"/>
          <w:sz w:val="17"/>
          <w:szCs w:val="17"/>
          <w:color w:val="auto"/>
        </w:rPr>
      </w:pPr>
    </w:p>
    <w:p>
      <w:pPr>
        <w:jc w:val="both"/>
        <w:ind w:left="657" w:hanging="656"/>
        <w:spacing w:after="0" w:line="217" w:lineRule="auto"/>
        <w:tabs>
          <w:tab w:leader="none" w:pos="6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Without limiting the foregoing, if Releasor settles with any third party against whom claims are not released through this Release Agreement (collectively, “</w:t>
      </w:r>
      <w:r>
        <w:rPr>
          <w:rFonts w:ascii="Arial" w:cs="Arial" w:eastAsia="Arial" w:hAnsi="Arial"/>
          <w:sz w:val="18"/>
          <w:szCs w:val="18"/>
          <w:u w:val="single" w:color="auto"/>
          <w:color w:val="auto"/>
        </w:rPr>
        <w:t>Non-Settling Third Parties</w:t>
      </w:r>
      <w:r>
        <w:rPr>
          <w:rFonts w:ascii="Arial" w:cs="Arial" w:eastAsia="Arial" w:hAnsi="Arial"/>
          <w:sz w:val="18"/>
          <w:szCs w:val="18"/>
          <w:color w:val="auto"/>
        </w:rPr>
        <w:t>”), Releasor will obtain a release from the Non-Settling Third Party for Released Parties for any claim for indemnity, contribution, or similar theory. If Releasor obtains a judgment against any Non-Settling Third Party, Releasor will not execute on any portion of that judgment that the Non-Settling Third Party successfully seeks from Released Parties via a claim for indemnity, contribution, or similar claim. Releasor agrees to indemnify, defend, and hold harmless Released Parties for any claims for indemnity or contribution brought by any Non-Settling Third Parties against Released Parties arising from or relating to the Covered Claims.</w:t>
      </w:r>
    </w:p>
    <w:p>
      <w:pPr>
        <w:sectPr>
          <w:pgSz w:w="11900" w:h="16838" w:orient="portrait"/>
          <w:cols w:equalWidth="0" w:num="1">
            <w:col w:w="10357"/>
          </w:cols>
          <w:pgMar w:left="1083" w:top="746" w:right="459" w:bottom="1440" w:gutter="0" w:footer="0" w:header="0"/>
        </w:sectPr>
      </w:pPr>
    </w:p>
    <w:bookmarkStart w:id="74" w:name="page75"/>
    <w:bookmarkEnd w:id="74"/>
    <w:p>
      <w:pPr>
        <w:jc w:val="both"/>
        <w:ind w:left="-20" w:firstLine="644"/>
        <w:spacing w:after="0" w:line="245" w:lineRule="auto"/>
        <w:tabs>
          <w:tab w:leader="none" w:pos="1168"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Other Claims. </w:t>
      </w:r>
      <w:r>
        <w:rPr>
          <w:rFonts w:ascii="Arial" w:cs="Arial" w:eastAsia="Arial" w:hAnsi="Arial"/>
          <w:sz w:val="16"/>
          <w:szCs w:val="16"/>
          <w:color w:val="auto"/>
        </w:rPr>
        <w:t>Releasor understands and agrees that certain of Releasor’s relatives, dependents, or others might have potential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Released Parties for the alleged injuries of Releasor. Releasor understands and agrees that by executing this Release Agreement and receiving the Settlement Amount, Releasor has received fair, just, and adequate consideration for any claims for the alleged injuries of Releasor which may arise from, relate to, or are in connection with the Covered Claims, or based on any of the conduct alleged in the litigation relating to any Covered Claims. Releasor understands and agrees that by executing this Release Agreement, Releasor has forever released, discharged, and given up any and all claims that Releasor or others might have against Released Parties for the alleged injuries of Releasor arising from, relating to, or in connection with the Covered Claims, or based on any of the conduct alleged in the litigation relating to any Covered Claims.</w:t>
      </w:r>
    </w:p>
    <w:p>
      <w:pPr>
        <w:spacing w:after="0" w:line="201" w:lineRule="exact"/>
        <w:rPr>
          <w:sz w:val="20"/>
          <w:szCs w:val="20"/>
          <w:color w:val="auto"/>
        </w:rPr>
      </w:pPr>
    </w:p>
    <w:p>
      <w:pPr>
        <w:jc w:val="both"/>
        <w:ind w:left="1280" w:hanging="656"/>
        <w:spacing w:after="0" w:line="219" w:lineRule="auto"/>
        <w:tabs>
          <w:tab w:leader="none" w:pos="12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Releasor specifically agrees to indemnify, defend, and hold the Released Parties harmless from and against any claim arising from, relating to, or in connection with the Covered Claims that may be brought by any beneficiary or next of kin of Releasor. Releasor agrees that such indemnification includes the payment of all reasonable costs and expenses of investigation, defense, settlement, attorneys’ fees, judgments, court costs, and all other costs and expenses of defending any such claim or other claim for wrongful death.</w:t>
      </w:r>
    </w:p>
    <w:p>
      <w:pPr>
        <w:spacing w:after="0" w:line="203" w:lineRule="exact"/>
        <w:rPr>
          <w:rFonts w:ascii="Arial" w:cs="Arial" w:eastAsia="Arial" w:hAnsi="Arial"/>
          <w:sz w:val="18"/>
          <w:szCs w:val="18"/>
          <w:color w:val="auto"/>
        </w:rPr>
      </w:pPr>
    </w:p>
    <w:p>
      <w:pPr>
        <w:jc w:val="both"/>
        <w:ind w:left="1280" w:hanging="656"/>
        <w:spacing w:after="0" w:line="245" w:lineRule="auto"/>
        <w:tabs>
          <w:tab w:leader="none" w:pos="1274"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Releasor warrants and represents that, apart from any liens held by the Lien Holders as defined in Paragraph 9(a) below, no claims or portion of the claims which are the subject of this Release Agreement have been assigned or otherwise transferred to any person or legal entity which claims a right thereunder as against the Releasor and/or Released Parties. Releasor specifically warrants and represents that to the extent any bankruptcy action is pending, Releasor will take all necessary actions to notify the Bankruptcy Court of this settlement and will fulfill all obligations to the Bankruptcy Court. Releasor agrees to indemnify, defend, and hold harmless Released Parties from any loss, claim, expense, demand, or cause of action of any kind or character, including costs and attorneys’ fees, that result from the failure, if any, of Releasor to fulfill his or her obligations to any bankruptcy court. Upon request, Releasor further agrees that he or she will provide written confirmation that he or she fulfilled any bankruptcy court obligations.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RELEASOR ACKNOWLEDGMENTS</w:t>
      </w:r>
    </w:p>
    <w:p>
      <w:pPr>
        <w:spacing w:after="0" w:line="225" w:lineRule="exact"/>
        <w:rPr>
          <w:sz w:val="20"/>
          <w:szCs w:val="20"/>
          <w:color w:val="auto"/>
        </w:rPr>
      </w:pPr>
    </w:p>
    <w:p>
      <w:pPr>
        <w:ind w:left="1280" w:hanging="656"/>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Acknowledgements by Releasor</w:t>
      </w:r>
      <w:r>
        <w:rPr>
          <w:rFonts w:ascii="Arial" w:cs="Arial" w:eastAsia="Arial" w:hAnsi="Arial"/>
          <w:sz w:val="18"/>
          <w:szCs w:val="18"/>
          <w:color w:val="auto"/>
        </w:rPr>
        <w:t>.</w:t>
      </w:r>
    </w:p>
    <w:p>
      <w:pPr>
        <w:spacing w:after="0" w:line="216" w:lineRule="exact"/>
        <w:rPr>
          <w:sz w:val="20"/>
          <w:szCs w:val="20"/>
          <w:color w:val="auto"/>
        </w:rPr>
      </w:pPr>
    </w:p>
    <w:p>
      <w:pPr>
        <w:jc w:val="both"/>
        <w:ind w:left="1280" w:hanging="656"/>
        <w:spacing w:after="0" w:line="222" w:lineRule="auto"/>
        <w:tabs>
          <w:tab w:leader="none" w:pos="1277"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RELEASOR IS ENTERING INTO THIS RELEASE AGREEMENT FREELY AND VOLUNTARILY, WITHOUT BEING INDUCED, PRESSURED OR INFLUENCED BY, AND WITHOUT RELYING ON ANY REPRESENTATION OR OTHER STATEMENT MADE BY OR ON BEHALF OF ANY RELEASED PARTY OR ANY OTHER PERSON. RELEASOR UNDERSTANDS, ACKNOWLEDGES AND ACCEPTS THE NATURE, VALUE AND SUFFICIENCY OF THE CONSIDERATION DESCRIBED IN THIS RELEASE AGREEMENT.</w:t>
      </w:r>
    </w:p>
    <w:p>
      <w:pPr>
        <w:spacing w:after="0" w:line="203" w:lineRule="exact"/>
        <w:rPr>
          <w:rFonts w:ascii="Arial" w:cs="Arial" w:eastAsia="Arial" w:hAnsi="Arial"/>
          <w:sz w:val="18"/>
          <w:szCs w:val="18"/>
          <w:color w:val="auto"/>
        </w:rPr>
      </w:pPr>
    </w:p>
    <w:p>
      <w:pPr>
        <w:jc w:val="both"/>
        <w:ind w:left="1280" w:hanging="656"/>
        <w:spacing w:after="0" w:line="228" w:lineRule="auto"/>
        <w:tabs>
          <w:tab w:leader="none" w:pos="1274"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Releasor acknowledges that Releasor has been informed of the terms of Settlement Agreement and has read this Release Agreement, and Releasor has had an opportunity to obtain advice from, and ask questions of, a lawyer of Releasor’s choosing regarding the terms and legal effect of the Settlement Agreement, this Release Agreement and Releasor’s decision to accept the Settlement Amount. Releasor further acknowledges that Releasor has been informed that the effectiveness of this Release Agreement and payment to Releasor of Releasor’s settlement allocation are contingent on certain events and conditions outside of Releasor’s control, including, but not limited to, the decisions by other plaintiffs alleging Covered Claims to participate in a settlement with Released Parties. Releasor acknowledges that Releasor has been informed of all these matters by Releasor’s Counsel and such counsel has answered all of Releasor’s questions (if any) to Releasor’s satisfaction.</w:t>
      </w:r>
    </w:p>
    <w:p>
      <w:pPr>
        <w:spacing w:after="0" w:line="201" w:lineRule="exact"/>
        <w:rPr>
          <w:rFonts w:ascii="Arial" w:cs="Arial" w:eastAsia="Arial" w:hAnsi="Arial"/>
          <w:sz w:val="17"/>
          <w:szCs w:val="17"/>
          <w:color w:val="auto"/>
        </w:rPr>
      </w:pPr>
    </w:p>
    <w:p>
      <w:pPr>
        <w:ind w:left="1280" w:hanging="656"/>
        <w:spacing w:after="0" w:line="235" w:lineRule="auto"/>
        <w:tabs>
          <w:tab w:leader="none" w:pos="1277"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Releasor understands that Releasor has the right to make an informed decision regarding whether to sign this Release Agreement. Releasor acknowledges that Releasor understands this Release Agreement.</w:t>
      </w:r>
    </w:p>
    <w:p>
      <w:pPr>
        <w:spacing w:after="0" w:line="202" w:lineRule="exact"/>
        <w:rPr>
          <w:rFonts w:ascii="Arial" w:cs="Arial" w:eastAsia="Arial" w:hAnsi="Arial"/>
          <w:sz w:val="18"/>
          <w:szCs w:val="18"/>
          <w:color w:val="auto"/>
        </w:rPr>
      </w:pPr>
    </w:p>
    <w:p>
      <w:pPr>
        <w:jc w:val="both"/>
        <w:ind w:left="1280" w:hanging="657"/>
        <w:spacing w:after="0" w:line="235" w:lineRule="auto"/>
        <w:tabs>
          <w:tab w:leader="none" w:pos="1274"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Releasor further understands that any amounts paid to Releasor will be transmitted from the qualified settlement fund to Releasor’s Counsel, in trust for Releasor, to be disbursed to Releasor subject to: (a) any applicable lien holdbacks or payment obligations, including to Releasor’s counsel; (b) the payment of any court-ordered common cost assessments; and (c) the provisions of the Settlement Agreement and this Release Agreement. Released Parties take and bear no responsibility for the maintenance of funds in trust, or distribution or withholding of settlement funds from Releasor’s Counsel to Releasor.</w:t>
      </w:r>
    </w:p>
    <w:p>
      <w:pPr>
        <w:spacing w:after="0" w:line="203" w:lineRule="exact"/>
        <w:rPr>
          <w:rFonts w:ascii="Arial" w:cs="Arial" w:eastAsia="Arial" w:hAnsi="Arial"/>
          <w:sz w:val="17"/>
          <w:szCs w:val="17"/>
          <w:color w:val="auto"/>
        </w:rPr>
      </w:pPr>
    </w:p>
    <w:p>
      <w:pPr>
        <w:jc w:val="both"/>
        <w:ind w:left="1280" w:hanging="656"/>
        <w:spacing w:after="0" w:line="224" w:lineRule="auto"/>
        <w:tabs>
          <w:tab w:leader="none" w:pos="1277"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Releasor understands and acknowledges that Released Parties and their counsel have played no role in, and take and bear no responsibility for, the allocation of settlement amounts among settling plaintiffs or the allocation of settlement funds between settling plaintiffs and settling plaintiffs’ counsel.</w:t>
      </w:r>
    </w:p>
    <w:p>
      <w:pPr>
        <w:sectPr>
          <w:pgSz w:w="11900" w:h="16838" w:orient="portrait"/>
          <w:cols w:equalWidth="0" w:num="1">
            <w:col w:w="10980"/>
          </w:cols>
          <w:pgMar w:left="460" w:top="742" w:right="459" w:bottom="1440" w:gutter="0" w:footer="0" w:header="0"/>
        </w:sectPr>
      </w:pPr>
    </w:p>
    <w:bookmarkStart w:id="75" w:name="page76"/>
    <w:bookmarkEnd w:id="75"/>
    <w:p>
      <w:pPr>
        <w:ind w:left="1420" w:hanging="657"/>
        <w:spacing w:after="0" w:line="235" w:lineRule="auto"/>
        <w:tabs>
          <w:tab w:leader="none" w:pos="14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Releasor acknowledges that Releasor’s Counsel have been available to assist Releasor in the informed consent process and to answer any questions that Releasor might have had about the Settlement Agreement or this Release Agreement.</w:t>
      </w:r>
    </w:p>
    <w:p>
      <w:pPr>
        <w:spacing w:after="0" w:line="202" w:lineRule="exact"/>
        <w:rPr>
          <w:rFonts w:ascii="Arial" w:cs="Arial" w:eastAsia="Arial" w:hAnsi="Arial"/>
          <w:sz w:val="18"/>
          <w:szCs w:val="18"/>
          <w:color w:val="auto"/>
        </w:rPr>
      </w:pPr>
    </w:p>
    <w:p>
      <w:pPr>
        <w:jc w:val="both"/>
        <w:ind w:left="1420" w:hanging="657"/>
        <w:spacing w:after="0" w:line="254" w:lineRule="auto"/>
        <w:tabs>
          <w:tab w:leader="none" w:pos="141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parties acknowledge and agree that the Settlement Amount is intended to constitute damages for personal physical injuries or physical sickness within the meaning of section 104 of the Internal Revenue Code of 1986, as amended, arising from the physical injuries alleged to have resulted from the Covered Claims, and no portion of the proceeds paid to Releasor from the Settlement Amount is intended to be for punitive or exemplary damages, nor prejudgment or post-judgment interest, nor non-physical injuries.</w:t>
      </w:r>
    </w:p>
    <w:p>
      <w:pPr>
        <w:spacing w:after="0" w:line="193" w:lineRule="exact"/>
        <w:rPr>
          <w:rFonts w:ascii="Arial" w:cs="Arial" w:eastAsia="Arial" w:hAnsi="Arial"/>
          <w:sz w:val="16"/>
          <w:szCs w:val="16"/>
          <w:color w:val="auto"/>
        </w:rPr>
      </w:pPr>
    </w:p>
    <w:p>
      <w:pPr>
        <w:jc w:val="both"/>
        <w:ind w:left="1420" w:hanging="657"/>
        <w:spacing w:after="0" w:line="254" w:lineRule="auto"/>
        <w:tabs>
          <w:tab w:leader="none" w:pos="1414"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Releasor understands and agrees that a substantial reason for Settling Defendants agreeing to pay and paying the money referenced in this Release Agreement is the settlement, release, and elimination of any and all claims that Releasor or others have now or in the future might have, absent this Release Agreement, for the alleged injuries of Releasor arising from, relating to, or in connection with the Covered Claims, or based on any of the conduct alleged in the litigation relating to any Covered Claims.</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LIENS AND SUBROGATION CLAIMS</w:t>
      </w:r>
    </w:p>
    <w:p>
      <w:pPr>
        <w:spacing w:after="0" w:line="225" w:lineRule="exact"/>
        <w:rPr>
          <w:sz w:val="20"/>
          <w:szCs w:val="20"/>
          <w:color w:val="auto"/>
        </w:rPr>
      </w:pPr>
    </w:p>
    <w:p>
      <w:pPr>
        <w:ind w:left="1420" w:hanging="656"/>
        <w:spacing w:after="0"/>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Releasor’s Responsibility for Liens and Subrogation Claims</w:t>
      </w:r>
      <w:r>
        <w:rPr>
          <w:rFonts w:ascii="Arial" w:cs="Arial" w:eastAsia="Arial" w:hAnsi="Arial"/>
          <w:sz w:val="18"/>
          <w:szCs w:val="18"/>
          <w:color w:val="auto"/>
        </w:rPr>
        <w:t>.</w:t>
      </w:r>
    </w:p>
    <w:p>
      <w:pPr>
        <w:spacing w:after="0" w:line="229" w:lineRule="exact"/>
        <w:rPr>
          <w:sz w:val="20"/>
          <w:szCs w:val="20"/>
          <w:color w:val="auto"/>
        </w:rPr>
      </w:pPr>
    </w:p>
    <w:p>
      <w:pPr>
        <w:jc w:val="both"/>
        <w:ind w:left="1420" w:hanging="657"/>
        <w:spacing w:after="0" w:line="221" w:lineRule="auto"/>
        <w:tabs>
          <w:tab w:leader="none" w:pos="1417"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Releasor is solely responsible for any liens and agrees to pay or has paid any liens held by or amounts owed to third parties, whether persons or entities, including any state or federal government entities, individual healthcare providers, insurers, litigation funders, or attorneys (all hereinafter “</w:t>
      </w:r>
      <w:r>
        <w:rPr>
          <w:rFonts w:ascii="Arial" w:cs="Arial" w:eastAsia="Arial" w:hAnsi="Arial"/>
          <w:sz w:val="17"/>
          <w:szCs w:val="17"/>
          <w:u w:val="single" w:color="auto"/>
          <w:color w:val="auto"/>
        </w:rPr>
        <w:t>Lien Holders</w:t>
      </w:r>
      <w:r>
        <w:rPr>
          <w:rFonts w:ascii="Arial" w:cs="Arial" w:eastAsia="Arial" w:hAnsi="Arial"/>
          <w:sz w:val="22"/>
          <w:szCs w:val="22"/>
          <w:color w:val="auto"/>
          <w:vertAlign w:val="superscript"/>
        </w:rPr>
        <w:t>1</w:t>
      </w:r>
      <w:r>
        <w:rPr>
          <w:rFonts w:ascii="Arial" w:cs="Arial" w:eastAsia="Arial" w:hAnsi="Arial"/>
          <w:sz w:val="17"/>
          <w:szCs w:val="17"/>
          <w:color w:val="auto"/>
        </w:rPr>
        <w:t>”), arising out of or related to Releasor’s Covered Claims. Releasor also agrees that any liens based on any hospital or medical expenses incurred as a result of Releasor’s claimed injuries arising from, relating to, or in connection with the Covered Claims will be resolved and/or satisfied by Releasor. Releasor will indemnify, defend, and hold harmless Released Parties from claims by any Lien Holders, actual or asserted.</w:t>
      </w:r>
    </w:p>
    <w:p>
      <w:pPr>
        <w:spacing w:after="0" w:line="203" w:lineRule="exact"/>
        <w:rPr>
          <w:rFonts w:ascii="Arial" w:cs="Arial" w:eastAsia="Arial" w:hAnsi="Arial"/>
          <w:sz w:val="17"/>
          <w:szCs w:val="17"/>
          <w:color w:val="auto"/>
        </w:rPr>
      </w:pPr>
    </w:p>
    <w:p>
      <w:pPr>
        <w:jc w:val="both"/>
        <w:ind w:left="1420" w:hanging="657"/>
        <w:spacing w:after="0" w:line="229" w:lineRule="auto"/>
        <w:tabs>
          <w:tab w:leader="none" w:pos="14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Releasor agrees that any interest in, lien on, or right of subrogation in his or her Covered Claims by or belonging to any and all entities and individuals, including without limitation any governmental agencies or authorities, attorneys, litigation funders, healthcare providers, and/or insurers, will be satisfied by Releasor’s allocated payment.</w:t>
      </w:r>
    </w:p>
    <w:p>
      <w:pPr>
        <w:spacing w:after="0" w:line="204" w:lineRule="exact"/>
        <w:rPr>
          <w:rFonts w:ascii="Arial" w:cs="Arial" w:eastAsia="Arial" w:hAnsi="Arial"/>
          <w:sz w:val="18"/>
          <w:szCs w:val="18"/>
          <w:color w:val="auto"/>
        </w:rPr>
      </w:pPr>
    </w:p>
    <w:p>
      <w:pPr>
        <w:ind w:left="1420" w:hanging="657"/>
        <w:spacing w:after="0" w:line="258" w:lineRule="auto"/>
        <w:tabs>
          <w:tab w:leader="none" w:pos="1417"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Releasor agrees that Released Parties are not responsible for liens or subrogation claims against any settlement payments or the costs and expenses incurred in resolving any such liens or subrogation claims against settlement payments.</w:t>
      </w:r>
    </w:p>
    <w:p>
      <w:pPr>
        <w:spacing w:after="0" w:line="187" w:lineRule="exact"/>
        <w:rPr>
          <w:rFonts w:ascii="Arial" w:cs="Arial" w:eastAsia="Arial" w:hAnsi="Arial"/>
          <w:sz w:val="17"/>
          <w:szCs w:val="17"/>
          <w:color w:val="auto"/>
        </w:rPr>
      </w:pPr>
    </w:p>
    <w:p>
      <w:pPr>
        <w:jc w:val="both"/>
        <w:ind w:left="1420" w:hanging="657"/>
        <w:spacing w:after="0" w:line="224" w:lineRule="auto"/>
        <w:tabs>
          <w:tab w:leader="none" w:pos="14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Releasor acknowledges that lien resolution may take place pursuant to a Medicare global model for any Medicare-entitled Releasor receiving payment under the Release Agreement. Releasor and Releasor’s Counsel agree to follow any centralized protocols to coordinate and aggregate the resolution of all Releasor’s lien obligations, including Medicare.</w:t>
      </w:r>
    </w:p>
    <w:p>
      <w:pPr>
        <w:spacing w:after="0" w:line="203" w:lineRule="exact"/>
        <w:rPr>
          <w:rFonts w:ascii="Arial" w:cs="Arial" w:eastAsia="Arial" w:hAnsi="Arial"/>
          <w:sz w:val="18"/>
          <w:szCs w:val="18"/>
          <w:color w:val="auto"/>
        </w:rPr>
      </w:pPr>
    </w:p>
    <w:p>
      <w:pPr>
        <w:jc w:val="both"/>
        <w:ind w:left="1420" w:hanging="656"/>
        <w:spacing w:after="0" w:line="239" w:lineRule="auto"/>
        <w:tabs>
          <w:tab w:leader="none" w:pos="1417"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Releasor understands and agrees that as a condition to the disbursement of the allocated settlement funds to Releasor, Releasor, through Releasor’s Counsel or a lien resolution administrator retained by Releasor’s Counsel on behalf of Releasor, shall ensure that:</w:t>
      </w:r>
    </w:p>
    <w:p>
      <w:pPr>
        <w:ind w:left="1420"/>
        <w:spacing w:after="0"/>
        <w:rPr>
          <w:rFonts w:ascii="Arial" w:cs="Arial" w:eastAsia="Arial" w:hAnsi="Arial"/>
          <w:sz w:val="16"/>
          <w:szCs w:val="16"/>
          <w:color w:val="auto"/>
        </w:rPr>
      </w:pPr>
      <w:r>
        <w:rPr>
          <w:rFonts w:ascii="Arial" w:cs="Arial" w:eastAsia="Arial" w:hAnsi="Arial"/>
          <w:sz w:val="16"/>
          <w:szCs w:val="16"/>
          <w:color w:val="auto"/>
        </w:rPr>
        <w:t>(1) any and all known medical liens, claims arising from medical expenses, past, present, and/or future, and/or other liens including</w:t>
      </w:r>
    </w:p>
    <w:p>
      <w:pPr>
        <w:spacing w:after="0" w:line="5" w:lineRule="exact"/>
        <w:rPr>
          <w:sz w:val="20"/>
          <w:szCs w:val="20"/>
          <w:color w:val="auto"/>
        </w:rPr>
      </w:pPr>
    </w:p>
    <w:p>
      <w:pPr>
        <w:jc w:val="both"/>
        <w:ind w:left="1420"/>
        <w:spacing w:after="0" w:line="234" w:lineRule="auto"/>
        <w:rPr>
          <w:sz w:val="20"/>
          <w:szCs w:val="20"/>
          <w:color w:val="auto"/>
        </w:rPr>
      </w:pPr>
      <w:r>
        <w:rPr>
          <w:rFonts w:ascii="Arial" w:cs="Arial" w:eastAsia="Arial" w:hAnsi="Arial"/>
          <w:sz w:val="16"/>
          <w:szCs w:val="16"/>
          <w:color w:val="auto"/>
        </w:rPr>
        <w:t>but not restricted to liens and/or claims by any Lien Holder (hereinafter “</w:t>
      </w:r>
      <w:r>
        <w:rPr>
          <w:rFonts w:ascii="Arial" w:cs="Arial" w:eastAsia="Arial" w:hAnsi="Arial"/>
          <w:sz w:val="16"/>
          <w:szCs w:val="16"/>
          <w:u w:val="single" w:color="auto"/>
          <w:color w:val="auto"/>
        </w:rPr>
        <w:t>Liens</w:t>
      </w:r>
      <w:r>
        <w:rPr>
          <w:rFonts w:ascii="Arial" w:cs="Arial" w:eastAsia="Arial" w:hAnsi="Arial"/>
          <w:sz w:val="16"/>
          <w:szCs w:val="16"/>
          <w:color w:val="auto"/>
        </w:rPr>
        <w:t>”), incurred as a result of Releasor’s claims or claimed injuries arising from, relating to, or in connection with the Covered Claims have been, or will be, resolved, or that a holdback amount has been agreed to with Medicare, and (2) each Lien asserted by a state or federal government, individual healthcare provider, insurer,</w:t>
      </w:r>
    </w:p>
    <w:p>
      <w:pPr>
        <w:spacing w:after="0" w:line="2" w:lineRule="exact"/>
        <w:rPr>
          <w:sz w:val="20"/>
          <w:szCs w:val="20"/>
          <w:color w:val="auto"/>
        </w:rPr>
      </w:pPr>
    </w:p>
    <w:p>
      <w:pPr>
        <w:jc w:val="both"/>
        <w:ind w:left="1420"/>
        <w:spacing w:after="0" w:line="234" w:lineRule="auto"/>
        <w:rPr>
          <w:sz w:val="20"/>
          <w:szCs w:val="20"/>
          <w:color w:val="auto"/>
        </w:rPr>
      </w:pPr>
      <w:r>
        <w:rPr>
          <w:rFonts w:ascii="Arial" w:cs="Arial" w:eastAsia="Arial" w:hAnsi="Arial"/>
          <w:sz w:val="16"/>
          <w:szCs w:val="16"/>
          <w:color w:val="auto"/>
        </w:rPr>
        <w:t>litigation funders, and/or attorney Lien Holder has been, or will be, resolved. In addition to the foregoing, Releasor, through Releasor’s Counsel or a lien resolution administrator retained by Releasor’s Counsel on behalf of Releasor, shall cooperate fully with Released Parties, their attorneys and agents by executing any and all documents and providing any additional information required by</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or on behalf of the Releasor to comply with mandatory reporting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63" w:lineRule="exact"/>
        <w:rPr>
          <w:sz w:val="20"/>
          <w:szCs w:val="20"/>
          <w:color w:val="auto"/>
        </w:rPr>
      </w:pPr>
    </w:p>
    <w:p>
      <w:pPr>
        <w:jc w:val="both"/>
        <w:ind w:left="120" w:hanging="5"/>
        <w:spacing w:after="0" w:line="235" w:lineRule="auto"/>
        <w:tabs>
          <w:tab w:leader="none" w:pos="248" w:val="left"/>
        </w:tabs>
        <w:numPr>
          <w:ilvl w:val="0"/>
          <w:numId w:val="93"/>
        </w:numPr>
        <w:rPr>
          <w:rFonts w:ascii="Arial" w:cs="Arial" w:eastAsia="Arial" w:hAnsi="Arial"/>
          <w:sz w:val="22"/>
          <w:szCs w:val="22"/>
          <w:color w:val="auto"/>
          <w:vertAlign w:val="superscript"/>
        </w:rPr>
      </w:pPr>
      <w:r>
        <w:rPr>
          <w:rFonts w:ascii="Arial" w:cs="Arial" w:eastAsia="Arial" w:hAnsi="Arial"/>
          <w:sz w:val="17"/>
          <w:szCs w:val="17"/>
          <w:color w:val="auto"/>
        </w:rPr>
        <w:t>For purposes of this Release Agreement, the term Lien Holder shall expressly include (without limitation) the following: workers’ compensation carriers, health insurers, healthcare providers, Medicare, Medicaid, the U.S. Department of Veterans Affairs, the U.S. Department of Defense, TRICARE, Indian Health Services, litigation funders, attorneys, and any other private or public individual, entity, or program that holds liens or is owed payment arising out of or related to Releasor’s claimed injuries arising from, relating to, or in connection with the Covered Claims.</w:t>
      </w:r>
    </w:p>
    <w:p>
      <w:pPr>
        <w:sectPr>
          <w:pgSz w:w="11900" w:h="16838" w:orient="portrait"/>
          <w:cols w:equalWidth="0" w:num="1">
            <w:col w:w="11120"/>
          </w:cols>
          <w:pgMar w:left="320" w:top="746" w:right="459" w:bottom="1440" w:gutter="0" w:footer="0" w:header="0"/>
        </w:sectPr>
      </w:pPr>
    </w:p>
    <w:bookmarkStart w:id="76" w:name="page77"/>
    <w:bookmarkEnd w:id="76"/>
    <w:p>
      <w:pPr>
        <w:jc w:val="both"/>
        <w:ind w:left="1280" w:hanging="656"/>
        <w:spacing w:after="0" w:line="244" w:lineRule="auto"/>
        <w:tabs>
          <w:tab w:leader="none" w:pos="1271"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Releasor further agrees to cooperate fully with Released Parties, their attorneys and agents by executing any and all documents and providing any additional information required by or on behalf of the Releasor to comply with the mandatory Medicare reporting requirements of Section 111 of the Medicare, Medicaid and SCHIP Extension Act of 2007 (“</w:t>
      </w:r>
      <w:r>
        <w:rPr>
          <w:rFonts w:ascii="Arial" w:cs="Arial" w:eastAsia="Arial" w:hAnsi="Arial"/>
          <w:sz w:val="16"/>
          <w:szCs w:val="16"/>
          <w:u w:val="single" w:color="auto"/>
          <w:color w:val="auto"/>
        </w:rPr>
        <w:t>MMSEA § 111</w:t>
      </w:r>
      <w:r>
        <w:rPr>
          <w:rFonts w:ascii="Arial" w:cs="Arial" w:eastAsia="Arial" w:hAnsi="Arial"/>
          <w:sz w:val="16"/>
          <w:szCs w:val="16"/>
          <w:color w:val="auto"/>
        </w:rPr>
        <w:t>”). If Releasor is found to be Medicare eligible, Sterigenics U.S., LLC, as the Responsible Reporting Entity (under the provisions of MMSEA § 111) shall report the settlement in accordance with MMSEA § 111, and will share the same with Releasor’s Counsel. Releasor further specifically releases and relinquishes any and all right to and claim for any private cause of action pursuant to 42 U.S.C. § 1395y(b)(3)(A).</w:t>
      </w:r>
    </w:p>
    <w:p>
      <w:pPr>
        <w:spacing w:after="0" w:line="200" w:lineRule="exact"/>
        <w:rPr>
          <w:rFonts w:ascii="Arial" w:cs="Arial" w:eastAsia="Arial" w:hAnsi="Arial"/>
          <w:sz w:val="16"/>
          <w:szCs w:val="16"/>
          <w:color w:val="auto"/>
        </w:rPr>
      </w:pPr>
    </w:p>
    <w:p>
      <w:pPr>
        <w:ind w:left="1280" w:right="20" w:hanging="656"/>
        <w:spacing w:after="0" w:line="307" w:lineRule="auto"/>
        <w:tabs>
          <w:tab w:leader="none" w:pos="1274"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addition, Releasor expressly agrees and undertakes to indemnify, defend, and hold harmless the Released Parties from all costs and expenses incurred on account of any claims, demands, rights or causes of action by any other person or entity claiming:</w:t>
      </w:r>
    </w:p>
    <w:p>
      <w:pPr>
        <w:spacing w:after="0" w:line="150" w:lineRule="exact"/>
        <w:rPr>
          <w:rFonts w:ascii="Arial" w:cs="Arial" w:eastAsia="Arial" w:hAnsi="Arial"/>
          <w:sz w:val="16"/>
          <w:szCs w:val="16"/>
          <w:color w:val="auto"/>
        </w:rPr>
      </w:pPr>
    </w:p>
    <w:p>
      <w:pPr>
        <w:ind w:left="1580" w:hanging="423"/>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right on behalf of or through the Releasor as against the Released Parties;</w:t>
      </w:r>
    </w:p>
    <w:p>
      <w:pPr>
        <w:spacing w:after="0" w:line="225" w:lineRule="exact"/>
        <w:rPr>
          <w:rFonts w:ascii="Arial" w:cs="Arial" w:eastAsia="Arial" w:hAnsi="Arial"/>
          <w:sz w:val="18"/>
          <w:szCs w:val="18"/>
          <w:color w:val="auto"/>
        </w:rPr>
      </w:pPr>
    </w:p>
    <w:p>
      <w:pPr>
        <w:ind w:left="1600" w:hanging="502"/>
        <w:spacing w:after="0"/>
        <w:tabs>
          <w:tab w:leader="none" w:pos="1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Lien upon, subrogated interest in, or right or entitlement to the proceeds of the settlement;</w:t>
      </w:r>
    </w:p>
    <w:p>
      <w:pPr>
        <w:spacing w:after="0" w:line="225" w:lineRule="exact"/>
        <w:rPr>
          <w:sz w:val="20"/>
          <w:szCs w:val="20"/>
          <w:color w:val="auto"/>
        </w:rPr>
      </w:pPr>
    </w:p>
    <w:p>
      <w:pPr>
        <w:ind w:left="1600" w:right="1200" w:hanging="563"/>
        <w:spacing w:after="0" w:line="235" w:lineRule="auto"/>
        <w:tabs>
          <w:tab w:leader="none" w:pos="158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right to reimbursement or subrogation for any reason arising out of the consideration payable under this Release Agreement;</w:t>
      </w:r>
    </w:p>
    <w:p>
      <w:pPr>
        <w:spacing w:after="0" w:line="202" w:lineRule="exact"/>
        <w:rPr>
          <w:sz w:val="20"/>
          <w:szCs w:val="20"/>
          <w:color w:val="auto"/>
        </w:rPr>
      </w:pPr>
    </w:p>
    <w:p>
      <w:pPr>
        <w:ind w:left="1600" w:right="320" w:hanging="551"/>
        <w:spacing w:after="0" w:line="229" w:lineRule="auto"/>
        <w:tabs>
          <w:tab w:leader="none" w:pos="1577" w:val="left"/>
        </w:tabs>
        <w:numPr>
          <w:ilvl w:val="1"/>
          <w:numId w:val="96"/>
        </w:numPr>
        <w:rPr>
          <w:rFonts w:ascii="Arial" w:cs="Arial" w:eastAsia="Arial" w:hAnsi="Arial"/>
          <w:sz w:val="17"/>
          <w:szCs w:val="17"/>
          <w:color w:val="auto"/>
        </w:rPr>
      </w:pPr>
      <w:r>
        <w:rPr>
          <w:rFonts w:ascii="Arial" w:cs="Arial" w:eastAsia="Arial" w:hAnsi="Arial"/>
          <w:sz w:val="17"/>
          <w:szCs w:val="17"/>
          <w:color w:val="auto"/>
        </w:rPr>
        <w:t>a right to recovery by, or reimbursement to, the appropriate funds for conditional payments made or to be made by The Centers for Medicare and Medicaid Services (such payments, “</w:t>
      </w:r>
      <w:r>
        <w:rPr>
          <w:rFonts w:ascii="Arial" w:cs="Arial" w:eastAsia="Arial" w:hAnsi="Arial"/>
          <w:sz w:val="17"/>
          <w:szCs w:val="17"/>
          <w:u w:val="single" w:color="auto"/>
          <w:color w:val="auto"/>
        </w:rPr>
        <w:t>Government Health Payments</w:t>
      </w:r>
      <w:r>
        <w:rPr>
          <w:rFonts w:ascii="Arial" w:cs="Arial" w:eastAsia="Arial" w:hAnsi="Arial"/>
          <w:sz w:val="17"/>
          <w:szCs w:val="17"/>
          <w:color w:val="auto"/>
        </w:rPr>
        <w:t>”) with respect to covered items and services (or any portion thereof), pursuant to 42U.S.C. § 1395y(b), and corresponding regulations, including but not limited to 42 CFR § 411.22 and 42 CFR § 411.24, including any amendments thereto or interpretations thereof that may be placed upon such statutes and regulations by any state or federal court (sometimes known as the “Medicare Secondary Payor” laws and program). Releasor expressly agrees that he or she assumes full responsibility for satisfying any and all notification, reimbursement and recovery obligations owed with respect to Government Health Payments; or</w:t>
      </w:r>
    </w:p>
    <w:p>
      <w:pPr>
        <w:spacing w:after="0" w:line="206" w:lineRule="exact"/>
        <w:rPr>
          <w:rFonts w:ascii="Arial" w:cs="Arial" w:eastAsia="Arial" w:hAnsi="Arial"/>
          <w:sz w:val="17"/>
          <w:szCs w:val="17"/>
          <w:color w:val="auto"/>
        </w:rPr>
      </w:pPr>
    </w:p>
    <w:p>
      <w:pPr>
        <w:ind w:left="1600" w:right="100" w:hanging="490"/>
        <w:spacing w:after="0" w:line="235" w:lineRule="auto"/>
        <w:tabs>
          <w:tab w:leader="none" w:pos="1588" w:val="left"/>
        </w:tabs>
        <w:numPr>
          <w:ilvl w:val="2"/>
          <w:numId w:val="96"/>
        </w:numPr>
        <w:rPr>
          <w:rFonts w:ascii="Arial" w:cs="Arial" w:eastAsia="Arial" w:hAnsi="Arial"/>
          <w:sz w:val="18"/>
          <w:szCs w:val="18"/>
          <w:color w:val="auto"/>
        </w:rPr>
      </w:pPr>
      <w:r>
        <w:rPr>
          <w:rFonts w:ascii="Arial" w:cs="Arial" w:eastAsia="Arial" w:hAnsi="Arial"/>
          <w:sz w:val="18"/>
          <w:szCs w:val="18"/>
          <w:color w:val="auto"/>
        </w:rPr>
        <w:t>a right against Released Parties due to the fact that Releasor is, in fact, a party to bankruptcy proceedings at such time as to affect the rights of Released Parties under this Release Agreement.</w:t>
      </w:r>
    </w:p>
    <w:p>
      <w:pPr>
        <w:spacing w:after="0" w:line="202" w:lineRule="exact"/>
        <w:rPr>
          <w:rFonts w:ascii="Arial" w:cs="Arial" w:eastAsia="Arial" w:hAnsi="Arial"/>
          <w:sz w:val="18"/>
          <w:szCs w:val="18"/>
          <w:color w:val="auto"/>
        </w:rPr>
      </w:pPr>
    </w:p>
    <w:p>
      <w:pPr>
        <w:jc w:val="both"/>
        <w:ind w:left="1280" w:hanging="657"/>
        <w:spacing w:after="0" w:line="228" w:lineRule="auto"/>
        <w:tabs>
          <w:tab w:leader="none" w:pos="1274"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Releasor further expressly agrees and covenants to release, discharge, forever indemnify, defend, and hold harmless the Released Parties and their attorneys from any Liens and/or claims which may arise or may have arisen in favor of Medicare, Medicaid, any other government program or any other governmental entity, federal, state or local, by operation of law or equity, for medical expenses, disability benefits, or any other charge or expense, directly or indirectly relating to Releasor’s injuries arising from, relating to, or in connection with the Covered Claims. The indemnification set forth in this Section specifically includes, but is not limited to, the payment of all reasonable costs and expenses of investigation, defense, settlement, attorney fees, judgments, court costs, and all other costs and expenses of defending such claims. Releasor’s total indemnification obligations under this Release Agreement shall not exceed Releasor’s settlement amount.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25" w:lineRule="exact"/>
        <w:rPr>
          <w:sz w:val="20"/>
          <w:szCs w:val="20"/>
          <w:color w:val="auto"/>
        </w:rPr>
      </w:pPr>
    </w:p>
    <w:p>
      <w:pPr>
        <w:ind w:left="-20" w:firstLine="644"/>
        <w:spacing w:after="0" w:line="237" w:lineRule="auto"/>
        <w:tabs>
          <w:tab w:leader="none" w:pos="116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Good Faith Settlement Determination</w:t>
      </w:r>
      <w:r>
        <w:rPr>
          <w:rFonts w:ascii="Arial" w:cs="Arial" w:eastAsia="Arial" w:hAnsi="Arial"/>
          <w:sz w:val="18"/>
          <w:szCs w:val="18"/>
          <w:color w:val="auto"/>
        </w:rPr>
        <w:t>. If requested by any Released Party, Releasor will cooperate and use best efforts to obtain a</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Settlement Determination.</w:t>
      </w:r>
    </w:p>
    <w:p>
      <w:pPr>
        <w:spacing w:after="0" w:line="198" w:lineRule="exact"/>
        <w:rPr>
          <w:rFonts w:ascii="Arial" w:cs="Arial" w:eastAsia="Arial" w:hAnsi="Arial"/>
          <w:sz w:val="18"/>
          <w:szCs w:val="18"/>
          <w:color w:val="auto"/>
        </w:rPr>
      </w:pPr>
    </w:p>
    <w:p>
      <w:pPr>
        <w:ind w:left="-20" w:firstLine="644"/>
        <w:spacing w:after="0" w:line="237" w:lineRule="auto"/>
        <w:tabs>
          <w:tab w:leader="none" w:pos="115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Release Agreement shall be governed by and construed in accordance with the law of the State of Illinois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any choice-of-law rules that would require the application of the law of another jurisdiction.</w:t>
      </w:r>
    </w:p>
    <w:p>
      <w:pPr>
        <w:spacing w:after="0" w:line="198" w:lineRule="exact"/>
        <w:rPr>
          <w:rFonts w:ascii="Arial" w:cs="Arial" w:eastAsia="Arial" w:hAnsi="Arial"/>
          <w:sz w:val="18"/>
          <w:szCs w:val="18"/>
          <w:color w:val="auto"/>
        </w:rPr>
      </w:pPr>
    </w:p>
    <w:p>
      <w:pPr>
        <w:jc w:val="both"/>
        <w:ind w:left="-20" w:firstLine="644"/>
        <w:spacing w:after="0" w:line="224" w:lineRule="auto"/>
        <w:tabs>
          <w:tab w:leader="none" w:pos="1163"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Competence</w:t>
      </w:r>
      <w:r>
        <w:rPr>
          <w:rFonts w:ascii="Arial" w:cs="Arial" w:eastAsia="Arial" w:hAnsi="Arial"/>
          <w:sz w:val="18"/>
          <w:szCs w:val="18"/>
          <w:color w:val="auto"/>
        </w:rPr>
        <w:t>. Releasor warrants and represents that he or she is of legal age and legally competent to execute this Release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promise or condition not contained or expressly referenced in this Release Agreement has been made to him or her, and that Releasor has been fully informed of the terms of this Release Agreement through discussions with Releasor’s Counsel. No term in this Release Agreement shall be construed against any party on the basis that the party drafted the Release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60" w:top="1003" w:right="459" w:bottom="1440" w:gutter="0" w:footer="0" w:header="0"/>
        </w:sectPr>
      </w:pPr>
    </w:p>
    <w:bookmarkStart w:id="77" w:name="page78"/>
    <w:bookmarkEnd w:id="77"/>
    <w:p>
      <w:pPr>
        <w:ind w:left="120"/>
        <w:spacing w:after="0"/>
        <w:rPr>
          <w:sz w:val="20"/>
          <w:szCs w:val="20"/>
          <w:color w:val="auto"/>
        </w:rPr>
      </w:pPr>
      <w:r>
        <w:rPr>
          <w:rFonts w:ascii="Arial" w:cs="Arial" w:eastAsia="Arial" w:hAnsi="Arial"/>
          <w:sz w:val="16"/>
          <w:szCs w:val="16"/>
          <w:color w:val="auto"/>
        </w:rPr>
        <w:t>Under penalties as provided by law pursuant to Section 1-109 of the Illinois Code of Civil Procedure, the undersigned Releasor certifies that the</w:t>
      </w:r>
    </w:p>
    <w:p>
      <w:pPr>
        <w:spacing w:after="0" w:line="21" w:lineRule="exact"/>
        <w:rPr>
          <w:sz w:val="20"/>
          <w:szCs w:val="20"/>
          <w:color w:val="auto"/>
        </w:rPr>
      </w:pPr>
    </w:p>
    <w:p>
      <w:pPr>
        <w:ind w:left="120" w:right="340"/>
        <w:spacing w:after="0" w:line="226" w:lineRule="auto"/>
        <w:rPr>
          <w:sz w:val="20"/>
          <w:szCs w:val="20"/>
          <w:color w:val="auto"/>
        </w:rPr>
      </w:pPr>
      <w:r>
        <w:rPr>
          <w:rFonts w:ascii="Arial" w:cs="Arial" w:eastAsia="Arial" w:hAnsi="Arial"/>
          <w:sz w:val="18"/>
          <w:szCs w:val="18"/>
          <w:color w:val="auto"/>
        </w:rPr>
        <w:t>statements set forth in this Release Agreement are true and correct, except as to matters therein stated to be on information and belief and as to such matters the undersigned certifies as aforesaid that the Releasor verily believes the same to be true.</w:t>
      </w:r>
    </w:p>
    <w:p>
      <w:pPr>
        <w:spacing w:after="0" w:line="37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so signing, I acknowledge that all provisions have been fully agreed to, understood and comprehended by me, and that I enter into this Release Agreement knowingly and voluntarily for the purpose of making a full and final compromise and settlement of any and all claims arising out of the matters referred to above. This certification shall have the same effect as a verification provided and sworn under oath.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Brian Kamuda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571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RELEASOR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FULL NAME OF RELEASOR: Brian Kamuda</w:t>
      </w:r>
    </w:p>
    <w:p>
      <w:pPr>
        <w:sectPr>
          <w:pgSz w:w="11900" w:h="16838" w:orient="portrait"/>
          <w:cols w:equalWidth="0" w:num="1">
            <w:col w:w="10720"/>
          </w:cols>
          <w:pgMar w:left="320" w:top="733" w:right="859" w:bottom="10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-3175</wp:posOffset>
            </wp:positionV>
            <wp:extent cx="114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3/27/2023</w:t>
      </w:r>
    </w:p>
    <w:p>
      <w:pPr>
        <w:spacing w:after="0" w:line="359" w:lineRule="exact"/>
        <w:rPr>
          <w:sz w:val="20"/>
          <w:szCs w:val="20"/>
          <w:color w:val="auto"/>
        </w:rPr>
      </w:pPr>
    </w:p>
    <w:p>
      <w:pPr>
        <w:sectPr>
          <w:pgSz w:w="11900" w:h="16838" w:orient="portrait"/>
          <w:cols w:equalWidth="0" w:num="2">
            <w:col w:w="1240" w:space="720"/>
            <w:col w:w="8760"/>
          </w:cols>
          <w:pgMar w:left="320" w:top="733" w:right="859" w:bottom="1087" w:gutter="0" w:footer="0" w:header="0"/>
          <w:type w:val="continuous"/>
        </w:sectPr>
      </w:pP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DOB: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8001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SSN: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7423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 OF ILLINOIS</w:t>
      </w:r>
    </w:p>
    <w:p>
      <w:pPr>
        <w:sectPr>
          <w:pgSz w:w="11900" w:h="16838" w:orient="portrait"/>
          <w:cols w:equalWidth="0" w:num="1">
            <w:col w:w="10720"/>
          </w:cols>
          <w:pgMar w:left="320" w:top="733" w:right="859" w:bottom="1087" w:gutter="0" w:footer="0" w:header="0"/>
          <w:type w:val="continuous"/>
        </w:sect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DuPage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62230</wp:posOffset>
            </wp:positionV>
            <wp:extent cx="7797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1040" w:space="60"/>
            <w:col w:w="9620"/>
          </w:cols>
          <w:pgMar w:left="320" w:top="733" w:right="859" w:bottom="10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Release Agreement – Brian Kamuda</w:t>
      </w:r>
      <w:r>
        <w:rPr>
          <w:rFonts w:ascii="Arial" w:cs="Arial" w:eastAsia="Arial" w:hAnsi="Arial"/>
          <w:sz w:val="16"/>
          <w:szCs w:val="16"/>
          <w:color w:val="auto"/>
        </w:rPr>
        <w:t>]</w:t>
      </w:r>
    </w:p>
    <w:p>
      <w:pPr>
        <w:sectPr>
          <w:pgSz w:w="11900" w:h="16838" w:orient="portrait"/>
          <w:cols w:equalWidth="0" w:num="1">
            <w:col w:w="10720"/>
          </w:cols>
          <w:pgMar w:left="320" w:top="733" w:right="859" w:bottom="1087" w:gutter="0" w:footer="0" w:header="0"/>
          <w:type w:val="continuous"/>
        </w:sectPr>
      </w:pPr>
    </w:p>
    <w:bookmarkStart w:id="78" w:name="page79"/>
    <w:bookmarkEnd w:id="78"/>
    <w:p>
      <w:pPr>
        <w:ind w:left="380"/>
        <w:spacing w:after="0"/>
        <w:rPr>
          <w:sz w:val="20"/>
          <w:szCs w:val="20"/>
          <w:color w:val="auto"/>
        </w:rPr>
      </w:pPr>
      <w:r>
        <w:rPr>
          <w:rFonts w:ascii="Arial" w:cs="Arial" w:eastAsia="Arial" w:hAnsi="Arial"/>
          <w:sz w:val="20"/>
          <w:szCs w:val="20"/>
          <w:color w:val="232323"/>
        </w:rPr>
        <w:t>SETTLING DEFENDANTS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232323"/>
        </w:rPr>
        <w:t>Acknowledged:</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SOTERA HEALTH LLC:</w:t>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Matthew J. Klaben</w:t>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-71755</wp:posOffset>
            </wp:positionV>
            <wp:extent cx="27857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Name: Matthew J. Klaben</w:t>
      </w:r>
    </w:p>
    <w:p>
      <w:pPr>
        <w:spacing w:after="0" w:line="40"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20"/>
          <w:szCs w:val="20"/>
          <w:color w:val="232323"/>
        </w:rPr>
        <w:t>Its:</w:t>
      </w:r>
      <w:r>
        <w:rPr>
          <w:sz w:val="20"/>
          <w:szCs w:val="20"/>
          <w:color w:val="auto"/>
        </w:rPr>
        <w:tab/>
      </w:r>
      <w:r>
        <w:rPr>
          <w:rFonts w:ascii="Arial" w:cs="Arial" w:eastAsia="Arial" w:hAnsi="Arial"/>
          <w:sz w:val="16"/>
          <w:szCs w:val="16"/>
          <w:color w:val="232323"/>
        </w:rPr>
        <w:t>Senior Vice President, General Counsel and Secretary</w:t>
      </w: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STERIGENICS U.S., LLC:</w:t>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Matthew J. Klaben</w:t>
      </w:r>
    </w:p>
    <w:p>
      <w:pPr>
        <w:spacing w:after="0"/>
        <w:rPr>
          <w:sz w:val="20"/>
          <w:szCs w:val="20"/>
          <w:color w:val="auto"/>
        </w:rPr>
      </w:pPr>
      <w:r>
        <w:rPr>
          <w:rFonts w:ascii="Arial" w:cs="Arial" w:eastAsia="Arial" w:hAnsi="Arial"/>
          <w:sz w:val="18"/>
          <w:szCs w:val="18"/>
          <w:color w:val="363636"/>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-71755</wp:posOffset>
            </wp:positionV>
            <wp:extent cx="27857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Name: Matthew J. Klaben</w:t>
      </w:r>
    </w:p>
    <w:p>
      <w:pPr>
        <w:spacing w:after="0" w:line="54"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20"/>
          <w:szCs w:val="20"/>
          <w:color w:val="232323"/>
        </w:rPr>
        <w:t>Its:</w:t>
      </w:r>
      <w:r>
        <w:rPr>
          <w:sz w:val="20"/>
          <w:szCs w:val="20"/>
          <w:color w:val="auto"/>
        </w:rPr>
        <w:tab/>
      </w:r>
      <w:r>
        <w:rPr>
          <w:rFonts w:ascii="Arial" w:cs="Arial" w:eastAsia="Arial" w:hAnsi="Arial"/>
          <w:sz w:val="16"/>
          <w:szCs w:val="16"/>
          <w:color w:val="232323"/>
        </w:rPr>
        <w:t>Senior Vice President, General Counsel and Secretary</w:t>
      </w:r>
    </w:p>
    <w:p>
      <w:pPr>
        <w:sectPr>
          <w:pgSz w:w="11900" w:h="16838" w:orient="portrait"/>
          <w:cols w:equalWidth="0" w:num="1">
            <w:col w:w="10139"/>
          </w:cols>
          <w:pgMar w:left="320"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Arial" w:cs="Arial" w:eastAsia="Arial" w:hAnsi="Arial"/>
          <w:sz w:val="16"/>
          <w:szCs w:val="16"/>
          <w:i w:val="1"/>
          <w:iCs w:val="1"/>
          <w:color w:val="232323"/>
        </w:rPr>
        <w:t>[Signature Page to Release Agreement - Brain Kamuda]</w:t>
      </w:r>
    </w:p>
    <w:p>
      <w:pPr>
        <w:sectPr>
          <w:pgSz w:w="11900" w:h="16838" w:orient="portrait"/>
          <w:cols w:equalWidth="0" w:num="1">
            <w:col w:w="10139"/>
          </w:cols>
          <w:pgMar w:left="320" w:top="676" w:right="1440" w:bottom="1440" w:gutter="0" w:footer="0" w:header="0"/>
          <w:type w:val="continuous"/>
        </w:sectPr>
      </w:pPr>
    </w:p>
    <w:bookmarkStart w:id="79" w:name="page80"/>
    <w:bookmarkEnd w:id="79"/>
    <w:p>
      <w:pPr>
        <w:jc w:val="center"/>
        <w:ind w:right="-139"/>
        <w:spacing w:after="0"/>
        <w:rPr>
          <w:sz w:val="20"/>
          <w:szCs w:val="20"/>
          <w:color w:val="auto"/>
        </w:rPr>
      </w:pPr>
      <w:r>
        <w:rPr>
          <w:rFonts w:ascii="Arial" w:cs="Arial" w:eastAsia="Arial" w:hAnsi="Arial"/>
          <w:sz w:val="18"/>
          <w:szCs w:val="18"/>
          <w:b w:val="1"/>
          <w:bCs w:val="1"/>
          <w:u w:val="single" w:color="auto"/>
          <w:color w:val="auto"/>
        </w:rPr>
        <w:t>RELEASE AGREEMENT</w:t>
      </w:r>
    </w:p>
    <w:p>
      <w:pPr>
        <w:spacing w:after="0" w:line="229" w:lineRule="exact"/>
        <w:rPr>
          <w:sz w:val="20"/>
          <w:szCs w:val="20"/>
          <w:color w:val="auto"/>
        </w:rPr>
      </w:pPr>
    </w:p>
    <w:p>
      <w:pPr>
        <w:jc w:val="both"/>
        <w:ind w:left="120" w:right="20" w:firstLine="648"/>
        <w:spacing w:after="0" w:line="246" w:lineRule="auto"/>
        <w:rPr>
          <w:sz w:val="20"/>
          <w:szCs w:val="20"/>
          <w:color w:val="auto"/>
        </w:rPr>
      </w:pPr>
      <w:r>
        <w:rPr>
          <w:rFonts w:ascii="Arial" w:cs="Arial" w:eastAsia="Arial" w:hAnsi="Arial"/>
          <w:sz w:val="18"/>
          <w:szCs w:val="18"/>
          <w:color w:val="auto"/>
        </w:rPr>
        <w:t>This Release Agreement (the “</w:t>
      </w:r>
      <w:r>
        <w:rPr>
          <w:rFonts w:ascii="Arial" w:cs="Arial" w:eastAsia="Arial" w:hAnsi="Arial"/>
          <w:sz w:val="18"/>
          <w:szCs w:val="18"/>
          <w:u w:val="single" w:color="auto"/>
          <w:color w:val="auto"/>
        </w:rPr>
        <w:t>Release Agreement</w:t>
      </w:r>
      <w:r>
        <w:rPr>
          <w:rFonts w:ascii="Arial" w:cs="Arial" w:eastAsia="Arial" w:hAnsi="Arial"/>
          <w:sz w:val="18"/>
          <w:szCs w:val="18"/>
          <w:color w:val="auto"/>
        </w:rPr>
        <w:t>”) is made and entered into on the date signed below by Teresa and Doug Fornek (the “</w:t>
      </w:r>
      <w:r>
        <w:rPr>
          <w:rFonts w:ascii="Arial" w:cs="Arial" w:eastAsia="Arial" w:hAnsi="Arial"/>
          <w:sz w:val="18"/>
          <w:szCs w:val="18"/>
          <w:u w:val="single" w:color="auto"/>
          <w:color w:val="auto"/>
        </w:rPr>
        <w:t>Releasor</w:t>
      </w:r>
      <w:r>
        <w:rPr>
          <w:rFonts w:ascii="Arial" w:cs="Arial" w:eastAsia="Arial" w:hAnsi="Arial"/>
          <w:sz w:val="18"/>
          <w:szCs w:val="18"/>
          <w:color w:val="auto"/>
        </w:rPr>
        <w:t>”) and takes effect on the Effective Date (as defined herein).</w:t>
      </w: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120" w:right="20" w:firstLine="648"/>
        <w:spacing w:after="0" w:line="248" w:lineRule="auto"/>
        <w:rPr>
          <w:sz w:val="20"/>
          <w:szCs w:val="20"/>
          <w:color w:val="auto"/>
        </w:rPr>
      </w:pPr>
      <w:r>
        <w:rPr>
          <w:rFonts w:ascii="Arial" w:cs="Arial" w:eastAsia="Arial" w:hAnsi="Arial"/>
          <w:sz w:val="16"/>
          <w:szCs w:val="16"/>
          <w:color w:val="auto"/>
        </w:rPr>
        <w:t>WHEREAS, on March 28, 2023, Sotera Health LLC and Sterigenics U.S., LLC (“</w:t>
      </w:r>
      <w:r>
        <w:rPr>
          <w:rFonts w:ascii="Arial" w:cs="Arial" w:eastAsia="Arial" w:hAnsi="Arial"/>
          <w:sz w:val="16"/>
          <w:szCs w:val="16"/>
          <w:u w:val="single" w:color="auto"/>
          <w:color w:val="auto"/>
        </w:rPr>
        <w:t>Settling Defendants</w:t>
      </w:r>
      <w:r>
        <w:rPr>
          <w:rFonts w:ascii="Arial" w:cs="Arial" w:eastAsia="Arial" w:hAnsi="Arial"/>
          <w:sz w:val="16"/>
          <w:szCs w:val="16"/>
          <w:color w:val="auto"/>
        </w:rPr>
        <w:t>”) and counsel for Releasor (“</w:t>
      </w:r>
      <w:r>
        <w:rPr>
          <w:rFonts w:ascii="Arial" w:cs="Arial" w:eastAsia="Arial" w:hAnsi="Arial"/>
          <w:sz w:val="16"/>
          <w:szCs w:val="16"/>
          <w:u w:val="single" w:color="auto"/>
          <w:color w:val="auto"/>
        </w:rPr>
        <w:t>Releasor’s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Counsel</w:t>
      </w:r>
      <w:r>
        <w:rPr>
          <w:rFonts w:ascii="Arial" w:cs="Arial" w:eastAsia="Arial" w:hAnsi="Arial"/>
          <w:sz w:val="16"/>
          <w:szCs w:val="16"/>
          <w:color w:val="auto"/>
        </w:rPr>
        <w:t>”) entered into a binding agreement to provide for the full and final resolution (the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of the Releasor’s Covered Claims</w:t>
      </w:r>
    </w:p>
    <w:p>
      <w:pPr>
        <w:jc w:val="both"/>
        <w:ind w:left="120" w:right="20"/>
        <w:spacing w:after="0" w:line="218" w:lineRule="auto"/>
        <w:rPr>
          <w:sz w:val="20"/>
          <w:szCs w:val="20"/>
          <w:color w:val="auto"/>
        </w:rPr>
      </w:pPr>
      <w:r>
        <w:rPr>
          <w:rFonts w:ascii="Arial" w:cs="Arial" w:eastAsia="Arial" w:hAnsi="Arial"/>
          <w:sz w:val="18"/>
          <w:szCs w:val="18"/>
          <w:color w:val="auto"/>
        </w:rPr>
        <w:t>(as defined herein), including claims that have been, could have been, or may be asserted against Settling Defendants or others for injury arising from, relating to, or in connection with the use and/or emission of ethylene oxide by and/or from Sterigenics U.S., LLC’s or any other Released Party’s (as defined herein) operations in or around Willowbrook, Illinois;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Settling Defendants deny any and all liability with respect to the Covered Claims, and deny any liability to Releasor;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in return for good and valuable consideration, which shall be***** (the “</w:t>
      </w:r>
      <w:r>
        <w:rPr>
          <w:rFonts w:ascii="Arial" w:cs="Arial" w:eastAsia="Arial" w:hAnsi="Arial"/>
          <w:sz w:val="18"/>
          <w:szCs w:val="18"/>
          <w:u w:val="single" w:color="auto"/>
          <w:color w:val="auto"/>
        </w:rPr>
        <w:t>Settlement Amount</w:t>
      </w:r>
      <w:r>
        <w:rPr>
          <w:rFonts w:ascii="Arial" w:cs="Arial" w:eastAsia="Arial" w:hAnsi="Arial"/>
          <w:sz w:val="18"/>
          <w:szCs w:val="18"/>
          <w:color w:val="auto"/>
        </w:rPr>
        <w:t>”),</w:t>
      </w:r>
    </w:p>
    <w:p>
      <w:pPr>
        <w:spacing w:after="0"/>
        <w:rPr>
          <w:sz w:val="20"/>
          <w:szCs w:val="20"/>
          <w:color w:val="auto"/>
        </w:rPr>
      </w:pPr>
      <w:r>
        <w:rPr>
          <w:rFonts w:ascii="Arial" w:cs="Arial" w:eastAsia="Arial" w:hAnsi="Arial"/>
          <w:sz w:val="17"/>
          <w:szCs w:val="17"/>
          <w:color w:val="auto"/>
        </w:rPr>
        <w:t>Releasor agrees through this Release Agreement to release, settle, and discharge any and all Covered Claims against the Released Parties; and</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WHEREAS, this Release Agreement is conditioned on the performance and fulfillment of conditions set forth in the Settlement Agreement.</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NOW, THEREFORE, in consideration of the promises and mutual covenants contained herein, Releasor agrees as follows: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120" w:firstLine="643"/>
        <w:spacing w:after="0" w:line="237" w:lineRule="auto"/>
        <w:tabs>
          <w:tab w:leader="none" w:pos="1308"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Releasor. </w:t>
      </w:r>
      <w:r>
        <w:rPr>
          <w:rFonts w:ascii="Arial" w:cs="Arial" w:eastAsia="Arial" w:hAnsi="Arial"/>
          <w:sz w:val="18"/>
          <w:szCs w:val="18"/>
          <w:color w:val="auto"/>
        </w:rPr>
        <w:t>References to Releasor include Releasor’s heirs, beneficiaries, next of kin, executors, administrators, successors,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or entity claiming by, through, under, or on their behalf.</w:t>
      </w:r>
    </w:p>
    <w:p>
      <w:pPr>
        <w:spacing w:after="0" w:line="198" w:lineRule="exact"/>
        <w:rPr>
          <w:rFonts w:ascii="Arial" w:cs="Arial" w:eastAsia="Arial" w:hAnsi="Arial"/>
          <w:sz w:val="18"/>
          <w:szCs w:val="18"/>
          <w:color w:val="auto"/>
        </w:rPr>
      </w:pPr>
    </w:p>
    <w:p>
      <w:pPr>
        <w:ind w:left="120" w:right="20" w:firstLine="644"/>
        <w:spacing w:after="0" w:line="250" w:lineRule="auto"/>
        <w:tabs>
          <w:tab w:leader="none" w:pos="1308"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Releasor’s Counsel</w:t>
      </w:r>
      <w:r>
        <w:rPr>
          <w:rFonts w:ascii="Arial" w:cs="Arial" w:eastAsia="Arial" w:hAnsi="Arial"/>
          <w:sz w:val="18"/>
          <w:szCs w:val="18"/>
          <w:color w:val="auto"/>
        </w:rPr>
        <w:t>. “</w:t>
      </w:r>
      <w:r>
        <w:rPr>
          <w:rFonts w:ascii="Arial" w:cs="Arial" w:eastAsia="Arial" w:hAnsi="Arial"/>
          <w:sz w:val="18"/>
          <w:szCs w:val="18"/>
          <w:u w:val="single" w:color="auto"/>
          <w:color w:val="auto"/>
        </w:rPr>
        <w:t>Releasor’s Counsel</w:t>
      </w:r>
      <w:r>
        <w:rPr>
          <w:rFonts w:ascii="Arial" w:cs="Arial" w:eastAsia="Arial" w:hAnsi="Arial"/>
          <w:sz w:val="18"/>
          <w:szCs w:val="18"/>
          <w:color w:val="auto"/>
        </w:rPr>
        <w:t>” means the lawyer(s) and law firm representing Releasor in any pending Covered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against any Released Parties.</w:t>
      </w:r>
    </w:p>
    <w:p>
      <w:pPr>
        <w:spacing w:after="0" w:line="189" w:lineRule="exact"/>
        <w:rPr>
          <w:rFonts w:ascii="Arial" w:cs="Arial" w:eastAsia="Arial" w:hAnsi="Arial"/>
          <w:sz w:val="18"/>
          <w:szCs w:val="18"/>
          <w:color w:val="auto"/>
        </w:rPr>
      </w:pPr>
    </w:p>
    <w:p>
      <w:pPr>
        <w:ind w:left="1420" w:hanging="657"/>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Released Parties.</w:t>
      </w:r>
    </w:p>
    <w:p>
      <w:pPr>
        <w:spacing w:after="0" w:line="229" w:lineRule="exact"/>
        <w:rPr>
          <w:rFonts w:ascii="Arial" w:cs="Arial" w:eastAsia="Arial" w:hAnsi="Arial"/>
          <w:sz w:val="18"/>
          <w:szCs w:val="18"/>
          <w:color w:val="auto"/>
        </w:rPr>
      </w:pPr>
    </w:p>
    <w:p>
      <w:pPr>
        <w:ind w:left="1400" w:hanging="636"/>
        <w:spacing w:after="0"/>
        <w:tabs>
          <w:tab w:leader="none" w:pos="14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Party</w:t>
      </w:r>
      <w:r>
        <w:rPr>
          <w:rFonts w:ascii="Arial" w:cs="Arial" w:eastAsia="Arial" w:hAnsi="Arial"/>
          <w:sz w:val="18"/>
          <w:szCs w:val="18"/>
          <w:color w:val="auto"/>
        </w:rPr>
        <w:t>” or “</w:t>
      </w:r>
      <w:r>
        <w:rPr>
          <w:rFonts w:ascii="Arial" w:cs="Arial" w:eastAsia="Arial" w:hAnsi="Arial"/>
          <w:sz w:val="18"/>
          <w:szCs w:val="18"/>
          <w:u w:val="single" w:color="auto"/>
          <w:color w:val="auto"/>
        </w:rPr>
        <w:t>Released Parties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740" w:right="740" w:hanging="443"/>
        <w:spacing w:after="0" w:line="235" w:lineRule="auto"/>
        <w:tabs>
          <w:tab w:leader="none" w:pos="1733" w:val="left"/>
        </w:tabs>
        <w:numPr>
          <w:ilvl w:val="3"/>
          <w:numId w:val="99"/>
        </w:numPr>
        <w:rPr>
          <w:rFonts w:ascii="Arial" w:cs="Arial" w:eastAsia="Arial" w:hAnsi="Arial"/>
          <w:sz w:val="18"/>
          <w:szCs w:val="18"/>
          <w:color w:val="auto"/>
        </w:rPr>
      </w:pPr>
      <w:r>
        <w:rPr>
          <w:rFonts w:ascii="Arial" w:cs="Arial" w:eastAsia="Arial" w:hAnsi="Arial"/>
          <w:sz w:val="18"/>
          <w:szCs w:val="18"/>
          <w:color w:val="auto"/>
        </w:rPr>
        <w:t>Sotera Health Company; Sotera Health Holdings, LLC; Sotera Health LLC; Sotera Health Topco Parent, LP; and Sotera Health GP, LLC;</w:t>
      </w:r>
    </w:p>
    <w:p>
      <w:pPr>
        <w:spacing w:after="0" w:line="202" w:lineRule="exact"/>
        <w:rPr>
          <w:rFonts w:ascii="Arial" w:cs="Arial" w:eastAsia="Arial" w:hAnsi="Arial"/>
          <w:sz w:val="18"/>
          <w:szCs w:val="18"/>
          <w:color w:val="auto"/>
        </w:rPr>
      </w:pPr>
    </w:p>
    <w:p>
      <w:pPr>
        <w:ind w:left="1740" w:hanging="502"/>
        <w:spacing w:after="0"/>
        <w:tabs>
          <w:tab w:leader="none" w:pos="1740" w:val="left"/>
        </w:tabs>
        <w:numPr>
          <w:ilvl w:val="3"/>
          <w:numId w:val="99"/>
        </w:numPr>
        <w:rPr>
          <w:rFonts w:ascii="Arial" w:cs="Arial" w:eastAsia="Arial" w:hAnsi="Arial"/>
          <w:sz w:val="18"/>
          <w:szCs w:val="18"/>
          <w:color w:val="auto"/>
        </w:rPr>
      </w:pPr>
      <w:r>
        <w:rPr>
          <w:rFonts w:ascii="Arial" w:cs="Arial" w:eastAsia="Arial" w:hAnsi="Arial"/>
          <w:sz w:val="18"/>
          <w:szCs w:val="18"/>
          <w:color w:val="auto"/>
        </w:rPr>
        <w:t>Sterigenics U.S., LLC;</w:t>
      </w:r>
    </w:p>
    <w:p>
      <w:pPr>
        <w:spacing w:after="0" w:line="211" w:lineRule="exact"/>
        <w:rPr>
          <w:rFonts w:ascii="Arial" w:cs="Arial" w:eastAsia="Arial" w:hAnsi="Arial"/>
          <w:sz w:val="18"/>
          <w:szCs w:val="18"/>
          <w:color w:val="auto"/>
        </w:rPr>
      </w:pPr>
    </w:p>
    <w:p>
      <w:pPr>
        <w:ind w:left="1740" w:right="60" w:hanging="563"/>
        <w:spacing w:after="0" w:line="245" w:lineRule="auto"/>
        <w:tabs>
          <w:tab w:leader="none" w:pos="1727" w:val="left"/>
        </w:tabs>
        <w:numPr>
          <w:ilvl w:val="2"/>
          <w:numId w:val="99"/>
        </w:numPr>
        <w:rPr>
          <w:rFonts w:ascii="Arial" w:cs="Arial" w:eastAsia="Arial" w:hAnsi="Arial"/>
          <w:sz w:val="16"/>
          <w:szCs w:val="16"/>
          <w:color w:val="auto"/>
        </w:rPr>
      </w:pPr>
      <w:r>
        <w:rPr>
          <w:rFonts w:ascii="Arial" w:cs="Arial" w:eastAsia="Arial" w:hAnsi="Arial"/>
          <w:sz w:val="16"/>
          <w:szCs w:val="16"/>
          <w:color w:val="auto"/>
        </w:rPr>
        <w:t>Warburg Pincus LLC and all funds, general partners and management companies associated with or managed by Warburg Pincus LLC or its affiliates, including without limitation Warburg Pincus Private Equity XI, LP; Warburg Pincus Private Equity XI-B, LP; Warburg Pincus Private Equity XI- C, LP; Warburg Pincus XI Partners, LP; WP XI Partners, LP; Warburg Pincus XI, LP; WP 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members, officers, directors, partners, and limited partners;</w:t>
      </w:r>
    </w:p>
    <w:p>
      <w:pPr>
        <w:spacing w:after="0" w:line="198" w:lineRule="exact"/>
        <w:rPr>
          <w:sz w:val="20"/>
          <w:szCs w:val="20"/>
          <w:color w:val="auto"/>
        </w:rPr>
      </w:pPr>
    </w:p>
    <w:p>
      <w:pPr>
        <w:ind w:left="1740" w:right="520" w:hanging="551"/>
        <w:spacing w:after="0" w:line="229" w:lineRule="auto"/>
        <w:tabs>
          <w:tab w:leader="none" w:pos="171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GTCR LLC; GTCR L.L.C.; and GTCR Golder Rauner II, L.L.C.; all funds associated with GTCR LLC, GTCR L.L.C., and GTCR Golder Rauner II, L.L.C., including without limitation GTCR Fund IX/A, L.P.; GTCR Fund IX/B, L.P.; GTCR Co-Invest III, L.P.; GTCR Fund XI/A LP; GTCR Fund XI/CLP; GTCR Partners XI/A&amp;C LP; GTCR Co-Invest XI LP; GTCR Investment XI LLC; GTCR Fund XI/A VCOC; GTCR Fund XI/C VCOC; and the respective affiliates, managers, limited partners, and members of (i) GTCR LLC, GTCR L.L.C., and GTCR Golder Rauner II, L.L.C.; and (ii) the funds associated with GTCR LLC, GTCR L.L.C., and GTCR Golder Rauner II, LLC;</w:t>
      </w:r>
    </w:p>
    <w:p>
      <w:pPr>
        <w:spacing w:after="0" w:line="203" w:lineRule="exact"/>
        <w:rPr>
          <w:rFonts w:ascii="Arial" w:cs="Arial" w:eastAsia="Arial" w:hAnsi="Arial"/>
          <w:sz w:val="17"/>
          <w:szCs w:val="17"/>
          <w:color w:val="auto"/>
        </w:rPr>
      </w:pPr>
    </w:p>
    <w:p>
      <w:pPr>
        <w:ind w:left="1740" w:right="160" w:hanging="490"/>
        <w:spacing w:after="0" w:line="246" w:lineRule="auto"/>
        <w:tabs>
          <w:tab w:leader="none" w:pos="172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of the foregoing entities’ affiliates, predecessors, successors, direct or indirect parents, direct or indirect subsidiaries, assigns, as well as any current, former, direct or indirect</w:t>
      </w:r>
    </w:p>
    <w:p>
      <w:pPr>
        <w:sectPr>
          <w:pgSz w:w="11900" w:h="16838" w:orient="portrait"/>
          <w:cols w:equalWidth="0" w:num="1">
            <w:col w:w="11120"/>
          </w:cols>
          <w:pgMar w:left="320" w:top="1012" w:right="459" w:bottom="1440" w:gutter="0" w:footer="0" w:header="0"/>
        </w:sectPr>
      </w:pPr>
    </w:p>
    <w:bookmarkStart w:id="80" w:name="page81"/>
    <w:bookmarkEnd w:id="80"/>
    <w:p>
      <w:pPr>
        <w:ind w:left="1620"/>
        <w:spacing w:after="0"/>
        <w:rPr>
          <w:sz w:val="20"/>
          <w:szCs w:val="20"/>
          <w:color w:val="auto"/>
        </w:rPr>
      </w:pPr>
      <w:r>
        <w:rPr>
          <w:rFonts w:ascii="Arial" w:cs="Arial" w:eastAsia="Arial" w:hAnsi="Arial"/>
          <w:sz w:val="16"/>
          <w:szCs w:val="16"/>
          <w:color w:val="auto"/>
        </w:rPr>
        <w:t>partners, managers, members, shareholders, employees, directors, officers, management companies, incorporators, investors,</w:t>
      </w:r>
    </w:p>
    <w:p>
      <w:pPr>
        <w:spacing w:after="0" w:line="21" w:lineRule="exact"/>
        <w:rPr>
          <w:sz w:val="20"/>
          <w:szCs w:val="20"/>
          <w:color w:val="auto"/>
        </w:rPr>
      </w:pPr>
    </w:p>
    <w:p>
      <w:pPr>
        <w:ind w:left="1620" w:right="940"/>
        <w:spacing w:after="0" w:line="226" w:lineRule="auto"/>
        <w:rPr>
          <w:sz w:val="20"/>
          <w:szCs w:val="20"/>
          <w:color w:val="auto"/>
        </w:rPr>
      </w:pPr>
      <w:r>
        <w:rPr>
          <w:rFonts w:ascii="Arial" w:cs="Arial" w:eastAsia="Arial" w:hAnsi="Arial"/>
          <w:sz w:val="18"/>
          <w:szCs w:val="18"/>
          <w:color w:val="auto"/>
        </w:rPr>
        <w:t>landlords, tenants, suppliers, service providers, customers, consultants, attorneys, agents, declarants, affiants, or other representatives, including (without limitation)*****; and</w:t>
      </w:r>
    </w:p>
    <w:p>
      <w:pPr>
        <w:spacing w:after="0" w:line="26" w:lineRule="exact"/>
        <w:rPr>
          <w:sz w:val="20"/>
          <w:szCs w:val="20"/>
          <w:color w:val="auto"/>
        </w:rPr>
      </w:pPr>
    </w:p>
    <w:p>
      <w:pPr>
        <w:ind w:left="1620" w:right="700" w:hanging="551"/>
        <w:spacing w:after="0" w:line="246" w:lineRule="auto"/>
        <w:tabs>
          <w:tab w:leader="none" w:pos="160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Released Parties’ insurers, including (without limitation) Steadfast Insurance Company/Zurich Insurance Group and National Union/AIG.</w:t>
      </w:r>
    </w:p>
    <w:p>
      <w:pPr>
        <w:spacing w:after="0" w:line="196" w:lineRule="exact"/>
        <w:rPr>
          <w:rFonts w:ascii="Arial" w:cs="Arial" w:eastAsia="Arial" w:hAnsi="Arial"/>
          <w:sz w:val="18"/>
          <w:szCs w:val="18"/>
          <w:color w:val="auto"/>
        </w:rPr>
      </w:pPr>
    </w:p>
    <w:p>
      <w:pPr>
        <w:ind w:left="1280" w:hanging="636"/>
        <w:spacing w:after="0"/>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Released Parties are intended third-party beneficiaries of this Release Agreement.</w:t>
      </w:r>
    </w:p>
    <w:p>
      <w:pPr>
        <w:spacing w:after="0" w:line="208" w:lineRule="exact"/>
        <w:rPr>
          <w:sz w:val="20"/>
          <w:szCs w:val="20"/>
          <w:color w:val="auto"/>
        </w:rPr>
      </w:pPr>
    </w:p>
    <w:p>
      <w:pPr>
        <w:ind w:left="1180" w:hanging="536"/>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Covered Claims. </w:t>
      </w:r>
      <w:r>
        <w:rPr>
          <w:rFonts w:ascii="Arial" w:cs="Arial" w:eastAsia="Arial" w:hAnsi="Arial"/>
          <w:sz w:val="18"/>
          <w:szCs w:val="18"/>
          <w:color w:val="auto"/>
        </w:rPr>
        <w:t>“Covered Claims” means the following categories of claims:</w:t>
      </w:r>
    </w:p>
    <w:p>
      <w:pPr>
        <w:spacing w:after="0" w:line="229" w:lineRule="exact"/>
        <w:rPr>
          <w:sz w:val="20"/>
          <w:szCs w:val="20"/>
          <w:color w:val="auto"/>
        </w:rPr>
      </w:pPr>
    </w:p>
    <w:p>
      <w:pPr>
        <w:jc w:val="both"/>
        <w:ind w:left="1300" w:hanging="656"/>
        <w:spacing w:after="0" w:line="243" w:lineRule="auto"/>
        <w:tabs>
          <w:tab w:leader="none" w:pos="129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lawsuits, disputes, and/or claims, whether filed or unfiled, that have been, or may in the future be, asserted against the Settling Defendants or any other Released Parties regarding injuries arising from, relating to, or in connection with the alleged use or emissions of ethylene oxide from Sterigenics U.S., LLC’s or any other Released Party’s operations in or around Willowbrook, Illinois (“</w:t>
      </w:r>
      <w:r>
        <w:rPr>
          <w:rFonts w:ascii="Arial" w:cs="Arial" w:eastAsia="Arial" w:hAnsi="Arial"/>
          <w:sz w:val="16"/>
          <w:szCs w:val="16"/>
          <w:u w:val="single" w:color="auto"/>
          <w:color w:val="auto"/>
        </w:rPr>
        <w:t>Willowbrook Claims</w:t>
      </w:r>
      <w:r>
        <w:rPr>
          <w:rFonts w:ascii="Arial" w:cs="Arial" w:eastAsia="Arial" w:hAnsi="Arial"/>
          <w:sz w:val="16"/>
          <w:szCs w:val="16"/>
          <w:color w:val="auto"/>
        </w:rPr>
        <w:t>”). For the avoidance of doubt, Willowbrook Claims include (without limitation) injuries—arising from, relating to, or in connection with the alleged use or emissions of ethylene oxide from Sterigenics U.S., LLC’s Willowbrook facility— that may develop in the future, whether the alleged injury relates to an entirely new diagnosis or a recurrence of an earlier medical diagnosis. Willowbrook Claims do not include claims regarding injuries that are unrelated or not alleged to be related to ethylene oxide exposure in or around Willowbrook, Illinois (e.g., a claim arising from a vehicle accident between a Released Party and an employee driving a vehicle belonging to a Settling Defendant). The Willowbrook Claims include (without limitation):</w:t>
      </w:r>
    </w:p>
    <w:p>
      <w:pPr>
        <w:spacing w:after="0" w:line="199" w:lineRule="exact"/>
        <w:rPr>
          <w:rFonts w:ascii="Arial" w:cs="Arial" w:eastAsia="Arial" w:hAnsi="Arial"/>
          <w:sz w:val="16"/>
          <w:szCs w:val="16"/>
          <w:color w:val="auto"/>
        </w:rPr>
      </w:pPr>
    </w:p>
    <w:p>
      <w:pPr>
        <w:ind w:left="1600" w:hanging="484"/>
        <w:spacing w:after="0"/>
        <w:tabs>
          <w:tab w:leader="none" w:pos="16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 xml:space="preserve">The judgment in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w:t>
      </w:r>
    </w:p>
    <w:p>
      <w:pPr>
        <w:spacing w:after="0" w:line="225" w:lineRule="exact"/>
        <w:rPr>
          <w:rFonts w:ascii="Arial" w:cs="Arial" w:eastAsia="Arial" w:hAnsi="Arial"/>
          <w:sz w:val="18"/>
          <w:szCs w:val="18"/>
          <w:color w:val="auto"/>
        </w:rPr>
      </w:pPr>
    </w:p>
    <w:p>
      <w:pPr>
        <w:ind w:left="1620" w:right="140" w:hanging="504"/>
        <w:spacing w:after="0" w:line="224" w:lineRule="auto"/>
        <w:tabs>
          <w:tab w:leader="none" w:pos="1617"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All claims against Sterigenics U.S., LLC as successor to Sterigenics EO, Inc., IBA S&amp;I, Inc., Griffith Micro Science, Inc., Micro-Biotrol, Inc., and Micro- Biotrol Company related to the operations of any of those companies in or around Willowbrook, Illinois; and</w:t>
      </w:r>
    </w:p>
    <w:p>
      <w:pPr>
        <w:spacing w:after="0" w:line="203" w:lineRule="exact"/>
        <w:rPr>
          <w:rFonts w:ascii="Arial" w:cs="Arial" w:eastAsia="Arial" w:hAnsi="Arial"/>
          <w:sz w:val="18"/>
          <w:szCs w:val="18"/>
          <w:color w:val="auto"/>
        </w:rPr>
      </w:pPr>
    </w:p>
    <w:p>
      <w:pPr>
        <w:ind w:left="1620" w:right="160" w:hanging="564"/>
        <w:spacing w:after="0" w:line="307" w:lineRule="auto"/>
        <w:tabs>
          <w:tab w:leader="none" w:pos="160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The following cases in the Circuit Court of Cook County, Illinois: </w:t>
      </w:r>
      <w:r>
        <w:rPr>
          <w:rFonts w:ascii="Arial" w:cs="Arial" w:eastAsia="Arial" w:hAnsi="Arial"/>
          <w:sz w:val="16"/>
          <w:szCs w:val="16"/>
          <w:i w:val="1"/>
          <w:iCs w:val="1"/>
          <w:color w:val="auto"/>
        </w:rPr>
        <w:t>Kamuda v. Sterigenics U.S., LLC</w:t>
      </w:r>
      <w:r>
        <w:rPr>
          <w:rFonts w:ascii="Arial" w:cs="Arial" w:eastAsia="Arial" w:hAnsi="Arial"/>
          <w:sz w:val="16"/>
          <w:szCs w:val="16"/>
          <w:color w:val="auto"/>
        </w:rPr>
        <w:t xml:space="preserve">, Case No. 2018-L-010475; </w:t>
      </w:r>
      <w:r>
        <w:rPr>
          <w:rFonts w:ascii="Arial" w:cs="Arial" w:eastAsia="Arial" w:hAnsi="Arial"/>
          <w:sz w:val="16"/>
          <w:szCs w:val="16"/>
          <w:i w:val="1"/>
          <w:iCs w:val="1"/>
          <w:color w:val="auto"/>
        </w:rPr>
        <w:t>Fornek v. Sterigenics U.S., LLC</w:t>
      </w:r>
      <w:r>
        <w:rPr>
          <w:rFonts w:ascii="Arial" w:cs="Arial" w:eastAsia="Arial" w:hAnsi="Arial"/>
          <w:sz w:val="16"/>
          <w:szCs w:val="16"/>
          <w:color w:val="auto"/>
        </w:rPr>
        <w:t>, Case No. 2018-L-010744; and</w:t>
      </w:r>
      <w:r>
        <w:rPr>
          <w:rFonts w:ascii="Arial" w:cs="Arial" w:eastAsia="Arial" w:hAnsi="Arial"/>
          <w:sz w:val="16"/>
          <w:szCs w:val="16"/>
          <w:i w:val="1"/>
          <w:iCs w:val="1"/>
          <w:color w:val="auto"/>
        </w:rPr>
        <w:t xml:space="preserve"> Schumacher v. Sterigenics U.S., LLC</w:t>
      </w:r>
      <w:r>
        <w:rPr>
          <w:rFonts w:ascii="Arial" w:cs="Arial" w:eastAsia="Arial" w:hAnsi="Arial"/>
          <w:sz w:val="16"/>
          <w:szCs w:val="16"/>
          <w:color w:val="auto"/>
        </w:rPr>
        <w:t>, Case No. 2018-L-011939.</w:t>
      </w:r>
    </w:p>
    <w:p>
      <w:pPr>
        <w:spacing w:after="0" w:line="136" w:lineRule="exact"/>
        <w:rPr>
          <w:rFonts w:ascii="Arial" w:cs="Arial" w:eastAsia="Arial" w:hAnsi="Arial"/>
          <w:sz w:val="16"/>
          <w:szCs w:val="16"/>
          <w:color w:val="auto"/>
        </w:rPr>
      </w:pPr>
    </w:p>
    <w:p>
      <w:pPr>
        <w:jc w:val="both"/>
        <w:ind w:left="1300" w:hanging="656"/>
        <w:spacing w:after="0" w:line="229" w:lineRule="auto"/>
        <w:tabs>
          <w:tab w:leader="none" w:pos="129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Actions, citations, or potential actions or citations to enforce or collect on a judgment or verdict obtained in any case involving Willowbrook Claims, including but not limited to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 pending in the Circuit Court of Cook County, Illinois (Hon. Patrick Heneghan); and</w:t>
      </w:r>
    </w:p>
    <w:p>
      <w:pPr>
        <w:spacing w:after="0" w:line="204" w:lineRule="exact"/>
        <w:rPr>
          <w:rFonts w:ascii="Arial" w:cs="Arial" w:eastAsia="Arial" w:hAnsi="Arial"/>
          <w:sz w:val="18"/>
          <w:szCs w:val="18"/>
          <w:color w:val="auto"/>
        </w:rPr>
      </w:pPr>
    </w:p>
    <w:p>
      <w:pPr>
        <w:jc w:val="both"/>
        <w:ind w:left="1300" w:hanging="656"/>
        <w:spacing w:after="0" w:line="223" w:lineRule="auto"/>
        <w:tabs>
          <w:tab w:leader="none" w:pos="129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Bachoe v. Sotera Health Co.</w:t>
      </w:r>
      <w:r>
        <w:rPr>
          <w:rFonts w:ascii="Arial" w:cs="Arial" w:eastAsia="Arial" w:hAnsi="Arial"/>
          <w:sz w:val="18"/>
          <w:szCs w:val="18"/>
          <w:color w:val="auto"/>
        </w:rPr>
        <w:t xml:space="preserve"> action filed on November 1, 2022 in the Circuit Court of Cook County, Illinois (Case No. 2022-L-009825), the </w:t>
      </w:r>
      <w:r>
        <w:rPr>
          <w:rFonts w:ascii="Arial" w:cs="Arial" w:eastAsia="Arial" w:hAnsi="Arial"/>
          <w:sz w:val="18"/>
          <w:szCs w:val="18"/>
          <w:i w:val="1"/>
          <w:iCs w:val="1"/>
          <w:color w:val="auto"/>
        </w:rPr>
        <w:t>Bachoe v. Sotera Health Co.</w:t>
      </w:r>
      <w:r>
        <w:rPr>
          <w:rFonts w:ascii="Arial" w:cs="Arial" w:eastAsia="Arial" w:hAnsi="Arial"/>
          <w:sz w:val="18"/>
          <w:szCs w:val="18"/>
          <w:color w:val="auto"/>
        </w:rPr>
        <w:t xml:space="preserve"> action now pending in the U.S. District Court for the Northern District of Illinois (Case No. 22-cv-06292), and any other actual or potential actions seeking to challenge any transfer of assets to or from Sterigenics U.S., LLC, Sotera Health LLC, or any other Released Party to any other entity or person.</w:t>
      </w:r>
    </w:p>
    <w:p>
      <w:pPr>
        <w:spacing w:after="0" w:line="199" w:lineRule="exact"/>
        <w:rPr>
          <w:sz w:val="20"/>
          <w:szCs w:val="20"/>
          <w:color w:val="auto"/>
        </w:rPr>
      </w:pPr>
    </w:p>
    <w:p>
      <w:pPr>
        <w:jc w:val="both"/>
        <w:ind w:firstLine="644"/>
        <w:spacing w:after="0" w:line="220" w:lineRule="auto"/>
        <w:tabs>
          <w:tab w:leader="none" w:pos="1188"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terms of this Release Agreement immediately become binding upon the Releasor’s execution hereof (such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and without any further action required;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Covered Claims, as described in Paragraphs 6 and 7, will not become effective unless and until the Settlement Funding Date occurs (as defined in the Settlement Agreement). If the Settling Defendants opt to terminate the Settlement Agreement, this Release Agreement will be null and void </w:t>
      </w:r>
      <w:r>
        <w:rPr>
          <w:rFonts w:ascii="Arial" w:cs="Arial" w:eastAsia="Arial" w:hAnsi="Arial"/>
          <w:sz w:val="18"/>
          <w:szCs w:val="18"/>
          <w:i w:val="1"/>
          <w:iCs w:val="1"/>
          <w:color w:val="auto"/>
        </w:rPr>
        <w:t>nunc pro tunc</w:t>
      </w:r>
      <w:r>
        <w:rPr>
          <w:rFonts w:ascii="Arial" w:cs="Arial" w:eastAsia="Arial" w:hAnsi="Arial"/>
          <w:sz w:val="18"/>
          <w:szCs w:val="18"/>
          <w:color w:val="auto"/>
        </w:rPr>
        <w:t xml:space="preserve"> and returned to Releasor’s Counsel.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5" w:lineRule="exact"/>
        <w:rPr>
          <w:sz w:val="20"/>
          <w:szCs w:val="20"/>
          <w:color w:val="auto"/>
        </w:rPr>
      </w:pPr>
    </w:p>
    <w:p>
      <w:pPr>
        <w:jc w:val="both"/>
        <w:ind w:firstLine="644"/>
        <w:spacing w:after="0" w:line="233" w:lineRule="auto"/>
        <w:tabs>
          <w:tab w:leader="none" w:pos="1188"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Complete and Final Release. </w:t>
      </w:r>
      <w:r>
        <w:rPr>
          <w:rFonts w:ascii="Arial" w:cs="Arial" w:eastAsia="Arial" w:hAnsi="Arial"/>
          <w:sz w:val="17"/>
          <w:szCs w:val="17"/>
          <w:color w:val="auto"/>
        </w:rPr>
        <w:t>As of the Effective Date, in return for the Settlement Amount, the sufficiency of which is acknowledged,</w:t>
      </w:r>
      <w:r>
        <w:rPr>
          <w:rFonts w:ascii="Arial" w:cs="Arial" w:eastAsia="Arial" w:hAnsi="Arial"/>
          <w:sz w:val="17"/>
          <w:szCs w:val="17"/>
          <w:b w:val="1"/>
          <w:bCs w:val="1"/>
          <w:color w:val="auto"/>
        </w:rPr>
        <w:t xml:space="preserve"> </w:t>
      </w:r>
      <w:r>
        <w:rPr>
          <w:rFonts w:ascii="Arial" w:cs="Arial" w:eastAsia="Arial" w:hAnsi="Arial"/>
          <w:sz w:val="17"/>
          <w:szCs w:val="17"/>
          <w:color w:val="auto"/>
        </w:rPr>
        <w:t>Releasor hereby releases, settles, cancels, discharges, and acknowledges to be fully satisfied any and all claims, demands, rights, actions, suits, damages, and causes of action of whatever kind, nature, or description whatsoever, in law or in equity, whether known or unknown, suspected or unsuspected, which Releasor may now or may hereafter have or assert against Released Parties arising from, relating to, or in connection with the Covered Claims, or based on any of the conduct alleged in the litigation relating to any Covered Claims.</w:t>
      </w:r>
    </w:p>
    <w:p>
      <w:pPr>
        <w:spacing w:after="0" w:line="203" w:lineRule="exact"/>
        <w:rPr>
          <w:sz w:val="20"/>
          <w:szCs w:val="20"/>
          <w:color w:val="auto"/>
        </w:rPr>
      </w:pPr>
    </w:p>
    <w:p>
      <w:pPr>
        <w:jc w:val="both"/>
        <w:ind w:left="1300" w:hanging="656"/>
        <w:spacing w:after="0" w:line="219" w:lineRule="auto"/>
        <w:tabs>
          <w:tab w:leader="none" w:pos="12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limiting the foregoing, this Release Agreement includes any and all claims which Releasor may now or may hereafter have or assert against Released Parties for alleged injuries, losses, and damages, including pain and suffering, wrongful death, punitive damages, survivorship, personal injuries, and related damages, and loss of services, consortium, companionship, and all other intangible losses, whether based in tort, intentional tort, contract, statute, or other theory of recovery, attorneys’ fees and costs, mental or emotional distress, or for</w:t>
      </w:r>
    </w:p>
    <w:p>
      <w:pPr>
        <w:sectPr>
          <w:pgSz w:w="11900" w:h="16838" w:orient="portrait"/>
          <w:cols w:equalWidth="0" w:num="1">
            <w:col w:w="11000"/>
          </w:cols>
          <w:pgMar w:left="440" w:top="935" w:right="459" w:bottom="1440" w:gutter="0" w:footer="0" w:header="0"/>
        </w:sectPr>
      </w:pPr>
    </w:p>
    <w:bookmarkStart w:id="81" w:name="page82"/>
    <w:bookmarkEnd w:id="81"/>
    <w:p>
      <w:pPr>
        <w:ind w:left="656"/>
        <w:spacing w:after="0"/>
        <w:rPr>
          <w:sz w:val="20"/>
          <w:szCs w:val="20"/>
          <w:color w:val="auto"/>
        </w:rPr>
      </w:pPr>
      <w:r>
        <w:rPr>
          <w:rFonts w:ascii="Arial" w:cs="Arial" w:eastAsia="Arial" w:hAnsi="Arial"/>
          <w:sz w:val="16"/>
          <w:szCs w:val="16"/>
          <w:color w:val="auto"/>
        </w:rPr>
        <w:t>hospital, medical, nursing, or other healthcare expenses, lost wages, or any other losses or expenses, whether known or unknown,</w:t>
      </w:r>
    </w:p>
    <w:p>
      <w:pPr>
        <w:spacing w:after="0" w:line="21" w:lineRule="exact"/>
        <w:rPr>
          <w:sz w:val="20"/>
          <w:szCs w:val="20"/>
          <w:color w:val="auto"/>
        </w:rPr>
      </w:pPr>
    </w:p>
    <w:p>
      <w:pPr>
        <w:ind w:left="656"/>
        <w:spacing w:after="0" w:line="226" w:lineRule="auto"/>
        <w:rPr>
          <w:sz w:val="20"/>
          <w:szCs w:val="20"/>
          <w:color w:val="auto"/>
        </w:rPr>
      </w:pPr>
      <w:r>
        <w:rPr>
          <w:rFonts w:ascii="Arial" w:cs="Arial" w:eastAsia="Arial" w:hAnsi="Arial"/>
          <w:sz w:val="18"/>
          <w:szCs w:val="18"/>
          <w:color w:val="auto"/>
        </w:rPr>
        <w:t>whether already in existence or to arise in the future, anticipated or not, arising from, relating to, or in connection with the Covered Claims, or based on any of the conduct alleged in the litigation relating to any Covered Claims.</w:t>
      </w:r>
    </w:p>
    <w:p>
      <w:pPr>
        <w:spacing w:after="0" w:line="202" w:lineRule="exact"/>
        <w:rPr>
          <w:sz w:val="20"/>
          <w:szCs w:val="20"/>
          <w:color w:val="auto"/>
        </w:rPr>
      </w:pPr>
    </w:p>
    <w:p>
      <w:pPr>
        <w:jc w:val="both"/>
        <w:ind w:left="656" w:hanging="656"/>
        <w:spacing w:after="0" w:line="229" w:lineRule="auto"/>
        <w:tabs>
          <w:tab w:leader="none" w:pos="6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Without limiting the foregoing, this Release Agreement includes any and all claims which Releasor’s spouse (including but not limited to putative or common law spouse or domestic partner), if any, may now or may hereafter have or assert against Released Parties for alleged injuries, losses and damages, including pain and suffering, wrongful death, punitive damages, attorneys’ fees and costs, loss of services, loss of companionship and/or consortium, society or support, mental or emotional distress, or for hospital, medical, or nursing or other healthcare expenses, lost wages, or any other losses and expenses, whether known or unknown, whether already in existence or to arise in the future, arising from, relating to, or in connection with the Covered Claims, or based on any of the conduct alleged in the litigation relating to any Covered Claims.</w:t>
      </w:r>
    </w:p>
    <w:p>
      <w:pPr>
        <w:spacing w:after="0" w:line="206" w:lineRule="exact"/>
        <w:rPr>
          <w:rFonts w:ascii="Arial" w:cs="Arial" w:eastAsia="Arial" w:hAnsi="Arial"/>
          <w:sz w:val="17"/>
          <w:szCs w:val="17"/>
          <w:color w:val="auto"/>
        </w:rPr>
      </w:pPr>
    </w:p>
    <w:p>
      <w:pPr>
        <w:jc w:val="both"/>
        <w:ind w:left="656" w:hanging="656"/>
        <w:spacing w:after="0" w:line="254" w:lineRule="auto"/>
        <w:tabs>
          <w:tab w:leader="none" w:pos="6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Without limiting the foregoing, this Release Agreement includes any and all claims against Released Parties for pecuniary loss, injury, or damage which might accrue to Releasor, his or her estate, and others by virtue of Releasor’s death, whether such claims are pursued directly or indirectly or by some person or persons in a representative capacity, if such claims arise from, relate to, or are in connection with the Covered Claims or based on any of the conduct alleged in the litigation relating to any Covered Claims.</w:t>
      </w:r>
    </w:p>
    <w:p>
      <w:pPr>
        <w:spacing w:after="0" w:line="193" w:lineRule="exact"/>
        <w:rPr>
          <w:rFonts w:ascii="Arial" w:cs="Arial" w:eastAsia="Arial" w:hAnsi="Arial"/>
          <w:sz w:val="16"/>
          <w:szCs w:val="16"/>
          <w:color w:val="auto"/>
        </w:rPr>
      </w:pPr>
    </w:p>
    <w:p>
      <w:pPr>
        <w:jc w:val="both"/>
        <w:ind w:left="656" w:hanging="656"/>
        <w:spacing w:after="0" w:line="228" w:lineRule="auto"/>
        <w:tabs>
          <w:tab w:leader="none" w:pos="6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Without limiting the foregoing, Releasor hereby agrees and covenants that Releasor will never: (i) take any legal or other action to initiate, pursue or maintain, or otherwise attempt to execute upon, collect, or otherwise enforce, any claim against any of the Released Parties constituting, arising from, relating to, or in connection with the Covered Claims, (ii) institute any new legal action against any Released Party relating to any injury Releasor has ever claimed, or may at any time hereafter claim, was caused in whole or in part by any Released Party arising from, relating to, or in connection with the Covered Claims, or based on any of the conduct alleged in the litigation relating to any Covered Claims, whether in the past or in the future, and/or (iii) attempt to execute or collect on, or otherwise enforce, any judgment that has been or may be entered against any Released Party in any legal action described in clause (ii), or (iv) maintain Releasor’s pending legal action(s) against any Released Party.</w:t>
      </w:r>
    </w:p>
    <w:p>
      <w:pPr>
        <w:spacing w:after="0" w:line="201" w:lineRule="exact"/>
        <w:rPr>
          <w:rFonts w:ascii="Arial" w:cs="Arial" w:eastAsia="Arial" w:hAnsi="Arial"/>
          <w:sz w:val="17"/>
          <w:szCs w:val="17"/>
          <w:color w:val="auto"/>
        </w:rPr>
      </w:pPr>
    </w:p>
    <w:p>
      <w:pPr>
        <w:jc w:val="both"/>
        <w:ind w:left="656" w:hanging="656"/>
        <w:spacing w:after="0" w:line="230" w:lineRule="auto"/>
        <w:tabs>
          <w:tab w:leader="none" w:pos="65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Without limiting the foregoing, Releasor acknowledges that the Settlement Amount shall constitute the full compensation which will ever be paid to Releasor by or on behalf of the Released Parties by reason of the claims which have been or which may ever be made against Released Parties arising out of or by reason of or in any manner connected with Releasor’s injuries arising from, relating to, or in connection with the Covered Claims, or based on any of the conduct alleged in the litigation relating to any Covered Claims; that neither Sterigenics U.S., LLC nor any Released Party shall have any responsibility whatsoever for the payment of Releasor’s attorneys’ fees or costs, or for the payment of any taxes owed by Releasor, or for satisfaction of liens associated with the allocation of settlement funds; that this Release Agreement is final and binding upon Releasor; and that no Covered Claim, derivative or otherwise, may ever be brought against Released Parties.</w:t>
      </w:r>
    </w:p>
    <w:p>
      <w:pPr>
        <w:spacing w:after="0" w:line="202" w:lineRule="exact"/>
        <w:rPr>
          <w:rFonts w:ascii="Arial" w:cs="Arial" w:eastAsia="Arial" w:hAnsi="Arial"/>
          <w:sz w:val="17"/>
          <w:szCs w:val="17"/>
          <w:color w:val="auto"/>
        </w:rPr>
      </w:pPr>
    </w:p>
    <w:p>
      <w:pPr>
        <w:jc w:val="both"/>
        <w:ind w:left="656" w:hanging="656"/>
        <w:spacing w:after="0" w:line="219" w:lineRule="auto"/>
        <w:tabs>
          <w:tab w:leader="none" w:pos="6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Without limiting the foregoing, Releasor agrees to release any rights he or she may have regarding claims relating to or arising from any Covered Claim that Releasor does not know or suspect to exist at this time and that, if known by him or her, would materially affect his or her settlement with the Released Parties. Releasor expressly and knowingly waives any statutory or judicial provisions, rulings, or mandates to the contrary.</w:t>
      </w:r>
    </w:p>
    <w:p>
      <w:pPr>
        <w:spacing w:after="0" w:line="203" w:lineRule="exact"/>
        <w:rPr>
          <w:rFonts w:ascii="Arial" w:cs="Arial" w:eastAsia="Arial" w:hAnsi="Arial"/>
          <w:sz w:val="18"/>
          <w:szCs w:val="18"/>
          <w:color w:val="auto"/>
        </w:rPr>
      </w:pPr>
    </w:p>
    <w:p>
      <w:pPr>
        <w:jc w:val="both"/>
        <w:ind w:left="656" w:hanging="656"/>
        <w:spacing w:after="0" w:line="236" w:lineRule="auto"/>
        <w:tabs>
          <w:tab w:leader="none" w:pos="6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Without limiting the foregoing, Releasor agrees to release all claims, past, present, and future, alleged or that could have been alleged against insurers that have any of the Released Parties as a named insured, including but not limited to Steadfast Insurance Company/Zurich Insurance Group and National Union/AIG, relating to or arising from any Covered Claims. For the avoidance of doubt, Released Parties maintain, and do not release, any claims they may have against their insurers.</w:t>
      </w:r>
    </w:p>
    <w:p>
      <w:pPr>
        <w:spacing w:after="0" w:line="203" w:lineRule="exact"/>
        <w:rPr>
          <w:rFonts w:ascii="Arial" w:cs="Arial" w:eastAsia="Arial" w:hAnsi="Arial"/>
          <w:sz w:val="17"/>
          <w:szCs w:val="17"/>
          <w:color w:val="auto"/>
        </w:rPr>
      </w:pPr>
    </w:p>
    <w:p>
      <w:pPr>
        <w:jc w:val="both"/>
        <w:ind w:left="656" w:hanging="656"/>
        <w:spacing w:after="0" w:line="217"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Without limiting the foregoing, if Releasor settles with any third party against whom claims are not released through this Release Agreement (collectively, “</w:t>
      </w:r>
      <w:r>
        <w:rPr>
          <w:rFonts w:ascii="Arial" w:cs="Arial" w:eastAsia="Arial" w:hAnsi="Arial"/>
          <w:sz w:val="18"/>
          <w:szCs w:val="18"/>
          <w:u w:val="single" w:color="auto"/>
          <w:color w:val="auto"/>
        </w:rPr>
        <w:t>Non-Settling Third Parties</w:t>
      </w:r>
      <w:r>
        <w:rPr>
          <w:rFonts w:ascii="Arial" w:cs="Arial" w:eastAsia="Arial" w:hAnsi="Arial"/>
          <w:sz w:val="18"/>
          <w:szCs w:val="18"/>
          <w:color w:val="auto"/>
        </w:rPr>
        <w:t>”), Releasor will obtain a release from the Non-Settling Third Party for Released Parties for any claim for indemnity, contribution, or similar theory. If Releasor obtains a judgment against any Non-Settling Third Party, Releasor will not execute on any portion of that judgment that the Non-Settling Third Party successfully seeks from Released Parties via a claim for indemnity, contribution, or similar claim. Releasor agrees to indemnify, defend, and hold harmless Released Parties for any claims for indemnity or contribution brought by any Non-Settling Third Parties against Released Parties arising from or relating to the Covered Claims.</w:t>
      </w:r>
    </w:p>
    <w:p>
      <w:pPr>
        <w:sectPr>
          <w:pgSz w:w="11900" w:h="16838" w:orient="portrait"/>
          <w:cols w:equalWidth="0" w:num="1">
            <w:col w:w="10356"/>
          </w:cols>
          <w:pgMar w:left="1084" w:top="935" w:right="459" w:bottom="1440" w:gutter="0" w:footer="0" w:header="0"/>
        </w:sectPr>
      </w:pPr>
    </w:p>
    <w:bookmarkStart w:id="82" w:name="page83"/>
    <w:bookmarkEnd w:id="82"/>
    <w:p>
      <w:pPr>
        <w:jc w:val="both"/>
        <w:ind w:firstLine="644"/>
        <w:spacing w:after="0" w:line="245" w:lineRule="auto"/>
        <w:tabs>
          <w:tab w:leader="none" w:pos="1188"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Other Claims. </w:t>
      </w:r>
      <w:r>
        <w:rPr>
          <w:rFonts w:ascii="Arial" w:cs="Arial" w:eastAsia="Arial" w:hAnsi="Arial"/>
          <w:sz w:val="16"/>
          <w:szCs w:val="16"/>
          <w:color w:val="auto"/>
        </w:rPr>
        <w:t>Releasor understands and agrees that certain of Releasor’s relatives, dependents, or others might have potential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Released Parties for the alleged injuries of Releasor. Releasor understands and agrees that by executing this Release Agreement and receiving the Settlement Amount, Releasor has received fair, just, and adequate consideration for any claims for the alleged injuries of Releasor which may arise from, relate to, or are in connection with the Covered Claims, or based on any of the conduct alleged in the litigation relating to any Covered Claims. Releasor understands and agrees that by executing this Release Agreement, Releasor has forever released, discharged, and given up any and all claims that Releasor or others might have against Released Parties for the alleged injuries of Releasor arising from, relating to, or in connection with the Covered Claims, or based on any of the conduct alleged in the litigation relating to any Covered Claims.</w:t>
      </w:r>
    </w:p>
    <w:p>
      <w:pPr>
        <w:spacing w:after="0" w:line="201" w:lineRule="exact"/>
        <w:rPr>
          <w:sz w:val="20"/>
          <w:szCs w:val="20"/>
          <w:color w:val="auto"/>
        </w:rPr>
      </w:pPr>
    </w:p>
    <w:p>
      <w:pPr>
        <w:jc w:val="both"/>
        <w:ind w:left="1300" w:hanging="656"/>
        <w:spacing w:after="0" w:line="219" w:lineRule="auto"/>
        <w:tabs>
          <w:tab w:leader="none" w:pos="129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Releasor specifically agrees to indemnify, defend, and hold the Released Parties harmless from and against any claim arising from, relating to, or in connection with the Covered Claims that may be brought by any beneficiary or next of kin of Releasor. Releasor agrees that such indemnification includes the payment of all reasonable costs and expenses of investigation, defense, settlement, attorneys’ fees, judgments, court costs, and all other costs and expenses of defending any such claim or other claim for wrongful death.</w:t>
      </w:r>
    </w:p>
    <w:p>
      <w:pPr>
        <w:spacing w:after="0" w:line="203" w:lineRule="exact"/>
        <w:rPr>
          <w:rFonts w:ascii="Arial" w:cs="Arial" w:eastAsia="Arial" w:hAnsi="Arial"/>
          <w:sz w:val="18"/>
          <w:szCs w:val="18"/>
          <w:color w:val="auto"/>
        </w:rPr>
      </w:pPr>
    </w:p>
    <w:p>
      <w:pPr>
        <w:jc w:val="both"/>
        <w:ind w:left="1300" w:hanging="656"/>
        <w:spacing w:after="0" w:line="245" w:lineRule="auto"/>
        <w:tabs>
          <w:tab w:leader="none" w:pos="129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Releasor warrants and represents that, apart from any liens held by the Lien Holders as defined in Paragraph 9(a) below, no claims or portion of the claims which are the subject of this Release Agreement have been assigned or otherwise transferred to any person or legal entity which claims a right thereunder as against the Releasor and/or Released Parties. Releasor specifically warrants and represents that to the extent any bankruptcy action is pending, Releasor will take all necessary actions to notify the Bankruptcy Court of this settlement and will fulfill all obligations to the Bankruptcy Court. Releasor agrees to indemnify, defend, and hold harmless Released Parties from any loss, claim, expense, demand, or cause of action of any kind or character, including costs and attorneys’ fees, that result from the failure, if any, of Releasor to fulfill his or her obligations to any bankruptcy court. Upon request, Releasor further agrees that he or she will provide written confirmation that he or she fulfilled any bankruptcy court obligations.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RELEASOR ACKNOWLEDGMENTS</w:t>
      </w:r>
    </w:p>
    <w:p>
      <w:pPr>
        <w:spacing w:after="0" w:line="225" w:lineRule="exact"/>
        <w:rPr>
          <w:sz w:val="20"/>
          <w:szCs w:val="20"/>
          <w:color w:val="auto"/>
        </w:rPr>
      </w:pPr>
    </w:p>
    <w:p>
      <w:pPr>
        <w:ind w:left="1300" w:hanging="656"/>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Acknowledgements by Releasor</w:t>
      </w:r>
      <w:r>
        <w:rPr>
          <w:rFonts w:ascii="Arial" w:cs="Arial" w:eastAsia="Arial" w:hAnsi="Arial"/>
          <w:sz w:val="18"/>
          <w:szCs w:val="18"/>
          <w:color w:val="auto"/>
        </w:rPr>
        <w:t>.</w:t>
      </w:r>
    </w:p>
    <w:p>
      <w:pPr>
        <w:spacing w:after="0" w:line="216" w:lineRule="exact"/>
        <w:rPr>
          <w:sz w:val="20"/>
          <w:szCs w:val="20"/>
          <w:color w:val="auto"/>
        </w:rPr>
      </w:pPr>
    </w:p>
    <w:p>
      <w:pPr>
        <w:jc w:val="both"/>
        <w:ind w:left="1300" w:hanging="656"/>
        <w:spacing w:after="0" w:line="219" w:lineRule="auto"/>
        <w:tabs>
          <w:tab w:leader="none" w:pos="12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RELEASOR IS ENTERING INTO THIS RELEASE AGREEMENT FREELY AND VOLUNTARILY, WITHOUT BEING INDUCED, PRESSURED OR INFLUENCED BY, AND WITHOUT RELYING ON ANY REPRESENTATION OR OTHER STATEMENT MADE BY OR ON BEHALF OF ANY RELEASED PARTY OR ANY OTHER PERSON. RELEASOR UNDERSTANDS, ACKNOWLEDGES AND ACCEPTS THE NATURE, VALUE AND SUFFICIENCY OF THE CONSIDERATION DESCRIBED IN THIS RELEASE AGREEMENT.</w:t>
      </w:r>
    </w:p>
    <w:p>
      <w:pPr>
        <w:spacing w:after="0" w:line="203" w:lineRule="exact"/>
        <w:rPr>
          <w:rFonts w:ascii="Arial" w:cs="Arial" w:eastAsia="Arial" w:hAnsi="Arial"/>
          <w:sz w:val="18"/>
          <w:szCs w:val="18"/>
          <w:color w:val="auto"/>
        </w:rPr>
      </w:pPr>
    </w:p>
    <w:p>
      <w:pPr>
        <w:jc w:val="both"/>
        <w:ind w:left="1300" w:hanging="657"/>
        <w:spacing w:after="0" w:line="230" w:lineRule="auto"/>
        <w:tabs>
          <w:tab w:leader="none" w:pos="129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Releasor acknowledges that Releasor has been informed of the terms of Settlement Agreement and has read this Release Agreement, and Releasor has had an opportunity to obtain advice from, and ask questions of, a lawyer of Releasor’s choosing regarding the terms and legal effect of the Settlement Agreement, this Release Agreement and Releasor’s decision to accept the Settlement Amount. Releasor further acknowledges that Releasor has been informed that the effectiveness of this Release Agreement and payment to Releasor of Releasor’s settlement allocation are contingent on certain events and conditions outside of Releasor’s control, including, but not limited to, the decisions by other plaintiffs alleging Covered Claims to participate in a settlement with Released Parties. Releasor acknowledges that Releasor has been informed of all these matters by Releasor’s Counsel and such counsel has answered all of Releasor’s questions (if any) to Releasor’s satisfaction.</w:t>
      </w:r>
    </w:p>
    <w:p>
      <w:pPr>
        <w:spacing w:after="0" w:line="202" w:lineRule="exact"/>
        <w:rPr>
          <w:rFonts w:ascii="Arial" w:cs="Arial" w:eastAsia="Arial" w:hAnsi="Arial"/>
          <w:sz w:val="17"/>
          <w:szCs w:val="17"/>
          <w:color w:val="auto"/>
        </w:rPr>
      </w:pPr>
    </w:p>
    <w:p>
      <w:pPr>
        <w:ind w:left="1300" w:hanging="657"/>
        <w:spacing w:after="0" w:line="235" w:lineRule="auto"/>
        <w:tabs>
          <w:tab w:leader="none" w:pos="12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Releasor understands that Releasor has the right to make an informed decision regarding whether to sign this Release Agreement. Releasor acknowledges that Releasor understands this Release Agreement.</w:t>
      </w:r>
    </w:p>
    <w:p>
      <w:pPr>
        <w:spacing w:after="0" w:line="202" w:lineRule="exact"/>
        <w:rPr>
          <w:rFonts w:ascii="Arial" w:cs="Arial" w:eastAsia="Arial" w:hAnsi="Arial"/>
          <w:sz w:val="18"/>
          <w:szCs w:val="18"/>
          <w:color w:val="auto"/>
        </w:rPr>
      </w:pPr>
    </w:p>
    <w:p>
      <w:pPr>
        <w:jc w:val="both"/>
        <w:ind w:left="1300" w:hanging="657"/>
        <w:spacing w:after="0" w:line="232" w:lineRule="auto"/>
        <w:tabs>
          <w:tab w:leader="none" w:pos="129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Releasor further understands that any amounts paid to Releasor will be transmitted from the qualified settlement fund to Releasor’s Counsel, in trust for Releasor, to be disbursed to Releasor subject to: (a) any applicable lien holdbacks or payment obligations, including to Releasor’s counsel; (b) the payment of any court-ordered common cost assessments; and (c) the provisions of the Settlement Agreement and this Release Agreement. Released Parties take and bear no responsibility for the maintenance of funds in trust, or distribution or withholding of settlement funds from Releasor’s Counsel to Releasor.</w:t>
      </w:r>
    </w:p>
    <w:p>
      <w:pPr>
        <w:spacing w:after="0" w:line="202" w:lineRule="exact"/>
        <w:rPr>
          <w:rFonts w:ascii="Arial" w:cs="Arial" w:eastAsia="Arial" w:hAnsi="Arial"/>
          <w:sz w:val="17"/>
          <w:szCs w:val="17"/>
          <w:color w:val="auto"/>
        </w:rPr>
      </w:pPr>
    </w:p>
    <w:p>
      <w:pPr>
        <w:jc w:val="both"/>
        <w:ind w:left="1300" w:hanging="657"/>
        <w:spacing w:after="0" w:line="229" w:lineRule="auto"/>
        <w:tabs>
          <w:tab w:leader="none" w:pos="12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Releasor understands and acknowledges that Released Parties and their counsel have played no role in, and take and bear no responsibility for, the allocation of settlement amounts among settling plaintiffs or the allocation of settlement funds between settling plaintiffs and settling plaintiffs’ counsel.</w:t>
      </w:r>
    </w:p>
    <w:p>
      <w:pPr>
        <w:sectPr>
          <w:pgSz w:w="11900" w:h="16838" w:orient="portrait"/>
          <w:cols w:equalWidth="0" w:num="1">
            <w:col w:w="11000"/>
          </w:cols>
          <w:pgMar w:left="440" w:top="1188" w:right="459" w:bottom="1440" w:gutter="0" w:footer="0" w:header="0"/>
        </w:sectPr>
      </w:pPr>
    </w:p>
    <w:bookmarkStart w:id="83" w:name="page84"/>
    <w:bookmarkEnd w:id="83"/>
    <w:p>
      <w:pPr>
        <w:ind w:left="1420" w:hanging="657"/>
        <w:spacing w:after="0" w:line="235" w:lineRule="auto"/>
        <w:tabs>
          <w:tab w:leader="none" w:pos="14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Releasor acknowledges that Releasor’s Counsel have been available to assist Releasor in the informed consent process and to answer any questions that Releasor might have had about the Settlement Agreement or this Release Agreement.</w:t>
      </w:r>
    </w:p>
    <w:p>
      <w:pPr>
        <w:spacing w:after="0" w:line="202" w:lineRule="exact"/>
        <w:rPr>
          <w:rFonts w:ascii="Arial" w:cs="Arial" w:eastAsia="Arial" w:hAnsi="Arial"/>
          <w:sz w:val="18"/>
          <w:szCs w:val="18"/>
          <w:color w:val="auto"/>
        </w:rPr>
      </w:pPr>
    </w:p>
    <w:p>
      <w:pPr>
        <w:jc w:val="both"/>
        <w:ind w:left="1420" w:hanging="657"/>
        <w:spacing w:after="0" w:line="254" w:lineRule="auto"/>
        <w:tabs>
          <w:tab w:leader="none" w:pos="141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parties acknowledge and agree that the Settlement Amount is intended to constitute damages for personal physical injuries or physical sickness within the meaning of section 104 of the Internal Revenue Code of 1986, as amended, arising from the physical injuries alleged to have resulted from the Covered Claims, and no portion of the proceeds paid to Releasor from the Settlement Amount is intended to be for punitive or exemplary damages, nor prejudgment or post-judgment interest, nor non-physical injuries.</w:t>
      </w:r>
    </w:p>
    <w:p>
      <w:pPr>
        <w:spacing w:after="0" w:line="193" w:lineRule="exact"/>
        <w:rPr>
          <w:rFonts w:ascii="Arial" w:cs="Arial" w:eastAsia="Arial" w:hAnsi="Arial"/>
          <w:sz w:val="16"/>
          <w:szCs w:val="16"/>
          <w:color w:val="auto"/>
        </w:rPr>
      </w:pPr>
    </w:p>
    <w:p>
      <w:pPr>
        <w:jc w:val="both"/>
        <w:ind w:left="1420" w:hanging="656"/>
        <w:spacing w:after="0" w:line="254" w:lineRule="auto"/>
        <w:tabs>
          <w:tab w:leader="none" w:pos="141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Releasor understands and agrees that a substantial reason for Settling Defendants agreeing to pay and paying the money referenced in this Release Agreement is the settlement, release, and elimination of any and all claims that Releasor or others have now or in the future might have, absent this Release Agreement, for the alleged injuries of Releasor arising from, relating to, or in connection with the Covered Claims, or based on any of the conduct alleged in the litigation relating to any Covered Claims.</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LIENS AND SUBROGATION CLAIMS</w:t>
      </w:r>
    </w:p>
    <w:p>
      <w:pPr>
        <w:spacing w:after="0" w:line="225" w:lineRule="exact"/>
        <w:rPr>
          <w:sz w:val="20"/>
          <w:szCs w:val="20"/>
          <w:color w:val="auto"/>
        </w:rPr>
      </w:pPr>
    </w:p>
    <w:p>
      <w:pPr>
        <w:ind w:left="1420" w:hanging="656"/>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Releasor’s Responsibility for Liens and Subrogation Claims</w:t>
      </w:r>
      <w:r>
        <w:rPr>
          <w:rFonts w:ascii="Arial" w:cs="Arial" w:eastAsia="Arial" w:hAnsi="Arial"/>
          <w:sz w:val="18"/>
          <w:szCs w:val="18"/>
          <w:color w:val="auto"/>
        </w:rPr>
        <w:t>.</w:t>
      </w:r>
    </w:p>
    <w:p>
      <w:pPr>
        <w:spacing w:after="0" w:line="229" w:lineRule="exact"/>
        <w:rPr>
          <w:sz w:val="20"/>
          <w:szCs w:val="20"/>
          <w:color w:val="auto"/>
        </w:rPr>
      </w:pPr>
    </w:p>
    <w:p>
      <w:pPr>
        <w:jc w:val="both"/>
        <w:ind w:left="1420" w:hanging="656"/>
        <w:spacing w:after="0" w:line="221" w:lineRule="auto"/>
        <w:tabs>
          <w:tab w:leader="none" w:pos="141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Releasor is solely responsible for any liens and agrees to pay or has paid any liens held by or amounts owed to third parties, whether persons or entities, including any state or federal government entities, individual healthcare providers, insurers, litigation funders, or attorneys (all hereinafter “</w:t>
      </w:r>
      <w:r>
        <w:rPr>
          <w:rFonts w:ascii="Arial" w:cs="Arial" w:eastAsia="Arial" w:hAnsi="Arial"/>
          <w:sz w:val="17"/>
          <w:szCs w:val="17"/>
          <w:u w:val="single" w:color="auto"/>
          <w:color w:val="auto"/>
        </w:rPr>
        <w:t>Lien Holders</w:t>
      </w:r>
      <w:r>
        <w:rPr>
          <w:rFonts w:ascii="Arial" w:cs="Arial" w:eastAsia="Arial" w:hAnsi="Arial"/>
          <w:sz w:val="22"/>
          <w:szCs w:val="22"/>
          <w:color w:val="auto"/>
          <w:vertAlign w:val="superscript"/>
        </w:rPr>
        <w:t>1</w:t>
      </w:r>
      <w:r>
        <w:rPr>
          <w:rFonts w:ascii="Arial" w:cs="Arial" w:eastAsia="Arial" w:hAnsi="Arial"/>
          <w:sz w:val="17"/>
          <w:szCs w:val="17"/>
          <w:color w:val="auto"/>
        </w:rPr>
        <w:t>”), arising out of or related to Releasor’s Covered Claims. Releasor also agrees that any liens based on any hospital or medical expenses incurred as a result of Releasor’s claimed injuries arising from, relating to, or in connection with the Covered Claims will be resolved and/or satisfied by Releasor. Releasor will indemnify, defend, and hold harmless Released Parties from claims by any Lien Holders, actual or asserted.</w:t>
      </w:r>
    </w:p>
    <w:p>
      <w:pPr>
        <w:spacing w:after="0" w:line="203" w:lineRule="exact"/>
        <w:rPr>
          <w:rFonts w:ascii="Arial" w:cs="Arial" w:eastAsia="Arial" w:hAnsi="Arial"/>
          <w:sz w:val="17"/>
          <w:szCs w:val="17"/>
          <w:color w:val="auto"/>
        </w:rPr>
      </w:pPr>
    </w:p>
    <w:p>
      <w:pPr>
        <w:jc w:val="both"/>
        <w:ind w:left="1420" w:hanging="656"/>
        <w:spacing w:after="0" w:line="229" w:lineRule="auto"/>
        <w:tabs>
          <w:tab w:leader="none" w:pos="141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Releasor agrees that any interest in, lien on, or right of subrogation in his or her Covered Claims by or belonging to any and all entities and individuals, including without limitation any governmental agencies or authorities, attorneys, litigation funders, healthcare providers, and/or insurers, will be satisfied by Releasor’s allocated payment.</w:t>
      </w:r>
    </w:p>
    <w:p>
      <w:pPr>
        <w:spacing w:after="0" w:line="204" w:lineRule="exact"/>
        <w:rPr>
          <w:rFonts w:ascii="Arial" w:cs="Arial" w:eastAsia="Arial" w:hAnsi="Arial"/>
          <w:sz w:val="18"/>
          <w:szCs w:val="18"/>
          <w:color w:val="auto"/>
        </w:rPr>
      </w:pPr>
    </w:p>
    <w:p>
      <w:pPr>
        <w:ind w:left="1420" w:hanging="656"/>
        <w:spacing w:after="0" w:line="258" w:lineRule="auto"/>
        <w:tabs>
          <w:tab w:leader="none" w:pos="141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Releasor agrees that Released Parties are not responsible for liens or subrogation claims against any settlement payments or the costs and expenses incurred in resolving any such liens or subrogation claims against settlement payments.</w:t>
      </w:r>
    </w:p>
    <w:p>
      <w:pPr>
        <w:spacing w:after="0" w:line="187" w:lineRule="exact"/>
        <w:rPr>
          <w:rFonts w:ascii="Arial" w:cs="Arial" w:eastAsia="Arial" w:hAnsi="Arial"/>
          <w:sz w:val="17"/>
          <w:szCs w:val="17"/>
          <w:color w:val="auto"/>
        </w:rPr>
      </w:pPr>
    </w:p>
    <w:p>
      <w:pPr>
        <w:jc w:val="both"/>
        <w:ind w:left="1420" w:hanging="657"/>
        <w:spacing w:after="0" w:line="229" w:lineRule="auto"/>
        <w:tabs>
          <w:tab w:leader="none" w:pos="141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Releasor acknowledges that lien resolution may take place pursuant to a Medicare global model for any Medicare-entitled Releasor receiving payment under the Release Agreement. Releasor and Releasor’s Counsel agree to follow any centralized protocols to coordinate and aggregate the resolution of all Releasor’s lien obligations, including Medicare.</w:t>
      </w:r>
    </w:p>
    <w:p>
      <w:pPr>
        <w:spacing w:after="0" w:line="190" w:lineRule="exact"/>
        <w:rPr>
          <w:rFonts w:ascii="Arial" w:cs="Arial" w:eastAsia="Arial" w:hAnsi="Arial"/>
          <w:sz w:val="18"/>
          <w:szCs w:val="18"/>
          <w:color w:val="auto"/>
        </w:rPr>
      </w:pPr>
    </w:p>
    <w:p>
      <w:pPr>
        <w:jc w:val="both"/>
        <w:ind w:left="1420" w:hanging="656"/>
        <w:spacing w:after="0" w:line="248" w:lineRule="auto"/>
        <w:tabs>
          <w:tab w:leader="none" w:pos="141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Releasor understands and agrees that as a condition to the disbursement of the allocated settlement funds to Releasor, Releasor, through Releasor’s Counsel or a lien resolution administrator retained by Releasor’s Counsel on behalf of Releasor, shall ensure that:</w:t>
      </w:r>
    </w:p>
    <w:p>
      <w:pPr>
        <w:jc w:val="both"/>
        <w:ind w:left="1420"/>
        <w:spacing w:after="0" w:line="220" w:lineRule="auto"/>
        <w:rPr>
          <w:rFonts w:ascii="Arial" w:cs="Arial" w:eastAsia="Arial" w:hAnsi="Arial"/>
          <w:sz w:val="16"/>
          <w:szCs w:val="16"/>
          <w:color w:val="auto"/>
        </w:rPr>
      </w:pPr>
      <w:r>
        <w:rPr>
          <w:rFonts w:ascii="Arial" w:cs="Arial" w:eastAsia="Arial" w:hAnsi="Arial"/>
          <w:sz w:val="17"/>
          <w:szCs w:val="17"/>
          <w:color w:val="auto"/>
        </w:rPr>
        <w:t>(1) any and all known medical liens, claims arising from medical expenses, past, present, and/or future, and/or other liens including but not restricted to liens and/or claims by any Lien Holder (hereinafter “</w:t>
      </w:r>
      <w:r>
        <w:rPr>
          <w:rFonts w:ascii="Arial" w:cs="Arial" w:eastAsia="Arial" w:hAnsi="Arial"/>
          <w:sz w:val="17"/>
          <w:szCs w:val="17"/>
          <w:u w:val="single" w:color="auto"/>
          <w:color w:val="auto"/>
        </w:rPr>
        <w:t>Liens</w:t>
      </w:r>
      <w:r>
        <w:rPr>
          <w:rFonts w:ascii="Arial" w:cs="Arial" w:eastAsia="Arial" w:hAnsi="Arial"/>
          <w:sz w:val="17"/>
          <w:szCs w:val="17"/>
          <w:color w:val="auto"/>
        </w:rPr>
        <w:t>”), incurred as a result of Releasor’s claims or claimed injuries arising from, relating to, or in connection with the Covered Claims have been, or will be, resolved, or that a holdback amount has been agreed to with Medicare, and (2) each Lien asserted by a state or federal government, individual healthcare provider, insurer, litigation funders, and/or attorney Lien Holder has been, or will be, resolved. In addition to the foregoing, Releasor, through Releasor’s Counsel or a lien resolution administrator retained by Releasor’s Counsel on behalf of Releasor, shall cooperate fully with Released Parties, their attorneys and agents by executing any and all documents and providing any additional information required by or on behalf of the Releasor to comply with mandatory reporting requirements.</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33" w:lineRule="exact"/>
        <w:rPr>
          <w:sz w:val="20"/>
          <w:szCs w:val="20"/>
          <w:color w:val="auto"/>
        </w:rPr>
      </w:pPr>
    </w:p>
    <w:p>
      <w:pPr>
        <w:jc w:val="both"/>
        <w:ind w:left="120" w:hanging="5"/>
        <w:spacing w:after="0" w:line="235" w:lineRule="auto"/>
        <w:tabs>
          <w:tab w:leader="none" w:pos="248" w:val="left"/>
        </w:tabs>
        <w:numPr>
          <w:ilvl w:val="0"/>
          <w:numId w:val="116"/>
        </w:numPr>
        <w:rPr>
          <w:rFonts w:ascii="Arial" w:cs="Arial" w:eastAsia="Arial" w:hAnsi="Arial"/>
          <w:sz w:val="22"/>
          <w:szCs w:val="22"/>
          <w:color w:val="auto"/>
          <w:vertAlign w:val="superscript"/>
        </w:rPr>
      </w:pPr>
      <w:r>
        <w:rPr>
          <w:rFonts w:ascii="Arial" w:cs="Arial" w:eastAsia="Arial" w:hAnsi="Arial"/>
          <w:sz w:val="17"/>
          <w:szCs w:val="17"/>
          <w:color w:val="auto"/>
        </w:rPr>
        <w:t>For purposes of this Release Agreement, the term Lien Holder shall expressly include (without limitation) the following: workers’ compensation carriers, health insurers, healthcare providers, Medicare, Medicaid, the U.S. Department of Veterans Affairs, the U.S. Department of Defense, TRICARE, Indian Health Services, litigation funders, attorneys, and any other private or public individual, entity, or program that holds liens or is owed payment arising out of or related to Releasor’s claimed injuries arising from, relating to, or in connection with the Covered Claims.</w:t>
      </w:r>
    </w:p>
    <w:p>
      <w:pPr>
        <w:sectPr>
          <w:pgSz w:w="11900" w:h="16838" w:orient="portrait"/>
          <w:cols w:equalWidth="0" w:num="1">
            <w:col w:w="11120"/>
          </w:cols>
          <w:pgMar w:left="320" w:top="1192" w:right="459" w:bottom="1440" w:gutter="0" w:footer="0" w:header="0"/>
        </w:sectPr>
      </w:pPr>
    </w:p>
    <w:bookmarkStart w:id="84" w:name="page85"/>
    <w:bookmarkEnd w:id="84"/>
    <w:p>
      <w:pPr>
        <w:jc w:val="both"/>
        <w:ind w:left="1280" w:hanging="656"/>
        <w:spacing w:after="0" w:line="248" w:lineRule="auto"/>
        <w:tabs>
          <w:tab w:leader="none" w:pos="127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Releasor further agrees to cooperate fully with Released Parties, their attorneys and agents by executing any and all documents and providing any additional information required by or on behalf of the Releasor to comply with the mandatory Medicare reporting requirements of Section 111 of the Medicare, Medicaid and SCHIP Extension Act of 2007 (“</w:t>
      </w:r>
      <w:r>
        <w:rPr>
          <w:rFonts w:ascii="Arial" w:cs="Arial" w:eastAsia="Arial" w:hAnsi="Arial"/>
          <w:sz w:val="16"/>
          <w:szCs w:val="16"/>
          <w:u w:val="single" w:color="auto"/>
          <w:color w:val="auto"/>
        </w:rPr>
        <w:t>MMSEA § 111</w:t>
      </w:r>
      <w:r>
        <w:rPr>
          <w:rFonts w:ascii="Arial" w:cs="Arial" w:eastAsia="Arial" w:hAnsi="Arial"/>
          <w:sz w:val="16"/>
          <w:szCs w:val="16"/>
          <w:color w:val="auto"/>
        </w:rPr>
        <w:t>”). If Releasor is found to be Medicare eligible, Sterigenics U.S., LLC, as the Responsible Reporting Entity (under the provisions of MMSEA § 111) shall report the settlement in accordance with MMSEA § 111, and will share the same with Releasor’s Counsel. Releasor further specifically releases and relinquishes any and all right to and claim for any private cause of action pursuant to 42 U.S.C. § 1395y(b)(3)(A).</w:t>
      </w:r>
    </w:p>
    <w:p>
      <w:pPr>
        <w:spacing w:after="0" w:line="195" w:lineRule="exact"/>
        <w:rPr>
          <w:rFonts w:ascii="Arial" w:cs="Arial" w:eastAsia="Arial" w:hAnsi="Arial"/>
          <w:sz w:val="16"/>
          <w:szCs w:val="16"/>
          <w:color w:val="auto"/>
        </w:rPr>
      </w:pPr>
    </w:p>
    <w:p>
      <w:pPr>
        <w:ind w:left="1280" w:right="20" w:hanging="656"/>
        <w:spacing w:after="0" w:line="289" w:lineRule="auto"/>
        <w:tabs>
          <w:tab w:leader="none" w:pos="127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addition, Releasor expressly agrees and undertakes to indemnify, defend, and hold harmless the Released Parties from all costs and expenses incurred on account of any claims, demands, rights or causes of action by any other person or entity claiming:</w:t>
      </w:r>
    </w:p>
    <w:p>
      <w:pPr>
        <w:spacing w:after="0" w:line="164" w:lineRule="exact"/>
        <w:rPr>
          <w:rFonts w:ascii="Arial" w:cs="Arial" w:eastAsia="Arial" w:hAnsi="Arial"/>
          <w:sz w:val="16"/>
          <w:szCs w:val="16"/>
          <w:color w:val="auto"/>
        </w:rPr>
      </w:pPr>
    </w:p>
    <w:p>
      <w:pPr>
        <w:ind w:left="1580" w:hanging="423"/>
        <w:spacing w:after="0"/>
        <w:tabs>
          <w:tab w:leader="none" w:pos="158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 right on behalf of or through the Releasor as against the Released Parties;</w:t>
      </w:r>
    </w:p>
    <w:p>
      <w:pPr>
        <w:spacing w:after="0" w:line="225" w:lineRule="exact"/>
        <w:rPr>
          <w:rFonts w:ascii="Arial" w:cs="Arial" w:eastAsia="Arial" w:hAnsi="Arial"/>
          <w:sz w:val="18"/>
          <w:szCs w:val="18"/>
          <w:color w:val="auto"/>
        </w:rPr>
      </w:pPr>
    </w:p>
    <w:p>
      <w:pPr>
        <w:ind w:left="1600" w:hanging="504"/>
        <w:spacing w:after="0"/>
        <w:tabs>
          <w:tab w:leader="none" w:pos="16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Lien upon, subrogated interest in, or right or entitlement to the proceeds of the settlement;</w:t>
      </w:r>
    </w:p>
    <w:p>
      <w:pPr>
        <w:spacing w:after="0" w:line="225" w:lineRule="exact"/>
        <w:rPr>
          <w:rFonts w:ascii="Arial" w:cs="Arial" w:eastAsia="Arial" w:hAnsi="Arial"/>
          <w:sz w:val="18"/>
          <w:szCs w:val="18"/>
          <w:color w:val="auto"/>
        </w:rPr>
      </w:pPr>
    </w:p>
    <w:p>
      <w:pPr>
        <w:ind w:left="1600" w:right="1200" w:hanging="563"/>
        <w:spacing w:after="0" w:line="235" w:lineRule="auto"/>
        <w:tabs>
          <w:tab w:leader="none" w:pos="158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right to reimbursement or subrogation for any reason arising out of the consideration payable under this Release Agreement;</w:t>
      </w:r>
    </w:p>
    <w:p>
      <w:pPr>
        <w:spacing w:after="0" w:line="202" w:lineRule="exact"/>
        <w:rPr>
          <w:sz w:val="20"/>
          <w:szCs w:val="20"/>
          <w:color w:val="auto"/>
        </w:rPr>
      </w:pPr>
    </w:p>
    <w:p>
      <w:pPr>
        <w:ind w:left="1600" w:right="320" w:hanging="551"/>
        <w:spacing w:after="0" w:line="229" w:lineRule="auto"/>
        <w:tabs>
          <w:tab w:leader="none" w:pos="157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 right to recovery by, or reimbursement to, the appropriate funds for conditional payments made or to be made by The Centers for Medicare and Medicaid Services (such payments, “</w:t>
      </w:r>
      <w:r>
        <w:rPr>
          <w:rFonts w:ascii="Arial" w:cs="Arial" w:eastAsia="Arial" w:hAnsi="Arial"/>
          <w:sz w:val="17"/>
          <w:szCs w:val="17"/>
          <w:u w:val="single" w:color="auto"/>
          <w:color w:val="auto"/>
        </w:rPr>
        <w:t>Government Health Payments</w:t>
      </w:r>
      <w:r>
        <w:rPr>
          <w:rFonts w:ascii="Arial" w:cs="Arial" w:eastAsia="Arial" w:hAnsi="Arial"/>
          <w:sz w:val="17"/>
          <w:szCs w:val="17"/>
          <w:color w:val="auto"/>
        </w:rPr>
        <w:t>”) with respect to covered items and services (or any portion thereof), pursuant to 42 U.S.C. § 1395y(b), and corresponding regulations, including but not limited to 42 CFR § 411.22 and 42 CFR § 411.24, including any amendments thereto or interpretations thereof that may be placed upon such statutes and regulations by any state or federal court (sometimes known as the “Medicare Secondary Payor” laws and program). Releasor expressly agrees that he or she assumes full responsibility for satisfying any and all notification, reimbursement and recovery obligations owed with respect to Government Health Payments; or</w:t>
      </w:r>
    </w:p>
    <w:p>
      <w:pPr>
        <w:spacing w:after="0" w:line="206" w:lineRule="exact"/>
        <w:rPr>
          <w:rFonts w:ascii="Arial" w:cs="Arial" w:eastAsia="Arial" w:hAnsi="Arial"/>
          <w:sz w:val="17"/>
          <w:szCs w:val="17"/>
          <w:color w:val="auto"/>
        </w:rPr>
      </w:pPr>
    </w:p>
    <w:p>
      <w:pPr>
        <w:ind w:left="1600" w:right="100" w:hanging="490"/>
        <w:spacing w:after="0" w:line="246" w:lineRule="auto"/>
        <w:tabs>
          <w:tab w:leader="none" w:pos="1588"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 right against Released Parties due to the fact that Releasor is, in fact, a party to bankruptcy proceedings at such time as to affect the rights of Released Parties under this Release Agreement.</w:t>
      </w:r>
    </w:p>
    <w:p>
      <w:pPr>
        <w:spacing w:after="0" w:line="196" w:lineRule="exact"/>
        <w:rPr>
          <w:rFonts w:ascii="Arial" w:cs="Arial" w:eastAsia="Arial" w:hAnsi="Arial"/>
          <w:sz w:val="18"/>
          <w:szCs w:val="18"/>
          <w:color w:val="auto"/>
        </w:rPr>
      </w:pPr>
    </w:p>
    <w:p>
      <w:pPr>
        <w:jc w:val="both"/>
        <w:ind w:left="1280" w:hanging="656"/>
        <w:spacing w:after="0" w:line="228" w:lineRule="auto"/>
        <w:tabs>
          <w:tab w:leader="none" w:pos="127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Releasor further expressly agrees and covenants to release, discharge, forever indemnify, defend, and hold harmless the Released Parties and their attorneys from any Liens and/or claims which may arise or may have arisen in favor of Medicare, Medicaid, any other government program or any other governmental entity, federal, state or local, by operation of law or equity, for medical expenses, disability benefits, or any other charge or expense, directly or indirectly relating to Releasor’s injuries arising from, relating to, or in connection with the Covered Claims. The indemnification set forth in this Section specifically includes, but is not limited to, the payment of all reasonable costs and expenses of investigation, defense, settlement, attorney fees, judgments, court costs, and all other costs and expenses of defending such claims. Releasor’s total indemnification obligations under this Release Agreement shall not exceed Releasor’s settlement amount.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25" w:lineRule="exact"/>
        <w:rPr>
          <w:sz w:val="20"/>
          <w:szCs w:val="20"/>
          <w:color w:val="auto"/>
        </w:rPr>
      </w:pPr>
    </w:p>
    <w:p>
      <w:pPr>
        <w:ind w:left="-20" w:firstLine="644"/>
        <w:spacing w:after="0" w:line="237" w:lineRule="auto"/>
        <w:tabs>
          <w:tab w:leader="none" w:pos="1163"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Good Faith Settlement Determination</w:t>
      </w:r>
      <w:r>
        <w:rPr>
          <w:rFonts w:ascii="Arial" w:cs="Arial" w:eastAsia="Arial" w:hAnsi="Arial"/>
          <w:sz w:val="18"/>
          <w:szCs w:val="18"/>
          <w:color w:val="auto"/>
        </w:rPr>
        <w:t>. If requested by any Released Party, Releasor will cooperate and use best efforts to obtain a</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Settlement Determination.</w:t>
      </w:r>
    </w:p>
    <w:p>
      <w:pPr>
        <w:spacing w:after="0" w:line="198" w:lineRule="exact"/>
        <w:rPr>
          <w:rFonts w:ascii="Arial" w:cs="Arial" w:eastAsia="Arial" w:hAnsi="Arial"/>
          <w:sz w:val="18"/>
          <w:szCs w:val="18"/>
          <w:color w:val="auto"/>
        </w:rPr>
      </w:pPr>
    </w:p>
    <w:p>
      <w:pPr>
        <w:ind w:left="-20" w:firstLine="643"/>
        <w:spacing w:after="0" w:line="237" w:lineRule="auto"/>
        <w:tabs>
          <w:tab w:leader="none" w:pos="1157"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Release Agreement shall be governed by and construed in accordance with the law of the State of Illinois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any choice-of-law rules that would require the application of the law of another jurisdiction.</w:t>
      </w:r>
    </w:p>
    <w:p>
      <w:pPr>
        <w:spacing w:after="0" w:line="198" w:lineRule="exact"/>
        <w:rPr>
          <w:rFonts w:ascii="Arial" w:cs="Arial" w:eastAsia="Arial" w:hAnsi="Arial"/>
          <w:sz w:val="18"/>
          <w:szCs w:val="18"/>
          <w:color w:val="auto"/>
        </w:rPr>
      </w:pPr>
    </w:p>
    <w:p>
      <w:pPr>
        <w:jc w:val="both"/>
        <w:ind w:left="-20" w:firstLine="643"/>
        <w:spacing w:after="0" w:line="224" w:lineRule="auto"/>
        <w:tabs>
          <w:tab w:leader="none" w:pos="1163"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Competence</w:t>
      </w:r>
      <w:r>
        <w:rPr>
          <w:rFonts w:ascii="Arial" w:cs="Arial" w:eastAsia="Arial" w:hAnsi="Arial"/>
          <w:sz w:val="18"/>
          <w:szCs w:val="18"/>
          <w:color w:val="auto"/>
        </w:rPr>
        <w:t>. Releasor warrants and represents that he or she is of legal age and legally competent to execute this Release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promise or condition not contained or expressly referenced in this Release Agreement has been made to him or her, and that Releasor has been fully informed of the terms of this Release Agreement through discussions with Releasor’s Counsel. No term in this Release Agreement shall be construed against any party on the basis that the party drafted the Release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60" w:top="1192" w:right="459" w:bottom="1440" w:gutter="0" w:footer="0" w:header="0"/>
        </w:sectPr>
      </w:pPr>
    </w:p>
    <w:bookmarkStart w:id="85" w:name="page86"/>
    <w:bookmarkEnd w:id="85"/>
    <w:p>
      <w:pPr>
        <w:ind w:left="120"/>
        <w:spacing w:after="0"/>
        <w:rPr>
          <w:sz w:val="20"/>
          <w:szCs w:val="20"/>
          <w:color w:val="auto"/>
        </w:rPr>
      </w:pPr>
      <w:r>
        <w:rPr>
          <w:rFonts w:ascii="Arial" w:cs="Arial" w:eastAsia="Arial" w:hAnsi="Arial"/>
          <w:sz w:val="16"/>
          <w:szCs w:val="16"/>
          <w:color w:val="auto"/>
        </w:rPr>
        <w:t>Under penalties as provided by law pursuant to Section 1-109 of the Illinois Code of Civil Procedure, the undersigned Releasor certifies that the</w:t>
      </w:r>
    </w:p>
    <w:p>
      <w:pPr>
        <w:spacing w:after="0" w:line="21" w:lineRule="exact"/>
        <w:rPr>
          <w:sz w:val="20"/>
          <w:szCs w:val="20"/>
          <w:color w:val="auto"/>
        </w:rPr>
      </w:pPr>
    </w:p>
    <w:p>
      <w:pPr>
        <w:ind w:left="120" w:right="340"/>
        <w:spacing w:after="0" w:line="226" w:lineRule="auto"/>
        <w:rPr>
          <w:sz w:val="20"/>
          <w:szCs w:val="20"/>
          <w:color w:val="auto"/>
        </w:rPr>
      </w:pPr>
      <w:r>
        <w:rPr>
          <w:rFonts w:ascii="Arial" w:cs="Arial" w:eastAsia="Arial" w:hAnsi="Arial"/>
          <w:sz w:val="18"/>
          <w:szCs w:val="18"/>
          <w:color w:val="auto"/>
        </w:rPr>
        <w:t>statements set forth in this Release Agreement are true and correct, except as to matters therein stated to be on information and belief and as to such matters the undersigned certifies as aforesaid that the Releasor verily believes the same to be true.</w:t>
      </w:r>
    </w:p>
    <w:p>
      <w:pPr>
        <w:spacing w:after="0" w:line="37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so signing, I acknowledge that all provisions have been fully agreed to, understood and comprehended by me, and that I enter into this Release Agreement knowingly and voluntarily for the purpose of making a full and final compromise and settlement of any and all claims arising out of the matters referred to above. This certification shall have the same effect as a verification provided and sworn under oath.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Teresa Fornek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5717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RELEASOR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FULL NAME OF RELEASOR: Teresa Fornek</w:t>
      </w:r>
    </w:p>
    <w:p>
      <w:pPr>
        <w:sectPr>
          <w:pgSz w:w="11900" w:h="16838" w:orient="portrait"/>
          <w:cols w:equalWidth="0" w:num="1">
            <w:col w:w="10720"/>
          </w:cols>
          <w:pgMar w:left="320" w:top="976" w:right="859"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-3175</wp:posOffset>
            </wp:positionV>
            <wp:extent cx="114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3/23/2023</w:t>
      </w:r>
    </w:p>
    <w:p>
      <w:pPr>
        <w:spacing w:after="0" w:line="359" w:lineRule="exact"/>
        <w:rPr>
          <w:sz w:val="20"/>
          <w:szCs w:val="20"/>
          <w:color w:val="auto"/>
        </w:rPr>
      </w:pPr>
    </w:p>
    <w:p>
      <w:pPr>
        <w:sectPr>
          <w:pgSz w:w="11900" w:h="16838" w:orient="portrait"/>
          <w:cols w:equalWidth="0" w:num="2">
            <w:col w:w="1240" w:space="720"/>
            <w:col w:w="8760"/>
          </w:cols>
          <w:pgMar w:left="320" w:top="976" w:right="859" w:bottom="1033" w:gutter="0" w:footer="0" w:header="0"/>
          <w:type w:val="continuous"/>
        </w:sectPr>
      </w:pP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DOB: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8001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SSN: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6286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Doug Fornek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5717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RELEASOR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FULL NAME OF RELEASOR: Doug Fornek</w:t>
      </w:r>
    </w:p>
    <w:p>
      <w:pPr>
        <w:spacing w:after="0" w:line="200" w:lineRule="exact"/>
        <w:rPr>
          <w:sz w:val="20"/>
          <w:szCs w:val="20"/>
          <w:color w:val="auto"/>
        </w:rPr>
      </w:pPr>
    </w:p>
    <w:p>
      <w:pPr>
        <w:spacing w:after="0" w:line="31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3/23/2023</w:t>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-20320</wp:posOffset>
            </wp:positionV>
            <wp:extent cx="114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DOB: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8001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SSN: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7423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Illinois</w:t>
      </w:r>
    </w:p>
    <w:p>
      <w:pPr>
        <w:ind w:left="120"/>
        <w:spacing w:after="0"/>
        <w:rPr>
          <w:sz w:val="20"/>
          <w:szCs w:val="20"/>
          <w:color w:val="auto"/>
        </w:rPr>
      </w:pPr>
      <w:r>
        <w:rPr>
          <w:rFonts w:ascii="Arial" w:cs="Arial" w:eastAsia="Arial" w:hAnsi="Arial"/>
          <w:sz w:val="18"/>
          <w:szCs w:val="18"/>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-71755</wp:posOffset>
            </wp:positionV>
            <wp:extent cx="7969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Cook</w:t>
      </w:r>
    </w:p>
    <w:p>
      <w:pPr>
        <w:spacing w:after="0"/>
        <w:rPr>
          <w:sz w:val="20"/>
          <w:szCs w:val="20"/>
          <w:color w:val="auto"/>
        </w:rPr>
      </w:pPr>
      <w:r>
        <w:rPr>
          <w:rFonts w:ascii="Arial" w:cs="Arial" w:eastAsia="Arial" w:hAnsi="Arial"/>
          <w:sz w:val="18"/>
          <w:szCs w:val="18"/>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-71755</wp:posOffset>
            </wp:positionV>
            <wp:extent cx="7797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ectPr>
          <w:pgSz w:w="11900" w:h="16838" w:orient="portrait"/>
          <w:cols w:equalWidth="0" w:num="1">
            <w:col w:w="10720"/>
          </w:cols>
          <w:pgMar w:left="320" w:top="976" w:right="859" w:bottom="10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Willowbrook Release Agreement – Teresa and Doug Fornek</w:t>
      </w:r>
      <w:r>
        <w:rPr>
          <w:rFonts w:ascii="Arial" w:cs="Arial" w:eastAsia="Arial" w:hAnsi="Arial"/>
          <w:sz w:val="16"/>
          <w:szCs w:val="16"/>
          <w:color w:val="auto"/>
        </w:rPr>
        <w:t>]</w:t>
      </w:r>
    </w:p>
    <w:p>
      <w:pPr>
        <w:sectPr>
          <w:pgSz w:w="11900" w:h="16838" w:orient="portrait"/>
          <w:cols w:equalWidth="0" w:num="1">
            <w:col w:w="10720"/>
          </w:cols>
          <w:pgMar w:left="320" w:top="976" w:right="859" w:bottom="1033" w:gutter="0" w:footer="0" w:header="0"/>
          <w:type w:val="continuous"/>
        </w:sectPr>
      </w:pPr>
    </w:p>
    <w:bookmarkStart w:id="86" w:name="page87"/>
    <w:bookmarkEnd w:id="86"/>
    <w:p>
      <w:pPr>
        <w:ind w:left="380"/>
        <w:spacing w:after="0"/>
        <w:rPr>
          <w:sz w:val="20"/>
          <w:szCs w:val="20"/>
          <w:color w:val="auto"/>
        </w:rPr>
      </w:pPr>
      <w:r>
        <w:rPr>
          <w:rFonts w:ascii="Arial" w:cs="Arial" w:eastAsia="Arial" w:hAnsi="Arial"/>
          <w:sz w:val="18"/>
          <w:szCs w:val="18"/>
          <w:color w:val="232323"/>
        </w:rPr>
        <w:t>SETTLING DEFENDANTS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232323"/>
        </w:rPr>
        <w:t>Acknowledged: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232323"/>
        </w:rPr>
        <w:t>SOTERA HEALTH LLC:</w:t>
      </w: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Matthew J. Klaben</w:t>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-71755</wp:posOffset>
            </wp:positionV>
            <wp:extent cx="27857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232323"/>
        </w:rPr>
        <w:t>Name: Matthew J. Klaben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232323"/>
        </w:rPr>
        <w:t>Its: Senior Vice President, General Counsel and Secretary</w:t>
      </w:r>
    </w:p>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8"/>
          <w:szCs w:val="18"/>
          <w:color w:val="232323"/>
        </w:rPr>
        <w:t>STERIGENICS U.S., LLC:</w:t>
      </w: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Matthew J. Klaben</w:t>
      </w:r>
    </w:p>
    <w:p>
      <w:pPr>
        <w:spacing w:after="0"/>
        <w:rPr>
          <w:sz w:val="20"/>
          <w:szCs w:val="20"/>
          <w:color w:val="auto"/>
        </w:rPr>
      </w:pPr>
      <w:r>
        <w:rPr>
          <w:rFonts w:ascii="Arial" w:cs="Arial" w:eastAsia="Arial" w:hAnsi="Arial"/>
          <w:sz w:val="18"/>
          <w:szCs w:val="18"/>
          <w:color w:val="363636"/>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-71755</wp:posOffset>
            </wp:positionV>
            <wp:extent cx="27857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232323"/>
        </w:rPr>
        <w:t>Name: Matthew J. Klaben</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6"/>
          <w:szCs w:val="16"/>
          <w:color w:val="232323"/>
        </w:rPr>
        <w:t>Its: Senior Vice President, General Counsel and Secretary</w:t>
      </w:r>
    </w:p>
    <w:p>
      <w:pPr>
        <w:sectPr>
          <w:pgSz w:w="11900" w:h="16838" w:orient="portrait"/>
          <w:cols w:equalWidth="0" w:num="1">
            <w:col w:w="10139"/>
          </w:cols>
          <w:pgMar w:left="320" w:top="67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232323"/>
        </w:rPr>
        <w:t>[Signature Page to Release Agreement - Teresa and Doug Fornek]</w:t>
      </w:r>
    </w:p>
    <w:p>
      <w:pPr>
        <w:sectPr>
          <w:pgSz w:w="11900" w:h="16838" w:orient="portrait"/>
          <w:cols w:equalWidth="0" w:num="1">
            <w:col w:w="10139"/>
          </w:cols>
          <w:pgMar w:left="320" w:top="679" w:right="1440" w:bottom="0" w:gutter="0" w:footer="0" w:header="0"/>
          <w:type w:val="continuous"/>
        </w:sectPr>
      </w:pPr>
    </w:p>
    <w:bookmarkStart w:id="87" w:name="page88"/>
    <w:bookmarkEnd w:id="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center"/>
        <w:ind w:right="-439"/>
        <w:spacing w:after="0"/>
        <w:rPr>
          <w:sz w:val="20"/>
          <w:szCs w:val="20"/>
          <w:color w:val="auto"/>
        </w:rPr>
      </w:pPr>
      <w:r>
        <w:rPr>
          <w:rFonts w:ascii="Arial" w:cs="Arial" w:eastAsia="Arial" w:hAnsi="Arial"/>
          <w:sz w:val="18"/>
          <w:szCs w:val="18"/>
          <w:b w:val="1"/>
          <w:bCs w:val="1"/>
          <w:u w:val="single" w:color="auto"/>
          <w:color w:val="auto"/>
        </w:rPr>
        <w:t>RELEASE AGREEMENT</w:t>
      </w:r>
    </w:p>
    <w:p>
      <w:pPr>
        <w:spacing w:after="0" w:line="229" w:lineRule="exact"/>
        <w:rPr>
          <w:sz w:val="20"/>
          <w:szCs w:val="20"/>
          <w:color w:val="auto"/>
        </w:rPr>
      </w:pPr>
    </w:p>
    <w:p>
      <w:pPr>
        <w:jc w:val="both"/>
        <w:ind w:left="140" w:firstLine="648"/>
        <w:spacing w:after="0" w:line="235" w:lineRule="auto"/>
        <w:rPr>
          <w:sz w:val="20"/>
          <w:szCs w:val="20"/>
          <w:color w:val="auto"/>
        </w:rPr>
      </w:pPr>
      <w:r>
        <w:rPr>
          <w:rFonts w:ascii="Arial" w:cs="Arial" w:eastAsia="Arial" w:hAnsi="Arial"/>
          <w:sz w:val="18"/>
          <w:szCs w:val="18"/>
          <w:color w:val="auto"/>
        </w:rPr>
        <w:t>This Release Agreement (the “</w:t>
      </w:r>
      <w:r>
        <w:rPr>
          <w:rFonts w:ascii="Arial" w:cs="Arial" w:eastAsia="Arial" w:hAnsi="Arial"/>
          <w:sz w:val="18"/>
          <w:szCs w:val="18"/>
          <w:u w:val="single" w:color="auto"/>
          <w:color w:val="auto"/>
        </w:rPr>
        <w:t>Release Agreement</w:t>
      </w:r>
      <w:r>
        <w:rPr>
          <w:rFonts w:ascii="Arial" w:cs="Arial" w:eastAsia="Arial" w:hAnsi="Arial"/>
          <w:sz w:val="18"/>
          <w:szCs w:val="18"/>
          <w:color w:val="auto"/>
        </w:rPr>
        <w:t>”) is made and entered into on the date signed below by Heather and Michael Schumacher (the “</w:t>
      </w:r>
      <w:r>
        <w:rPr>
          <w:rFonts w:ascii="Arial" w:cs="Arial" w:eastAsia="Arial" w:hAnsi="Arial"/>
          <w:sz w:val="18"/>
          <w:szCs w:val="18"/>
          <w:u w:val="single" w:color="auto"/>
          <w:color w:val="auto"/>
        </w:rPr>
        <w:t>Releasor</w:t>
      </w:r>
      <w:r>
        <w:rPr>
          <w:rFonts w:ascii="Arial" w:cs="Arial" w:eastAsia="Arial" w:hAnsi="Arial"/>
          <w:sz w:val="18"/>
          <w:szCs w:val="18"/>
          <w:color w:val="auto"/>
        </w:rPr>
        <w:t>”) and takes effect on the Effective Date (as defined herein).</w:t>
      </w:r>
    </w:p>
    <w:p>
      <w:pPr>
        <w:spacing w:after="0" w:line="27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140" w:right="20" w:firstLine="648"/>
        <w:spacing w:after="0" w:line="248" w:lineRule="auto"/>
        <w:rPr>
          <w:sz w:val="20"/>
          <w:szCs w:val="20"/>
          <w:color w:val="auto"/>
        </w:rPr>
      </w:pPr>
      <w:r>
        <w:rPr>
          <w:rFonts w:ascii="Arial" w:cs="Arial" w:eastAsia="Arial" w:hAnsi="Arial"/>
          <w:sz w:val="16"/>
          <w:szCs w:val="16"/>
          <w:color w:val="auto"/>
        </w:rPr>
        <w:t>WHEREAS, on March 28, 2023, Sotera Health LLC and Sterigenics U.S., LLC (“</w:t>
      </w:r>
      <w:r>
        <w:rPr>
          <w:rFonts w:ascii="Arial" w:cs="Arial" w:eastAsia="Arial" w:hAnsi="Arial"/>
          <w:sz w:val="16"/>
          <w:szCs w:val="16"/>
          <w:u w:val="single" w:color="auto"/>
          <w:color w:val="auto"/>
        </w:rPr>
        <w:t>Settling Defendants</w:t>
      </w:r>
      <w:r>
        <w:rPr>
          <w:rFonts w:ascii="Arial" w:cs="Arial" w:eastAsia="Arial" w:hAnsi="Arial"/>
          <w:sz w:val="16"/>
          <w:szCs w:val="16"/>
          <w:color w:val="auto"/>
        </w:rPr>
        <w:t>”) and counsel for Releasor (“</w:t>
      </w:r>
      <w:r>
        <w:rPr>
          <w:rFonts w:ascii="Arial" w:cs="Arial" w:eastAsia="Arial" w:hAnsi="Arial"/>
          <w:sz w:val="16"/>
          <w:szCs w:val="16"/>
          <w:u w:val="single" w:color="auto"/>
          <w:color w:val="auto"/>
        </w:rPr>
        <w:t>Releasor’s Counsel</w:t>
      </w:r>
      <w:r>
        <w:rPr>
          <w:rFonts w:ascii="Arial" w:cs="Arial" w:eastAsia="Arial" w:hAnsi="Arial"/>
          <w:sz w:val="16"/>
          <w:szCs w:val="16"/>
          <w:color w:val="auto"/>
        </w:rPr>
        <w:t>”) entered into a binding agreement to provide for the full and final resolution (the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of the Releasor’s</w:t>
      </w:r>
    </w:p>
    <w:p>
      <w:pPr>
        <w:jc w:val="both"/>
        <w:ind w:left="140" w:right="20"/>
        <w:spacing w:after="0" w:line="218" w:lineRule="auto"/>
        <w:rPr>
          <w:sz w:val="20"/>
          <w:szCs w:val="20"/>
          <w:color w:val="auto"/>
        </w:rPr>
      </w:pPr>
      <w:r>
        <w:rPr>
          <w:rFonts w:ascii="Arial" w:cs="Arial" w:eastAsia="Arial" w:hAnsi="Arial"/>
          <w:sz w:val="18"/>
          <w:szCs w:val="18"/>
          <w:color w:val="auto"/>
        </w:rPr>
        <w:t>Covered Claims (as defined herein), including claims that have been, could have been, or may be asserted against Settling Defendants or others for injury arising from, relating to, or in connection with the use and/or emission of ethylene oxide by and/or from Sterigenics U.S., LLC’s or any other Released Party’s (as defined herein) operations in or around Willowbrook, Illinois;</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WHEREAS, Settling Defendants deny any and all liability with respect to the Covered Claims, and deny any liability to Releasor;</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WHEREAS, in return for good and valuable consideration, which shall be ***** (the “</w:t>
      </w:r>
      <w:r>
        <w:rPr>
          <w:rFonts w:ascii="Arial" w:cs="Arial" w:eastAsia="Arial" w:hAnsi="Arial"/>
          <w:sz w:val="18"/>
          <w:szCs w:val="18"/>
          <w:u w:val="single" w:color="auto"/>
          <w:color w:val="auto"/>
        </w:rPr>
        <w:t>Settlement Amount</w:t>
      </w:r>
      <w:r>
        <w:rPr>
          <w:rFonts w:ascii="Arial" w:cs="Arial" w:eastAsia="Arial" w:hAnsi="Arial"/>
          <w:sz w:val="18"/>
          <w:szCs w:val="18"/>
          <w:color w:val="auto"/>
        </w:rPr>
        <w:t>”),</w:t>
      </w:r>
    </w:p>
    <w:p>
      <w:pPr>
        <w:spacing w:after="0"/>
        <w:rPr>
          <w:sz w:val="20"/>
          <w:szCs w:val="20"/>
          <w:color w:val="auto"/>
        </w:rPr>
      </w:pPr>
      <w:r>
        <w:rPr>
          <w:rFonts w:ascii="Arial" w:cs="Arial" w:eastAsia="Arial" w:hAnsi="Arial"/>
          <w:sz w:val="16"/>
          <w:szCs w:val="16"/>
          <w:color w:val="auto"/>
        </w:rPr>
        <w:t>Releasor agrees through this Release Agreement to release, settle, and discharge any and all Covered Claims against the Released Parties; and</w:t>
      </w:r>
    </w:p>
    <w:p>
      <w:pPr>
        <w:spacing w:after="0" w:line="232" w:lineRule="exact"/>
        <w:rPr>
          <w:sz w:val="20"/>
          <w:szCs w:val="20"/>
          <w:color w:val="auto"/>
        </w:rPr>
      </w:pPr>
    </w:p>
    <w:p>
      <w:pPr>
        <w:jc w:val="both"/>
        <w:ind w:left="140" w:right="20" w:firstLine="648"/>
        <w:spacing w:after="0" w:line="246" w:lineRule="auto"/>
        <w:rPr>
          <w:sz w:val="20"/>
          <w:szCs w:val="20"/>
          <w:color w:val="auto"/>
        </w:rPr>
      </w:pPr>
      <w:r>
        <w:rPr>
          <w:rFonts w:ascii="Arial" w:cs="Arial" w:eastAsia="Arial" w:hAnsi="Arial"/>
          <w:sz w:val="18"/>
          <w:szCs w:val="18"/>
          <w:color w:val="auto"/>
        </w:rPr>
        <w:t>WHEREAS, this Release Agreement is conditioned on the performance and fulfillment of conditions set forth in the Settlement Agreement.</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NOW, THEREFORE, in consideration of the promises and mutual covenants contained herein, Releasor agrees as follows:</w:t>
      </w:r>
    </w:p>
    <w:p>
      <w:pPr>
        <w:spacing w:after="0" w:line="28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140" w:right="20" w:firstLine="641"/>
        <w:spacing w:after="0" w:line="237" w:lineRule="auto"/>
        <w:tabs>
          <w:tab w:leader="none" w:pos="1301"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Releasor. </w:t>
      </w:r>
      <w:r>
        <w:rPr>
          <w:rFonts w:ascii="Arial" w:cs="Arial" w:eastAsia="Arial" w:hAnsi="Arial"/>
          <w:sz w:val="18"/>
          <w:szCs w:val="18"/>
          <w:color w:val="auto"/>
        </w:rPr>
        <w:t>References to Releasor include Releasor’s heirs, beneficiaries, next of kin, executors, administrators, successors,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person or entity claiming by, through, under, or on their behalf.</w:t>
      </w:r>
    </w:p>
    <w:p>
      <w:pPr>
        <w:spacing w:after="0" w:line="198" w:lineRule="exact"/>
        <w:rPr>
          <w:rFonts w:ascii="Arial" w:cs="Arial" w:eastAsia="Arial" w:hAnsi="Arial"/>
          <w:sz w:val="18"/>
          <w:szCs w:val="18"/>
          <w:color w:val="auto"/>
        </w:rPr>
      </w:pPr>
    </w:p>
    <w:p>
      <w:pPr>
        <w:ind w:left="140" w:right="20" w:firstLine="642"/>
        <w:spacing w:after="0" w:line="250" w:lineRule="auto"/>
        <w:tabs>
          <w:tab w:leader="none" w:pos="1301"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Releasor’s Counsel</w:t>
      </w:r>
      <w:r>
        <w:rPr>
          <w:rFonts w:ascii="Arial" w:cs="Arial" w:eastAsia="Arial" w:hAnsi="Arial"/>
          <w:sz w:val="18"/>
          <w:szCs w:val="18"/>
          <w:color w:val="auto"/>
        </w:rPr>
        <w:t>. “</w:t>
      </w:r>
      <w:r>
        <w:rPr>
          <w:rFonts w:ascii="Arial" w:cs="Arial" w:eastAsia="Arial" w:hAnsi="Arial"/>
          <w:sz w:val="18"/>
          <w:szCs w:val="18"/>
          <w:u w:val="single" w:color="auto"/>
          <w:color w:val="auto"/>
        </w:rPr>
        <w:t>Releasor’s Counsel</w:t>
      </w:r>
      <w:r>
        <w:rPr>
          <w:rFonts w:ascii="Arial" w:cs="Arial" w:eastAsia="Arial" w:hAnsi="Arial"/>
          <w:sz w:val="18"/>
          <w:szCs w:val="18"/>
          <w:color w:val="auto"/>
        </w:rPr>
        <w:t>” means the lawyer(s) and law firm representing Releasor in any pending Covered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against any Released Parties.</w:t>
      </w:r>
    </w:p>
    <w:p>
      <w:pPr>
        <w:spacing w:after="0" w:line="189" w:lineRule="exact"/>
        <w:rPr>
          <w:rFonts w:ascii="Arial" w:cs="Arial" w:eastAsia="Arial" w:hAnsi="Arial"/>
          <w:sz w:val="18"/>
          <w:szCs w:val="18"/>
          <w:color w:val="auto"/>
        </w:rPr>
      </w:pPr>
    </w:p>
    <w:p>
      <w:pPr>
        <w:ind w:left="1420" w:hanging="639"/>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Released Parties.</w:t>
      </w:r>
    </w:p>
    <w:p>
      <w:pPr>
        <w:spacing w:after="0" w:line="229" w:lineRule="exact"/>
        <w:rPr>
          <w:rFonts w:ascii="Arial" w:cs="Arial" w:eastAsia="Arial" w:hAnsi="Arial"/>
          <w:sz w:val="18"/>
          <w:szCs w:val="18"/>
          <w:color w:val="auto"/>
        </w:rPr>
      </w:pPr>
    </w:p>
    <w:p>
      <w:pPr>
        <w:ind w:left="1420" w:hanging="638"/>
        <w:spacing w:after="0"/>
        <w:tabs>
          <w:tab w:leader="none" w:pos="14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Party</w:t>
      </w:r>
      <w:r>
        <w:rPr>
          <w:rFonts w:ascii="Arial" w:cs="Arial" w:eastAsia="Arial" w:hAnsi="Arial"/>
          <w:sz w:val="18"/>
          <w:szCs w:val="18"/>
          <w:color w:val="auto"/>
        </w:rPr>
        <w:t>” or “</w:t>
      </w:r>
      <w:r>
        <w:rPr>
          <w:rFonts w:ascii="Arial" w:cs="Arial" w:eastAsia="Arial" w:hAnsi="Arial"/>
          <w:sz w:val="18"/>
          <w:szCs w:val="18"/>
          <w:u w:val="single" w:color="auto"/>
          <w:color w:val="auto"/>
        </w:rPr>
        <w:t>Released Parties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760" w:right="440" w:hanging="445"/>
        <w:spacing w:after="0" w:line="235" w:lineRule="auto"/>
        <w:tabs>
          <w:tab w:leader="none" w:pos="1753" w:val="left"/>
        </w:tabs>
        <w:numPr>
          <w:ilvl w:val="3"/>
          <w:numId w:val="121"/>
        </w:numPr>
        <w:rPr>
          <w:rFonts w:ascii="Arial" w:cs="Arial" w:eastAsia="Arial" w:hAnsi="Arial"/>
          <w:sz w:val="18"/>
          <w:szCs w:val="18"/>
          <w:color w:val="auto"/>
        </w:rPr>
      </w:pPr>
      <w:r>
        <w:rPr>
          <w:rFonts w:ascii="Arial" w:cs="Arial" w:eastAsia="Arial" w:hAnsi="Arial"/>
          <w:sz w:val="18"/>
          <w:szCs w:val="18"/>
          <w:color w:val="auto"/>
        </w:rPr>
        <w:t>Sotera Health Company; Sotera Health Holdings, LLC; Sotera Health LLC; Sotera Health Topco Parent, LP; and Sotera Health GP, LLC;</w:t>
      </w:r>
    </w:p>
    <w:p>
      <w:pPr>
        <w:spacing w:after="0" w:line="202" w:lineRule="exact"/>
        <w:rPr>
          <w:rFonts w:ascii="Arial" w:cs="Arial" w:eastAsia="Arial" w:hAnsi="Arial"/>
          <w:sz w:val="18"/>
          <w:szCs w:val="18"/>
          <w:color w:val="auto"/>
        </w:rPr>
      </w:pPr>
    </w:p>
    <w:p>
      <w:pPr>
        <w:ind w:left="1760" w:hanging="505"/>
        <w:spacing w:after="0"/>
        <w:tabs>
          <w:tab w:leader="none" w:pos="1760" w:val="left"/>
        </w:tabs>
        <w:numPr>
          <w:ilvl w:val="3"/>
          <w:numId w:val="121"/>
        </w:numPr>
        <w:rPr>
          <w:rFonts w:ascii="Arial" w:cs="Arial" w:eastAsia="Arial" w:hAnsi="Arial"/>
          <w:sz w:val="18"/>
          <w:szCs w:val="18"/>
          <w:color w:val="auto"/>
        </w:rPr>
      </w:pPr>
      <w:r>
        <w:rPr>
          <w:rFonts w:ascii="Arial" w:cs="Arial" w:eastAsia="Arial" w:hAnsi="Arial"/>
          <w:sz w:val="18"/>
          <w:szCs w:val="18"/>
          <w:color w:val="auto"/>
        </w:rPr>
        <w:t>Sterigenics U.S., LLC;</w:t>
      </w:r>
    </w:p>
    <w:p>
      <w:pPr>
        <w:spacing w:after="0" w:line="211" w:lineRule="exact"/>
        <w:rPr>
          <w:rFonts w:ascii="Arial" w:cs="Arial" w:eastAsia="Arial" w:hAnsi="Arial"/>
          <w:sz w:val="18"/>
          <w:szCs w:val="18"/>
          <w:color w:val="auto"/>
        </w:rPr>
      </w:pPr>
    </w:p>
    <w:p>
      <w:pPr>
        <w:ind w:left="1760" w:right="100" w:hanging="565"/>
        <w:spacing w:after="0" w:line="228" w:lineRule="auto"/>
        <w:tabs>
          <w:tab w:leader="none" w:pos="1747" w:val="left"/>
        </w:tabs>
        <w:numPr>
          <w:ilvl w:val="2"/>
          <w:numId w:val="121"/>
        </w:numPr>
        <w:rPr>
          <w:rFonts w:ascii="Arial" w:cs="Arial" w:eastAsia="Arial" w:hAnsi="Arial"/>
          <w:sz w:val="17"/>
          <w:szCs w:val="17"/>
          <w:color w:val="auto"/>
        </w:rPr>
      </w:pPr>
      <w:r>
        <w:rPr>
          <w:rFonts w:ascii="Arial" w:cs="Arial" w:eastAsia="Arial" w:hAnsi="Arial"/>
          <w:sz w:val="17"/>
          <w:szCs w:val="17"/>
          <w:color w:val="auto"/>
        </w:rPr>
        <w:t>Warburg Pincus LLC and all funds, general partners and management companies associated with or managed by Warburg Pincus LLC or its affiliates, including without limitation Warburg Pincus Private Equity XI, LP; Warburg Pincus Private Equity XI-B, LP; Warburg Pincus Private Equity XI- C, LP; Warburg Pincus XI Partners, LP; WP XI Partners, LP; Warburg Pincus XI, LP; WP 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members, officers, directors, partners, and limited partners;</w:t>
      </w:r>
    </w:p>
    <w:p>
      <w:pPr>
        <w:spacing w:after="0" w:line="205" w:lineRule="exact"/>
        <w:rPr>
          <w:sz w:val="20"/>
          <w:szCs w:val="20"/>
          <w:color w:val="auto"/>
        </w:rPr>
      </w:pPr>
    </w:p>
    <w:p>
      <w:pPr>
        <w:ind w:left="1760" w:right="360" w:hanging="553"/>
        <w:spacing w:after="0" w:line="232" w:lineRule="auto"/>
        <w:tabs>
          <w:tab w:leader="none" w:pos="173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GTCR LLC; GTCR L.L.C.; and GTCR Golder Rauner II, L.L.C.; all funds associated with GTCR LLC, GTCR L.L.C., and GTCR Golder Rauner II, L.L.C., including without limitation GTCR Fund IX/A, L.P.; GTCR Fund IX/B, L.P.; GTCR Co-Invest III, L.P.; GTCR Fund XI/A LP; GTCR Fund XI/CLP; GTCR Partners XI/A&amp;C LP; GTCR Co-Invest XI LP; GTCR Investment XI LLC; GTCR Fund XI/A VCOC; GTCR Fund XI/C VCOC; and the respective affiliates, managers, limited partners, and members of (i) GTCR LLC, GTCR L.L.C., and GTCR Golder Rauner II, L.L.C.; and (ii) the funds associated with GTCR LLC, GTCR L.L.C., and GTCR Golder Rauner II, LLC;</w:t>
      </w:r>
    </w:p>
    <w:p>
      <w:pPr>
        <w:sectPr>
          <w:pgSz w:w="11900" w:h="16838" w:orient="portrait"/>
          <w:cols w:equalWidth="0" w:num="1">
            <w:col w:w="10820"/>
          </w:cols>
          <w:pgMar w:left="320" w:top="1066" w:right="759" w:bottom="1440" w:gutter="0" w:footer="0" w:header="0"/>
        </w:sectPr>
      </w:pPr>
    </w:p>
    <w:bookmarkStart w:id="89" w:name="page90"/>
    <w:bookmarkEnd w:id="89"/>
    <w:p>
      <w:pPr>
        <w:ind w:left="1320" w:right="260" w:hanging="492"/>
        <w:spacing w:after="0" w:line="254" w:lineRule="auto"/>
        <w:tabs>
          <w:tab w:leader="none" w:pos="1308" w:val="left"/>
        </w:tabs>
        <w:numPr>
          <w:ilvl w:val="3"/>
          <w:numId w:val="123"/>
        </w:numPr>
        <w:rPr>
          <w:rFonts w:ascii="Arial" w:cs="Arial" w:eastAsia="Arial" w:hAnsi="Arial"/>
          <w:sz w:val="16"/>
          <w:szCs w:val="16"/>
          <w:color w:val="auto"/>
        </w:rPr>
      </w:pPr>
      <w:r>
        <w:rPr>
          <w:rFonts w:ascii="Arial" w:cs="Arial" w:eastAsia="Arial" w:hAnsi="Arial"/>
          <w:sz w:val="16"/>
          <w:szCs w:val="16"/>
          <w:color w:val="auto"/>
        </w:rPr>
        <w:t>all of the foregoing entities’ affiliates, predecessors, successors, direct or indirect parents, direct or indirect subsidiaries, assigns, as well as any current, former, direct or indirect partners, managers, members, shareholders, employees, directors, officers, management companies, incorporators, investors, landlords, tenants, suppliers, service providers, customers, consultants, attorneys, agents, declarants, affiants, or other representatives, including (without limitation) *****; and</w:t>
      </w:r>
    </w:p>
    <w:p>
      <w:pPr>
        <w:spacing w:after="0" w:line="274" w:lineRule="exact"/>
        <w:rPr>
          <w:rFonts w:ascii="Arial" w:cs="Arial" w:eastAsia="Arial" w:hAnsi="Arial"/>
          <w:sz w:val="16"/>
          <w:szCs w:val="16"/>
          <w:color w:val="auto"/>
        </w:rPr>
      </w:pPr>
    </w:p>
    <w:p>
      <w:pPr>
        <w:ind w:left="1320" w:right="700" w:hanging="553"/>
        <w:spacing w:after="0" w:line="235" w:lineRule="auto"/>
        <w:tabs>
          <w:tab w:leader="none" w:pos="1309" w:val="left"/>
        </w:tabs>
        <w:numPr>
          <w:ilvl w:val="3"/>
          <w:numId w:val="123"/>
        </w:numPr>
        <w:rPr>
          <w:rFonts w:ascii="Arial" w:cs="Arial" w:eastAsia="Arial" w:hAnsi="Arial"/>
          <w:sz w:val="18"/>
          <w:szCs w:val="18"/>
          <w:color w:val="auto"/>
        </w:rPr>
      </w:pPr>
      <w:r>
        <w:rPr>
          <w:rFonts w:ascii="Arial" w:cs="Arial" w:eastAsia="Arial" w:hAnsi="Arial"/>
          <w:sz w:val="18"/>
          <w:szCs w:val="18"/>
          <w:color w:val="auto"/>
        </w:rPr>
        <w:t>The Released Parties’ insurers, including (without limitation) Steadfast Insurance Company/Zurich Insurance Group and National Union/AIG.</w:t>
      </w:r>
    </w:p>
    <w:p>
      <w:pPr>
        <w:spacing w:after="0" w:line="202" w:lineRule="exact"/>
        <w:rPr>
          <w:rFonts w:ascii="Arial" w:cs="Arial" w:eastAsia="Arial" w:hAnsi="Arial"/>
          <w:sz w:val="18"/>
          <w:szCs w:val="18"/>
          <w:color w:val="auto"/>
        </w:rPr>
      </w:pPr>
    </w:p>
    <w:p>
      <w:pPr>
        <w:ind w:left="980" w:hanging="638"/>
        <w:spacing w:after="0"/>
        <w:tabs>
          <w:tab w:leader="none" w:pos="9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Released Parties are intended third-party beneficiaries of this Release Agreement.</w:t>
      </w:r>
    </w:p>
    <w:p>
      <w:pPr>
        <w:spacing w:after="0" w:line="221" w:lineRule="exact"/>
        <w:rPr>
          <w:rFonts w:ascii="Arial" w:cs="Arial" w:eastAsia="Arial" w:hAnsi="Arial"/>
          <w:sz w:val="18"/>
          <w:szCs w:val="18"/>
          <w:color w:val="auto"/>
        </w:rPr>
      </w:pPr>
    </w:p>
    <w:p>
      <w:pPr>
        <w:ind w:left="980" w:hanging="639"/>
        <w:spacing w:after="0"/>
        <w:tabs>
          <w:tab w:leader="none" w:pos="9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Covered Claims. </w:t>
      </w:r>
      <w:r>
        <w:rPr>
          <w:rFonts w:ascii="Arial" w:cs="Arial" w:eastAsia="Arial" w:hAnsi="Arial"/>
          <w:sz w:val="18"/>
          <w:szCs w:val="18"/>
          <w:color w:val="auto"/>
        </w:rPr>
        <w:t>“</w:t>
      </w:r>
      <w:r>
        <w:rPr>
          <w:rFonts w:ascii="Arial" w:cs="Arial" w:eastAsia="Arial" w:hAnsi="Arial"/>
          <w:sz w:val="18"/>
          <w:szCs w:val="18"/>
          <w:u w:val="single" w:color="auto"/>
          <w:color w:val="auto"/>
        </w:rPr>
        <w:t>Covered Claims</w:t>
      </w:r>
      <w:r>
        <w:rPr>
          <w:rFonts w:ascii="Arial" w:cs="Arial" w:eastAsia="Arial" w:hAnsi="Arial"/>
          <w:sz w:val="18"/>
          <w:szCs w:val="18"/>
          <w:color w:val="auto"/>
        </w:rPr>
        <w:t>” means the following categories of claims:</w:t>
      </w:r>
    </w:p>
    <w:p>
      <w:pPr>
        <w:spacing w:after="0" w:line="229" w:lineRule="exact"/>
        <w:rPr>
          <w:rFonts w:ascii="Arial" w:cs="Arial" w:eastAsia="Arial" w:hAnsi="Arial"/>
          <w:sz w:val="18"/>
          <w:szCs w:val="18"/>
          <w:b w:val="1"/>
          <w:bCs w:val="1"/>
          <w:color w:val="auto"/>
        </w:rPr>
      </w:pPr>
    </w:p>
    <w:p>
      <w:pPr>
        <w:jc w:val="both"/>
        <w:ind w:left="1000" w:hanging="658"/>
        <w:spacing w:after="0" w:line="214" w:lineRule="auto"/>
        <w:tabs>
          <w:tab w:leader="none" w:pos="99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lawsuits, disputes, and/or claims, whether filed or unfiled, that have been, or may in the future be, asserted against the Settling Defendants or any other Released Parties regarding injuries arising from, relating to, or in connection with the alleged use or emissions of ethylene oxide from Sterigenics U.S., LLC’s or any other Released Party’s operations in or around Willowbrook, Illinois (“</w:t>
      </w:r>
      <w:r>
        <w:rPr>
          <w:rFonts w:ascii="Arial" w:cs="Arial" w:eastAsia="Arial" w:hAnsi="Arial"/>
          <w:sz w:val="18"/>
          <w:szCs w:val="18"/>
          <w:u w:val="single" w:color="auto"/>
          <w:color w:val="auto"/>
        </w:rPr>
        <w:t>Willowbrook Claims</w:t>
      </w:r>
      <w:r>
        <w:rPr>
          <w:rFonts w:ascii="Arial" w:cs="Arial" w:eastAsia="Arial" w:hAnsi="Arial"/>
          <w:sz w:val="18"/>
          <w:szCs w:val="18"/>
          <w:color w:val="auto"/>
        </w:rPr>
        <w:t>”). For the avoidance of doubt, Willowbrook Claims include (without limitation) injuries—arising from, relating to, or in connection with the alleged use or emissions of ethylene oxide from Sterigenics U.S., LLC’s Willowbrook facility—that may develop in the future, whether the alleged injury relates to an entirely new diagnosis or a recurrence of an earlier medical diagnosis. Willowbrook Claims do not include claims regarding injuries that are unrelated or not alleged to be related to ethylene oxide exposure in or around Willowbrook, Illinois (e.g., a claim arising from a vehicle accident between a Released Party and an employee driving a vehicle belonging to a Settling Defendant). The Willowbrook Claims include (without limitation):</w:t>
      </w:r>
    </w:p>
    <w:p>
      <w:pPr>
        <w:spacing w:after="0" w:line="206" w:lineRule="exact"/>
        <w:rPr>
          <w:rFonts w:ascii="Arial" w:cs="Arial" w:eastAsia="Arial" w:hAnsi="Arial"/>
          <w:sz w:val="18"/>
          <w:szCs w:val="18"/>
          <w:color w:val="auto"/>
        </w:rPr>
      </w:pPr>
    </w:p>
    <w:p>
      <w:pPr>
        <w:ind w:left="1300" w:hanging="485"/>
        <w:spacing w:after="0"/>
        <w:tabs>
          <w:tab w:leader="none" w:pos="130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 xml:space="preserve">The judgment in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w:t>
      </w:r>
    </w:p>
    <w:p>
      <w:pPr>
        <w:spacing w:after="0" w:line="225" w:lineRule="exact"/>
        <w:rPr>
          <w:rFonts w:ascii="Arial" w:cs="Arial" w:eastAsia="Arial" w:hAnsi="Arial"/>
          <w:sz w:val="18"/>
          <w:szCs w:val="18"/>
          <w:color w:val="auto"/>
        </w:rPr>
      </w:pPr>
    </w:p>
    <w:p>
      <w:pPr>
        <w:ind w:left="1320" w:right="280" w:hanging="505"/>
        <w:spacing w:after="0" w:line="224" w:lineRule="auto"/>
        <w:tabs>
          <w:tab w:leader="none" w:pos="131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All claims against Sterigenics U.S., LLC as successor to Sterigenics EO, Inc., IBA S&amp;I, Inc., Griffith Micro Science, Inc., Micro-Biotrol, Inc., and Micro- Biotrol Company related to the operations of any of those companies in or around Willowbrook, Illinois; and</w:t>
      </w:r>
    </w:p>
    <w:p>
      <w:pPr>
        <w:spacing w:after="0" w:line="203" w:lineRule="exact"/>
        <w:rPr>
          <w:rFonts w:ascii="Arial" w:cs="Arial" w:eastAsia="Arial" w:hAnsi="Arial"/>
          <w:sz w:val="18"/>
          <w:szCs w:val="18"/>
          <w:color w:val="auto"/>
        </w:rPr>
      </w:pPr>
    </w:p>
    <w:p>
      <w:pPr>
        <w:ind w:left="1320" w:right="420" w:hanging="566"/>
        <w:spacing w:after="0" w:line="248" w:lineRule="auto"/>
        <w:tabs>
          <w:tab w:leader="none" w:pos="1307" w:val="left"/>
        </w:tabs>
        <w:numPr>
          <w:ilvl w:val="3"/>
          <w:numId w:val="125"/>
        </w:numPr>
        <w:rPr>
          <w:rFonts w:ascii="Arial" w:cs="Arial" w:eastAsia="Arial" w:hAnsi="Arial"/>
          <w:sz w:val="16"/>
          <w:szCs w:val="16"/>
          <w:color w:val="auto"/>
        </w:rPr>
      </w:pPr>
      <w:r>
        <w:rPr>
          <w:rFonts w:ascii="Arial" w:cs="Arial" w:eastAsia="Arial" w:hAnsi="Arial"/>
          <w:sz w:val="16"/>
          <w:szCs w:val="16"/>
          <w:color w:val="auto"/>
        </w:rPr>
        <w:t xml:space="preserve">The following cases in the Circuit Court of Cook County, Illinois: </w:t>
      </w:r>
      <w:r>
        <w:rPr>
          <w:rFonts w:ascii="Arial" w:cs="Arial" w:eastAsia="Arial" w:hAnsi="Arial"/>
          <w:sz w:val="16"/>
          <w:szCs w:val="16"/>
          <w:i w:val="1"/>
          <w:iCs w:val="1"/>
          <w:color w:val="auto"/>
        </w:rPr>
        <w:t>Kamuda v. Sterigenics U.S., LLC</w:t>
      </w:r>
      <w:r>
        <w:rPr>
          <w:rFonts w:ascii="Arial" w:cs="Arial" w:eastAsia="Arial" w:hAnsi="Arial"/>
          <w:sz w:val="16"/>
          <w:szCs w:val="16"/>
          <w:color w:val="auto"/>
        </w:rPr>
        <w:t xml:space="preserve">, Case No. 2018-L-010475; </w:t>
      </w:r>
      <w:r>
        <w:rPr>
          <w:rFonts w:ascii="Arial" w:cs="Arial" w:eastAsia="Arial" w:hAnsi="Arial"/>
          <w:sz w:val="16"/>
          <w:szCs w:val="16"/>
          <w:i w:val="1"/>
          <w:iCs w:val="1"/>
          <w:color w:val="auto"/>
        </w:rPr>
        <w:t>Fornek v. Sterigenics U.S., LLC</w:t>
      </w:r>
      <w:r>
        <w:rPr>
          <w:rFonts w:ascii="Arial" w:cs="Arial" w:eastAsia="Arial" w:hAnsi="Arial"/>
          <w:sz w:val="16"/>
          <w:szCs w:val="16"/>
          <w:color w:val="auto"/>
        </w:rPr>
        <w:t xml:space="preserve">, Case No. 2018-L-010744; and </w:t>
      </w:r>
      <w:r>
        <w:rPr>
          <w:rFonts w:ascii="Arial" w:cs="Arial" w:eastAsia="Arial" w:hAnsi="Arial"/>
          <w:sz w:val="16"/>
          <w:szCs w:val="16"/>
          <w:i w:val="1"/>
          <w:iCs w:val="1"/>
          <w:color w:val="auto"/>
        </w:rPr>
        <w:t>Schumacher v. Sterigenics U.S., LLC</w:t>
      </w:r>
      <w:r>
        <w:rPr>
          <w:rFonts w:ascii="Arial" w:cs="Arial" w:eastAsia="Arial" w:hAnsi="Arial"/>
          <w:sz w:val="16"/>
          <w:szCs w:val="16"/>
          <w:color w:val="auto"/>
        </w:rPr>
        <w:t>, Case No.</w:t>
      </w:r>
    </w:p>
    <w:p>
      <w:pPr>
        <w:ind w:left="1320"/>
        <w:spacing w:after="0"/>
        <w:rPr>
          <w:rFonts w:ascii="Arial" w:cs="Arial" w:eastAsia="Arial" w:hAnsi="Arial"/>
          <w:sz w:val="16"/>
          <w:szCs w:val="16"/>
          <w:color w:val="auto"/>
        </w:rPr>
      </w:pPr>
      <w:r>
        <w:rPr>
          <w:rFonts w:ascii="Arial" w:cs="Arial" w:eastAsia="Arial" w:hAnsi="Arial"/>
          <w:sz w:val="18"/>
          <w:szCs w:val="18"/>
          <w:color w:val="auto"/>
        </w:rPr>
        <w:t>2018-L-011939.</w:t>
      </w:r>
    </w:p>
    <w:p>
      <w:pPr>
        <w:spacing w:after="0" w:line="209" w:lineRule="exact"/>
        <w:rPr>
          <w:rFonts w:ascii="Arial" w:cs="Arial" w:eastAsia="Arial" w:hAnsi="Arial"/>
          <w:sz w:val="16"/>
          <w:szCs w:val="16"/>
          <w:color w:val="auto"/>
        </w:rPr>
      </w:pPr>
    </w:p>
    <w:p>
      <w:pPr>
        <w:jc w:val="both"/>
        <w:ind w:left="1000" w:right="20" w:hanging="658"/>
        <w:spacing w:after="0" w:line="229" w:lineRule="auto"/>
        <w:tabs>
          <w:tab w:leader="none" w:pos="99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Actions, citations, or potential actions or citations to enforce or collect on a judgment or verdict obtained in any case involving Willowbrook Claims, including but not limited to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 pending in the Circuit Court of Cook County, Illinois (Hon. Patrick Heneghan); and</w:t>
      </w:r>
    </w:p>
    <w:p>
      <w:pPr>
        <w:spacing w:after="0" w:line="204" w:lineRule="exact"/>
        <w:rPr>
          <w:rFonts w:ascii="Arial" w:cs="Arial" w:eastAsia="Arial" w:hAnsi="Arial"/>
          <w:sz w:val="18"/>
          <w:szCs w:val="18"/>
          <w:color w:val="auto"/>
        </w:rPr>
      </w:pPr>
    </w:p>
    <w:p>
      <w:pPr>
        <w:jc w:val="both"/>
        <w:ind w:left="1000" w:right="20" w:hanging="658"/>
        <w:spacing w:after="0" w:line="236" w:lineRule="auto"/>
        <w:tabs>
          <w:tab w:leader="none" w:pos="997"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Bachoe v. Sotera Health Co.</w:t>
      </w:r>
      <w:r>
        <w:rPr>
          <w:rFonts w:ascii="Arial" w:cs="Arial" w:eastAsia="Arial" w:hAnsi="Arial"/>
          <w:sz w:val="17"/>
          <w:szCs w:val="17"/>
          <w:color w:val="auto"/>
        </w:rPr>
        <w:t xml:space="preserve"> action filed on November 1, 2022 in the Circuit Court of Cook County, Illinois (Case No. 2022-L-009825), the </w:t>
      </w:r>
      <w:r>
        <w:rPr>
          <w:rFonts w:ascii="Arial" w:cs="Arial" w:eastAsia="Arial" w:hAnsi="Arial"/>
          <w:sz w:val="17"/>
          <w:szCs w:val="17"/>
          <w:i w:val="1"/>
          <w:iCs w:val="1"/>
          <w:color w:val="auto"/>
        </w:rPr>
        <w:t>Bachoe v. Sotera Health Co.</w:t>
      </w:r>
      <w:r>
        <w:rPr>
          <w:rFonts w:ascii="Arial" w:cs="Arial" w:eastAsia="Arial" w:hAnsi="Arial"/>
          <w:sz w:val="17"/>
          <w:szCs w:val="17"/>
          <w:color w:val="auto"/>
        </w:rPr>
        <w:t xml:space="preserve"> action now pending in the U.S. District Court for the Northern District of Illinois (Case No. 22-cv-06292), and any other actual or potential actions seeking to challenge any transfer of assets to or from Sterigenics U.S., LLC, Sotera Health LLC, or any other Released Party to any other entity or person.</w:t>
      </w:r>
    </w:p>
    <w:p>
      <w:pPr>
        <w:spacing w:after="0" w:line="199" w:lineRule="exact"/>
        <w:rPr>
          <w:rFonts w:ascii="Arial" w:cs="Arial" w:eastAsia="Arial" w:hAnsi="Arial"/>
          <w:sz w:val="17"/>
          <w:szCs w:val="17"/>
          <w:color w:val="auto"/>
        </w:rPr>
      </w:pPr>
    </w:p>
    <w:p>
      <w:pPr>
        <w:jc w:val="both"/>
        <w:ind w:left="-300" w:firstLine="642"/>
        <w:spacing w:after="0" w:line="220" w:lineRule="auto"/>
        <w:tabs>
          <w:tab w:leader="none" w:pos="861"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terms of this Release Agreement immediately become binding upon the Releasor’s execution hereof (such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execution,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and without any further action required;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Covered Claims, as described in Paragraphs 6 and 7, will not become effective unless and until the Settlement Funding Date occurs (as defined in the Settlement Agreement). If the Settling Defendants opt to terminate the Settlement Agreement, this Release Agreement will be null and void </w:t>
      </w:r>
      <w:r>
        <w:rPr>
          <w:rFonts w:ascii="Arial" w:cs="Arial" w:eastAsia="Arial" w:hAnsi="Arial"/>
          <w:sz w:val="18"/>
          <w:szCs w:val="18"/>
          <w:i w:val="1"/>
          <w:iCs w:val="1"/>
          <w:color w:val="auto"/>
        </w:rPr>
        <w:t>nunc pro tunc</w:t>
      </w:r>
      <w:r>
        <w:rPr>
          <w:rFonts w:ascii="Arial" w:cs="Arial" w:eastAsia="Arial" w:hAnsi="Arial"/>
          <w:sz w:val="18"/>
          <w:szCs w:val="18"/>
          <w:color w:val="auto"/>
        </w:rPr>
        <w:t xml:space="preserve"> and returned to Releasor’s Counsel.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5" w:lineRule="exact"/>
        <w:rPr>
          <w:sz w:val="20"/>
          <w:szCs w:val="20"/>
          <w:color w:val="auto"/>
        </w:rPr>
      </w:pPr>
    </w:p>
    <w:p>
      <w:pPr>
        <w:jc w:val="both"/>
        <w:ind w:left="-300" w:firstLine="642"/>
        <w:spacing w:after="0" w:line="236" w:lineRule="auto"/>
        <w:tabs>
          <w:tab w:leader="none" w:pos="861"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 xml:space="preserve">Complete and Final Release. </w:t>
      </w:r>
      <w:r>
        <w:rPr>
          <w:rFonts w:ascii="Arial" w:cs="Arial" w:eastAsia="Arial" w:hAnsi="Arial"/>
          <w:sz w:val="17"/>
          <w:szCs w:val="17"/>
          <w:color w:val="auto"/>
        </w:rPr>
        <w:t>As of the Effective Date, in return for the Settlement Amount, the sufficiency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Releasor hereby releases, settles, cancels, discharges, and acknowledges to be fully satisfied any and all claims, demands, rights, actions, suits, damages, and causes of action of whatever kind, nature, or description whatsoever, in law or in equity, whether known or unknown, suspected or unsuspected, which Releasor may now or may hereafter have or assert against Released Parties arising from, relating to, or in connection with the Covered Claims, or based on any of the conduct alleged in the litigation relating to any Covered Claims.</w:t>
      </w:r>
    </w:p>
    <w:p>
      <w:pPr>
        <w:spacing w:after="0" w:line="204" w:lineRule="exact"/>
        <w:rPr>
          <w:sz w:val="20"/>
          <w:szCs w:val="20"/>
          <w:color w:val="auto"/>
        </w:rPr>
      </w:pPr>
    </w:p>
    <w:p>
      <w:pPr>
        <w:jc w:val="both"/>
        <w:ind w:left="1000" w:hanging="658"/>
        <w:spacing w:after="0" w:line="237" w:lineRule="auto"/>
        <w:tabs>
          <w:tab w:leader="none" w:pos="99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Without limiting the foregoing, this Release Agreement includes any and all claims which Releasor may now or may hereafter have or assert against Released Parties for alleged injuries, losses, and damages, including pain and suffering, wrongful death, punitive damages, survivorship, personal injuries, and related damages, and loss of services, consortium,</w:t>
      </w:r>
    </w:p>
    <w:p>
      <w:pPr>
        <w:sectPr>
          <w:pgSz w:w="11900" w:h="16838" w:orient="portrait"/>
          <w:cols w:equalWidth="0" w:num="1">
            <w:col w:w="10380"/>
          </w:cols>
          <w:pgMar w:left="760" w:top="746" w:right="759" w:bottom="1440" w:gutter="0" w:footer="0" w:header="0"/>
        </w:sectPr>
      </w:pPr>
    </w:p>
    <w:bookmarkStart w:id="90" w:name="page91"/>
    <w:bookmarkEnd w:id="90"/>
    <w:p>
      <w:pPr>
        <w:jc w:val="both"/>
        <w:ind w:left="659" w:right="20"/>
        <w:spacing w:after="0" w:line="248" w:lineRule="auto"/>
        <w:rPr>
          <w:sz w:val="20"/>
          <w:szCs w:val="20"/>
          <w:color w:val="auto"/>
        </w:rPr>
      </w:pPr>
      <w:r>
        <w:rPr>
          <w:rFonts w:ascii="Arial" w:cs="Arial" w:eastAsia="Arial" w:hAnsi="Arial"/>
          <w:sz w:val="16"/>
          <w:szCs w:val="16"/>
          <w:color w:val="auto"/>
        </w:rPr>
        <w:t>companionship, and all other intangible losses, whether based in tort, intentional tort, contract, statute, or other theory of recovery, attorneys’ fees and costs, mental or emotional distress, or for hospital, medical, nursing, or other healthcare expenses, lost wages,</w:t>
      </w:r>
    </w:p>
    <w:p>
      <w:pPr>
        <w:jc w:val="both"/>
        <w:ind w:left="659" w:right="20"/>
        <w:spacing w:after="0" w:line="218" w:lineRule="auto"/>
        <w:rPr>
          <w:sz w:val="20"/>
          <w:szCs w:val="20"/>
          <w:color w:val="auto"/>
        </w:rPr>
      </w:pPr>
      <w:r>
        <w:rPr>
          <w:rFonts w:ascii="Arial" w:cs="Arial" w:eastAsia="Arial" w:hAnsi="Arial"/>
          <w:sz w:val="18"/>
          <w:szCs w:val="18"/>
          <w:color w:val="auto"/>
        </w:rPr>
        <w:t>or any other losses or expenses, whether known or unknown, whether already in existence or to arise in the future, anticipated or not, arising from, relating to, or in connection with the Covered Claims, or based on any of the conduct alleged in the litigation relating to any Covered Claims.</w:t>
      </w:r>
    </w:p>
    <w:p>
      <w:pPr>
        <w:spacing w:after="0" w:line="203" w:lineRule="exact"/>
        <w:rPr>
          <w:sz w:val="20"/>
          <w:szCs w:val="20"/>
          <w:color w:val="auto"/>
        </w:rPr>
      </w:pPr>
    </w:p>
    <w:p>
      <w:pPr>
        <w:jc w:val="both"/>
        <w:ind w:left="659" w:right="20" w:hanging="658"/>
        <w:spacing w:after="0" w:line="229" w:lineRule="auto"/>
        <w:tabs>
          <w:tab w:leader="none" w:pos="65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Without limiting the foregoing, this Release Agreement includes any and all claims which Releasor’s spouse (including but not limited to putative or common law spouse or domestic partner), if any, may now or may hereafter have or assert against Released Parties for alleged injuries, losses and damages, including pain and suffering, wrongful death, punitive damages, attorneys’ fees and costs, loss of services, loss of companionship and/or consortium, society or support, mental or emotional distress, or for hospital, medical, or nursing or other healthcare expenses, lost wages, or any other losses and expenses, whether known or unknown, whether already in existence or to arise in the future, arising from, relating to, or in connection with the Covered Claims, or based on any of the conduct alleged in the litigation relating to any Covered Claims.</w:t>
      </w:r>
    </w:p>
    <w:p>
      <w:pPr>
        <w:spacing w:after="0" w:line="206" w:lineRule="exact"/>
        <w:rPr>
          <w:rFonts w:ascii="Arial" w:cs="Arial" w:eastAsia="Arial" w:hAnsi="Arial"/>
          <w:sz w:val="17"/>
          <w:szCs w:val="17"/>
          <w:color w:val="auto"/>
        </w:rPr>
      </w:pPr>
    </w:p>
    <w:p>
      <w:pPr>
        <w:jc w:val="both"/>
        <w:ind w:left="659" w:right="20" w:hanging="658"/>
        <w:spacing w:after="0" w:line="254" w:lineRule="auto"/>
        <w:tabs>
          <w:tab w:leader="none" w:pos="6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Without limiting the foregoing, this Release Agreement includes any and all claims against Released Parties for pecuniary loss, injury, or damage which might accrue to Releasor, his or her estate, and others by virtue of Releasor’s death, whether such claims are pursued directly or indirectly or by some person or persons in a representative capacity, if such claims arise from, relate to, or are in connection with the Covered Claims or based on any of the conduct alleged in the litigation relating to any Covered Claims.</w:t>
      </w:r>
    </w:p>
    <w:p>
      <w:pPr>
        <w:spacing w:after="0" w:line="193" w:lineRule="exact"/>
        <w:rPr>
          <w:rFonts w:ascii="Arial" w:cs="Arial" w:eastAsia="Arial" w:hAnsi="Arial"/>
          <w:sz w:val="16"/>
          <w:szCs w:val="16"/>
          <w:color w:val="auto"/>
        </w:rPr>
      </w:pPr>
    </w:p>
    <w:p>
      <w:pPr>
        <w:jc w:val="both"/>
        <w:ind w:left="659" w:hanging="658"/>
        <w:spacing w:after="0" w:line="242" w:lineRule="auto"/>
        <w:tabs>
          <w:tab w:leader="none" w:pos="65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Without limiting the foregoing, Releasor hereby agrees and covenants that Releasor will never: (i) take any legal or other action to initiate, pursue or maintain, or otherwise attempt to execute upon, collect, or otherwise enforce, any claim against any of the Released Parties constituting, arising from, relating to, or in connection with the Covered Claims, (ii) institute any new legal action against any Released Party relating to any injury Releasor has ever claimed, or may at any time hereafter claim, was caused in whole or in part by any Released Party arising from, relating to, or in connection with the Covered Claims, or based on any of the conduct alleged in the litigation relating to any Covered Claims, whether in the past or in the future, and/or (iii) attempt to execute or collect on, or otherwise enforce, any judgment that has been or may be entered against any Released Party in any legal action described in clause (ii), or (iv) maintain Releasor’s pending legal action(s) against any Released Party.</w:t>
      </w:r>
    </w:p>
    <w:p>
      <w:pPr>
        <w:spacing w:after="0" w:line="216" w:lineRule="exact"/>
        <w:rPr>
          <w:rFonts w:ascii="Arial" w:cs="Arial" w:eastAsia="Arial" w:hAnsi="Arial"/>
          <w:sz w:val="16"/>
          <w:szCs w:val="16"/>
          <w:color w:val="auto"/>
        </w:rPr>
      </w:pPr>
    </w:p>
    <w:p>
      <w:pPr>
        <w:jc w:val="both"/>
        <w:ind w:left="639" w:hanging="639"/>
        <w:spacing w:after="0" w:line="242" w:lineRule="auto"/>
        <w:tabs>
          <w:tab w:leader="none" w:pos="63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Without limiting the foregoing, Releasor acknowledges that the Settlement Amount shall constitute the full compensation which will ever be paid to Releasor by or on behalf of the Released Parties by reason of the claims which have been or which may ever be made against Released Parties arising out of or by reason of or in any manner connected with Releasor’s injuries arising from, relating to, or in connection with the Covered Claims, or based on any of the conduct alleged in the litigation relating to any Covered Claims; that neither Sterigenics U.S., LLC nor any Released Party shall have any responsibility whatsoever for the payment of Releasor’s attorneys’ fees or costs, or for the payment of any taxes owed by Releasor, or for satisfaction of liens associated with the allocation of settlement funds; that this Release Agreement is final and binding upon Releasor; and that no Covered Claim, derivative or otherwise, may ever be brought against Released Parties.</w:t>
      </w:r>
    </w:p>
    <w:p>
      <w:pPr>
        <w:spacing w:after="0" w:line="203" w:lineRule="exact"/>
        <w:rPr>
          <w:rFonts w:ascii="Arial" w:cs="Arial" w:eastAsia="Arial" w:hAnsi="Arial"/>
          <w:sz w:val="16"/>
          <w:szCs w:val="16"/>
          <w:color w:val="auto"/>
        </w:rPr>
      </w:pPr>
    </w:p>
    <w:p>
      <w:pPr>
        <w:jc w:val="both"/>
        <w:ind w:left="659" w:right="20" w:hanging="658"/>
        <w:spacing w:after="0" w:line="223" w:lineRule="auto"/>
        <w:tabs>
          <w:tab w:leader="none" w:pos="65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Without limiting the foregoing, Releasor agrees to release any rights he or she may have regarding claims relating to or arising from any Covered Claim that Releasor does not know or suspect to exist at this time and that, if known by him or her, would materially affect his or her settlement with the Released Parties. Releasor expressly and knowingly waives any statutory or judicial provisions, rulings, or mandates to the contrary.</w:t>
      </w:r>
    </w:p>
    <w:p>
      <w:pPr>
        <w:spacing w:after="0" w:line="202" w:lineRule="exact"/>
        <w:rPr>
          <w:rFonts w:ascii="Arial" w:cs="Arial" w:eastAsia="Arial" w:hAnsi="Arial"/>
          <w:sz w:val="18"/>
          <w:szCs w:val="18"/>
          <w:color w:val="auto"/>
        </w:rPr>
      </w:pPr>
    </w:p>
    <w:p>
      <w:pPr>
        <w:jc w:val="both"/>
        <w:ind w:left="659" w:right="20" w:hanging="658"/>
        <w:spacing w:after="0" w:line="254" w:lineRule="auto"/>
        <w:tabs>
          <w:tab w:leader="none" w:pos="65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Without limiting the foregoing, Releasor agrees to release all claims, past, present, and future, alleged or that could have been alleged against insurers that have any of the Released Parties as a named insured, including but not limited to Steadfast Insurance Company/Zurich Insurance Group and National Union/AIG, relating to or arising from any Covered Claims. For the avoidance of doubt, Released Parties maintain, and do not release, any claims they may have against their insurers.</w:t>
      </w:r>
    </w:p>
    <w:p>
      <w:pPr>
        <w:spacing w:after="0" w:line="193" w:lineRule="exact"/>
        <w:rPr>
          <w:rFonts w:ascii="Arial" w:cs="Arial" w:eastAsia="Arial" w:hAnsi="Arial"/>
          <w:sz w:val="16"/>
          <w:szCs w:val="16"/>
          <w:color w:val="auto"/>
        </w:rPr>
      </w:pPr>
    </w:p>
    <w:p>
      <w:pPr>
        <w:jc w:val="both"/>
        <w:ind w:left="659" w:right="20" w:hanging="658"/>
        <w:spacing w:after="0" w:line="216" w:lineRule="auto"/>
        <w:tabs>
          <w:tab w:leader="none" w:pos="6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Without limiting the foregoing, if Releasor settles with any third party against whom claims are not released through this Release Agreement (collectively, “</w:t>
      </w:r>
      <w:r>
        <w:rPr>
          <w:rFonts w:ascii="Arial" w:cs="Arial" w:eastAsia="Arial" w:hAnsi="Arial"/>
          <w:sz w:val="18"/>
          <w:szCs w:val="18"/>
          <w:u w:val="single" w:color="auto"/>
          <w:color w:val="auto"/>
        </w:rPr>
        <w:t>Non-Settling Third Parties</w:t>
      </w:r>
      <w:r>
        <w:rPr>
          <w:rFonts w:ascii="Arial" w:cs="Arial" w:eastAsia="Arial" w:hAnsi="Arial"/>
          <w:sz w:val="18"/>
          <w:szCs w:val="18"/>
          <w:color w:val="auto"/>
        </w:rPr>
        <w:t>”), Releasor will obtain a release from the Non-Settling Third Party for Released Parties for any claim for indemnity, contribution, or similar theory. If Releasor obtains a judgment against any Non-Settling Third Party, Releasor will not execute on any portion of that judgment that the Non-Settling Third Party successfully seeks from Released Parties via a claim for indemnity, contribution, or similar claim. Releasor agrees to indemnify, defend, and hold harmless Released Parties for any claims for</w:t>
      </w:r>
    </w:p>
    <w:p>
      <w:pPr>
        <w:sectPr>
          <w:pgSz w:w="11900" w:h="16838" w:orient="portrait"/>
          <w:cols w:equalWidth="0" w:num="1">
            <w:col w:w="10039"/>
          </w:cols>
          <w:pgMar w:left="1101" w:top="746" w:right="759" w:bottom="1440" w:gutter="0" w:footer="0" w:header="0"/>
        </w:sectPr>
      </w:pPr>
    </w:p>
    <w:bookmarkStart w:id="91" w:name="page92"/>
    <w:bookmarkEnd w:id="91"/>
    <w:p>
      <w:pPr>
        <w:ind w:left="1000" w:right="20"/>
        <w:spacing w:after="0" w:line="235" w:lineRule="auto"/>
        <w:rPr>
          <w:sz w:val="20"/>
          <w:szCs w:val="20"/>
          <w:color w:val="auto"/>
        </w:rPr>
      </w:pPr>
      <w:r>
        <w:rPr>
          <w:rFonts w:ascii="Arial" w:cs="Arial" w:eastAsia="Arial" w:hAnsi="Arial"/>
          <w:sz w:val="18"/>
          <w:szCs w:val="18"/>
          <w:color w:val="auto"/>
        </w:rPr>
        <w:t>indemnity or contribution brought by any Non-Settling Third Parties against Released Parties arising from or relating to the Covered Claims.</w:t>
      </w:r>
    </w:p>
    <w:p>
      <w:pPr>
        <w:spacing w:after="0" w:line="198" w:lineRule="exact"/>
        <w:rPr>
          <w:sz w:val="20"/>
          <w:szCs w:val="20"/>
          <w:color w:val="auto"/>
        </w:rPr>
      </w:pPr>
    </w:p>
    <w:p>
      <w:pPr>
        <w:jc w:val="both"/>
        <w:ind w:left="-300" w:firstLine="642"/>
        <w:spacing w:after="0" w:line="245" w:lineRule="auto"/>
        <w:tabs>
          <w:tab w:leader="none" w:pos="861"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 xml:space="preserve">Other Claims. </w:t>
      </w:r>
      <w:r>
        <w:rPr>
          <w:rFonts w:ascii="Arial" w:cs="Arial" w:eastAsia="Arial" w:hAnsi="Arial"/>
          <w:sz w:val="16"/>
          <w:szCs w:val="16"/>
          <w:color w:val="auto"/>
        </w:rPr>
        <w:t>Releasor understands and agrees that certain of Releasor’s relatives, dependents, or others might have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claims against Released Parties for the alleged injuries of Releasor. Releasor understands and agrees that by executing this Release Agreement and receiving the Settlement Amount, Releasor has received fair, just, and adequate consideration for any claims for the alleged injuries of Releasor which may arise from, relate to, or are in connection with the Covered Claims, or based on any of the conduct alleged in the litigation relating to any Covered Claims. Releasor understands and agrees that by executing this Release Agreement, Releasor has forever released, discharged, and given up any and all claims that Releasor or others might have against Released Parties for the alleged injuries of Releasor arising from, relating to, or in connection with the Covered Claims, or based on any of the conduct alleged in the litigation relating to any Covered Claims.</w:t>
      </w:r>
    </w:p>
    <w:p>
      <w:pPr>
        <w:spacing w:after="0" w:line="201" w:lineRule="exact"/>
        <w:rPr>
          <w:sz w:val="20"/>
          <w:szCs w:val="20"/>
          <w:color w:val="auto"/>
        </w:rPr>
      </w:pPr>
    </w:p>
    <w:p>
      <w:pPr>
        <w:jc w:val="both"/>
        <w:ind w:left="1000" w:right="20" w:hanging="658"/>
        <w:spacing w:after="0" w:line="222" w:lineRule="auto"/>
        <w:tabs>
          <w:tab w:leader="none" w:pos="99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Releasor specifically agrees to indemnify, defend, and hold the Released Parties harmless from and against any claim arising from, relating to, or in connection with the Covered Claims that may be brought by any beneficiary or next of kin of Releasor. Releasor agrees that such indemnification includes the payment of all reasonable costs and expenses of investigation, defense, settlement, attorneys’ fees, judgments, court costs, and all other costs and expenses of defending any such claim or other claim for wrongful death.</w:t>
      </w:r>
    </w:p>
    <w:p>
      <w:pPr>
        <w:spacing w:after="0" w:line="203" w:lineRule="exact"/>
        <w:rPr>
          <w:rFonts w:ascii="Arial" w:cs="Arial" w:eastAsia="Arial" w:hAnsi="Arial"/>
          <w:sz w:val="18"/>
          <w:szCs w:val="18"/>
          <w:color w:val="auto"/>
        </w:rPr>
      </w:pPr>
    </w:p>
    <w:p>
      <w:pPr>
        <w:jc w:val="both"/>
        <w:ind w:left="1000" w:hanging="658"/>
        <w:spacing w:after="0" w:line="214" w:lineRule="auto"/>
        <w:tabs>
          <w:tab w:leader="none" w:pos="99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Releasor warrants and represents that, apart from any liens held by the Lien Holders as defined in Paragraph 9(a) below, no claims or portion of the claims which are the subject of this Release Agreement have been assigned or otherwise transferred to any person or legal entity which claims a right thereunder as against the Releasor and/or Released Parties. Releasor specifically warrants and represents that to the extent any bankruptcy action is pending, Releasor will take all necessary actions to notify the Bankruptcy Court of this settlement and will fulfill all obligations to the Bankruptcy Court. Releasor agrees to indemnify, defend, and hold harmless Released Parties from any loss, claim, expense, demand, or cause of action of any kind or character, including costs and attorneys’ fees, that result from the failure, if any, of Releasor to fulfill his or her obligations to any bankruptcy court. Upon request, Releasor further agrees that he or she will provide written confirmation that he or she fulfilled any bankruptcy court obligations.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RELEASOR ACKNOWLEDGMENTS</w:t>
      </w:r>
    </w:p>
    <w:p>
      <w:pPr>
        <w:spacing w:after="0" w:line="225" w:lineRule="exact"/>
        <w:rPr>
          <w:sz w:val="20"/>
          <w:szCs w:val="20"/>
          <w:color w:val="auto"/>
        </w:rPr>
      </w:pPr>
    </w:p>
    <w:p>
      <w:pPr>
        <w:ind w:left="980" w:hanging="638"/>
        <w:spacing w:after="0"/>
        <w:tabs>
          <w:tab w:leader="none" w:pos="9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Acknowledgements by Releasor</w:t>
      </w:r>
      <w:r>
        <w:rPr>
          <w:rFonts w:ascii="Arial" w:cs="Arial" w:eastAsia="Arial" w:hAnsi="Arial"/>
          <w:sz w:val="18"/>
          <w:szCs w:val="18"/>
          <w:color w:val="auto"/>
        </w:rPr>
        <w:t>.</w:t>
      </w:r>
    </w:p>
    <w:p>
      <w:pPr>
        <w:spacing w:after="0" w:line="229" w:lineRule="exact"/>
        <w:rPr>
          <w:sz w:val="20"/>
          <w:szCs w:val="20"/>
          <w:color w:val="auto"/>
        </w:rPr>
      </w:pPr>
    </w:p>
    <w:p>
      <w:pPr>
        <w:jc w:val="both"/>
        <w:ind w:left="1000" w:right="20" w:hanging="658"/>
        <w:spacing w:after="0" w:line="219" w:lineRule="auto"/>
        <w:tabs>
          <w:tab w:leader="none" w:pos="9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RELEASOR IS ENTERING INTO THIS RELEASE AGREEMENT FREELY AND VOLUNTARILY, WITHOUT BEING INDUCED, PRESSURED OR INFLUENCED BY, AND WITHOUT RELYING ON ANY REPRESENTATION OR OTHER STATEMENT MADE BY OR ON BEHALF OF ANY RELEASED PARTY OR ANY OTHER PERSON. RELEASOR UNDERSTANDS, ACKNOWLEDGES AND ACCEPTS THE NATURE, VALUE AND SUFFICIENCY OF THE CONSIDERATION DESCRIBED IN THIS RELEASE AGREEMENT.</w:t>
      </w:r>
    </w:p>
    <w:p>
      <w:pPr>
        <w:spacing w:after="0" w:line="203" w:lineRule="exact"/>
        <w:rPr>
          <w:rFonts w:ascii="Arial" w:cs="Arial" w:eastAsia="Arial" w:hAnsi="Arial"/>
          <w:sz w:val="18"/>
          <w:szCs w:val="18"/>
          <w:color w:val="auto"/>
        </w:rPr>
      </w:pPr>
    </w:p>
    <w:p>
      <w:pPr>
        <w:jc w:val="both"/>
        <w:ind w:left="1000" w:hanging="658"/>
        <w:spacing w:after="0" w:line="228" w:lineRule="auto"/>
        <w:tabs>
          <w:tab w:leader="none" w:pos="99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Releasor acknowledges that Releasor has been informed of the terms of Settlement Agreement and has read this Release Agreement, and Releasor has had an opportunity to obtain advice from, and ask questions of, a lawyer of Releasor’s choosing regarding the terms and legal effect of the Settlement Agreement, this Release Agreement and Releasor’s decision to accept the Settlement Amount. Releasor further acknowledges that Releasor has been informed that the effectiveness of this Release Agreement and payment to Releasor of Releasor’s settlement allocation are contingent on certain events and conditions outside of Releasor’s control, including, but not limited to, the decisions by other plaintiffs alleging Covered Claims to participate in a settlement with Released Parties. Releasor acknowledges that Releasor has been informed of all these matters by Releasor’s Counsel and such counsel has answered all of Releasor’s questions (if any) to Releasor’s satisfaction.</w:t>
      </w:r>
    </w:p>
    <w:p>
      <w:pPr>
        <w:spacing w:after="0" w:line="201" w:lineRule="exact"/>
        <w:rPr>
          <w:rFonts w:ascii="Arial" w:cs="Arial" w:eastAsia="Arial" w:hAnsi="Arial"/>
          <w:sz w:val="17"/>
          <w:szCs w:val="17"/>
          <w:color w:val="auto"/>
        </w:rPr>
      </w:pPr>
    </w:p>
    <w:p>
      <w:pPr>
        <w:ind w:left="1000" w:right="20" w:hanging="658"/>
        <w:spacing w:after="0" w:line="235" w:lineRule="auto"/>
        <w:tabs>
          <w:tab w:leader="none" w:pos="9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Releasor understands that Releasor has the right to make an informed decision regarding whether to sign this Release Agreement. Releasor acknowledges that Releasor understands this Release Agreement.</w:t>
      </w:r>
    </w:p>
    <w:p>
      <w:pPr>
        <w:spacing w:after="0" w:line="202" w:lineRule="exact"/>
        <w:rPr>
          <w:rFonts w:ascii="Arial" w:cs="Arial" w:eastAsia="Arial" w:hAnsi="Arial"/>
          <w:sz w:val="18"/>
          <w:szCs w:val="18"/>
          <w:color w:val="auto"/>
        </w:rPr>
      </w:pPr>
    </w:p>
    <w:p>
      <w:pPr>
        <w:jc w:val="both"/>
        <w:ind w:left="980" w:right="20" w:hanging="639"/>
        <w:spacing w:after="0" w:line="252" w:lineRule="auto"/>
        <w:tabs>
          <w:tab w:leader="none" w:pos="97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Releasor further understands that any amounts paid to Releasor will be transmitted from the qualified settlement fund to Releasor’s Counsel, in trust for Releasor, to be disbursed to Releasor subject to: (a) any applicable lien holdbacks or payment obligations, including to Releasor’s counsel; (b) the payment of any court-ordered common cost assessments; and (c) the provisions of the Settlement Agreement and this Release Agreement. Released Parties take and bear no responsibility for the maintenance of funds in trust, or distribution or withholding of settlement funds from Releasor’s Counsel to Releasor.</w:t>
      </w:r>
    </w:p>
    <w:p>
      <w:pPr>
        <w:spacing w:after="0" w:line="195" w:lineRule="exact"/>
        <w:rPr>
          <w:rFonts w:ascii="Arial" w:cs="Arial" w:eastAsia="Arial" w:hAnsi="Arial"/>
          <w:sz w:val="16"/>
          <w:szCs w:val="16"/>
          <w:color w:val="auto"/>
        </w:rPr>
      </w:pPr>
    </w:p>
    <w:p>
      <w:pPr>
        <w:ind w:left="1000" w:right="20" w:hanging="658"/>
        <w:spacing w:after="0" w:line="235" w:lineRule="auto"/>
        <w:tabs>
          <w:tab w:leader="none" w:pos="9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Releasor understands and acknowledges that Released Parties and their counsel have played no role in, and take and bear no responsibility for, the allocation of settlement amounts among settling</w:t>
      </w:r>
    </w:p>
    <w:p>
      <w:pPr>
        <w:sectPr>
          <w:pgSz w:w="11900" w:h="16838" w:orient="portrait"/>
          <w:cols w:equalWidth="0" w:num="1">
            <w:col w:w="10380"/>
          </w:cols>
          <w:pgMar w:left="760" w:top="746" w:right="759" w:bottom="1440" w:gutter="0" w:footer="0" w:header="0"/>
        </w:sectPr>
      </w:pPr>
    </w:p>
    <w:bookmarkStart w:id="92" w:name="page93"/>
    <w:bookmarkEnd w:id="92"/>
    <w:p>
      <w:pPr>
        <w:ind w:left="1440"/>
        <w:spacing w:after="0"/>
        <w:rPr>
          <w:sz w:val="20"/>
          <w:szCs w:val="20"/>
          <w:color w:val="auto"/>
        </w:rPr>
      </w:pPr>
      <w:r>
        <w:rPr>
          <w:rFonts w:ascii="Arial" w:cs="Arial" w:eastAsia="Arial" w:hAnsi="Arial"/>
          <w:sz w:val="18"/>
          <w:szCs w:val="18"/>
          <w:color w:val="auto"/>
        </w:rPr>
        <w:t>plaintiffs or the allocation of settlement funds between settling plaintiffs and settling plaintiffs’ counsel.</w:t>
      </w:r>
    </w:p>
    <w:p>
      <w:pPr>
        <w:spacing w:after="0" w:line="225" w:lineRule="exact"/>
        <w:rPr>
          <w:sz w:val="20"/>
          <w:szCs w:val="20"/>
          <w:color w:val="auto"/>
        </w:rPr>
      </w:pPr>
    </w:p>
    <w:p>
      <w:pPr>
        <w:ind w:left="1440" w:hanging="658"/>
        <w:spacing w:after="0" w:line="258" w:lineRule="auto"/>
        <w:tabs>
          <w:tab w:leader="none" w:pos="143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Releasor acknowledges that Releasor’s Counsel have been available to assist Releasor in the informed consent process and to answer any questions that Releasor might have had about the Settlement Agreement or this Release Agreement.</w:t>
      </w:r>
    </w:p>
    <w:p>
      <w:pPr>
        <w:spacing w:after="0" w:line="187" w:lineRule="exact"/>
        <w:rPr>
          <w:rFonts w:ascii="Arial" w:cs="Arial" w:eastAsia="Arial" w:hAnsi="Arial"/>
          <w:sz w:val="17"/>
          <w:szCs w:val="17"/>
          <w:color w:val="auto"/>
        </w:rPr>
      </w:pPr>
    </w:p>
    <w:p>
      <w:pPr>
        <w:jc w:val="both"/>
        <w:ind w:left="1440" w:hanging="658"/>
        <w:spacing w:after="0" w:line="222" w:lineRule="auto"/>
        <w:tabs>
          <w:tab w:leader="none" w:pos="143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parties acknowledge and agree that the Settlement Amount is intended to constitute damages for personal physical injuries or physical sickness within the meaning of section 104 of the Internal Revenue Code of 1986, as amended, arising from the physical injuries alleged to have resulted from the Covered Claims, and no portion of the proceeds paid to Releasor from the Settlement Amount is intended to be for punitive or exemplary damages, nor prejudgment or post-judgment interest, nor non-physical injuries.</w:t>
      </w:r>
    </w:p>
    <w:p>
      <w:pPr>
        <w:spacing w:after="0" w:line="203" w:lineRule="exact"/>
        <w:rPr>
          <w:rFonts w:ascii="Arial" w:cs="Arial" w:eastAsia="Arial" w:hAnsi="Arial"/>
          <w:sz w:val="18"/>
          <w:szCs w:val="18"/>
          <w:color w:val="auto"/>
        </w:rPr>
      </w:pPr>
    </w:p>
    <w:p>
      <w:pPr>
        <w:jc w:val="both"/>
        <w:ind w:left="1440" w:hanging="658"/>
        <w:spacing w:after="0" w:line="254" w:lineRule="auto"/>
        <w:tabs>
          <w:tab w:leader="none" w:pos="143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Releasor understands and agrees that a substantial reason for Settling Defendants agreeing to pay and paying the money referenced in this Release Agreement is the settlement, release, and elimination of any and all claims that Releasor or others have now or in the future might have, absent this Release Agreement, for the alleged injuries of Releasor arising from, relating to, or in connection with the Covered Claims, or based on any of the conduct alleged in the litigation relating to any Covered Claims.</w:t>
      </w:r>
    </w:p>
    <w:p>
      <w:pPr>
        <w:spacing w:after="0" w:line="189"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LIENS AND SUBROGATION CLAIMS</w:t>
      </w:r>
    </w:p>
    <w:p>
      <w:pPr>
        <w:spacing w:after="0" w:line="225" w:lineRule="exact"/>
        <w:rPr>
          <w:sz w:val="20"/>
          <w:szCs w:val="20"/>
          <w:color w:val="auto"/>
        </w:rPr>
      </w:pPr>
    </w:p>
    <w:p>
      <w:pPr>
        <w:ind w:left="1420" w:hanging="638"/>
        <w:spacing w:after="0"/>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Releasor’s Responsibility for Liens and Subrogation Claims</w:t>
      </w:r>
      <w:r>
        <w:rPr>
          <w:rFonts w:ascii="Arial" w:cs="Arial" w:eastAsia="Arial" w:hAnsi="Arial"/>
          <w:sz w:val="18"/>
          <w:szCs w:val="18"/>
          <w:color w:val="auto"/>
        </w:rPr>
        <w:t>.</w:t>
      </w:r>
    </w:p>
    <w:p>
      <w:pPr>
        <w:spacing w:after="0" w:line="229" w:lineRule="exact"/>
        <w:rPr>
          <w:sz w:val="20"/>
          <w:szCs w:val="20"/>
          <w:color w:val="auto"/>
        </w:rPr>
      </w:pPr>
    </w:p>
    <w:p>
      <w:pPr>
        <w:jc w:val="both"/>
        <w:ind w:left="1440" w:right="20" w:hanging="658"/>
        <w:spacing w:after="0" w:line="218" w:lineRule="auto"/>
        <w:tabs>
          <w:tab w:leader="none" w:pos="143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Releasor is solely responsible for any liens and agrees to pay or has paid any liens held by or amounts owed to third parties, whether persons or entities, including any state or federal government entities, individual healthcare providers, insurers, litigation funders, or attorneys (all hereinafter “</w:t>
      </w:r>
      <w:r>
        <w:rPr>
          <w:rFonts w:ascii="Arial" w:cs="Arial" w:eastAsia="Arial" w:hAnsi="Arial"/>
          <w:sz w:val="17"/>
          <w:szCs w:val="17"/>
          <w:u w:val="single" w:color="auto"/>
          <w:color w:val="auto"/>
        </w:rPr>
        <w:t>Lien Holders</w:t>
      </w:r>
      <w:r>
        <w:rPr>
          <w:rFonts w:ascii="Arial" w:cs="Arial" w:eastAsia="Arial" w:hAnsi="Arial"/>
          <w:sz w:val="22"/>
          <w:szCs w:val="22"/>
          <w:color w:val="auto"/>
          <w:vertAlign w:val="superscript"/>
        </w:rPr>
        <w:t>1</w:t>
      </w:r>
      <w:r>
        <w:rPr>
          <w:rFonts w:ascii="Arial" w:cs="Arial" w:eastAsia="Arial" w:hAnsi="Arial"/>
          <w:sz w:val="17"/>
          <w:szCs w:val="17"/>
          <w:color w:val="auto"/>
        </w:rPr>
        <w:t>”), arising out of or related to Releasor’s Covered Claims. Releasor also agrees that any liens based on any hospital or medical expenses incurred as a result of Releasor’s claimed injuries arising from, relating to, or in connection with the Covered Claims will be resolved and/or satisfied by Releasor. Releasor will indemnify, defend, and hold harmless Released Parties from claims by any Lien Holders, actual or asserted.</w:t>
      </w:r>
    </w:p>
    <w:p>
      <w:pPr>
        <w:spacing w:after="0" w:line="205" w:lineRule="exact"/>
        <w:rPr>
          <w:rFonts w:ascii="Arial" w:cs="Arial" w:eastAsia="Arial" w:hAnsi="Arial"/>
          <w:sz w:val="17"/>
          <w:szCs w:val="17"/>
          <w:color w:val="auto"/>
        </w:rPr>
      </w:pPr>
    </w:p>
    <w:p>
      <w:pPr>
        <w:jc w:val="both"/>
        <w:ind w:left="1440" w:right="20" w:hanging="658"/>
        <w:spacing w:after="0" w:line="229" w:lineRule="auto"/>
        <w:tabs>
          <w:tab w:leader="none" w:pos="143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Releasor agrees that any interest in, lien on, or right of subrogation in his or her Covered Claims by or belonging to any and all entities and individuals, including without limitation any governmental agencies or authorities, attorneys, litigation funders, healthcare providers, and/or insurers, will be satisfied by Releasor’s allocated payment.</w:t>
      </w:r>
    </w:p>
    <w:p>
      <w:pPr>
        <w:spacing w:after="0" w:line="204" w:lineRule="exact"/>
        <w:rPr>
          <w:rFonts w:ascii="Arial" w:cs="Arial" w:eastAsia="Arial" w:hAnsi="Arial"/>
          <w:sz w:val="18"/>
          <w:szCs w:val="18"/>
          <w:color w:val="auto"/>
        </w:rPr>
      </w:pPr>
    </w:p>
    <w:p>
      <w:pPr>
        <w:ind w:left="1440" w:right="20" w:hanging="658"/>
        <w:spacing w:after="0" w:line="258" w:lineRule="auto"/>
        <w:tabs>
          <w:tab w:leader="none" w:pos="143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Releasor agrees that Released Parties are not responsible for liens or subrogation claims against any settlement payments or the costs and expenses incurred in resolving any such liens or subrogation claims against settlement payments.</w:t>
      </w:r>
    </w:p>
    <w:p>
      <w:pPr>
        <w:spacing w:after="0" w:line="187" w:lineRule="exact"/>
        <w:rPr>
          <w:rFonts w:ascii="Arial" w:cs="Arial" w:eastAsia="Arial" w:hAnsi="Arial"/>
          <w:sz w:val="17"/>
          <w:szCs w:val="17"/>
          <w:color w:val="auto"/>
        </w:rPr>
      </w:pPr>
    </w:p>
    <w:p>
      <w:pPr>
        <w:jc w:val="both"/>
        <w:ind w:left="1420" w:right="20" w:hanging="639"/>
        <w:spacing w:after="0" w:line="245" w:lineRule="auto"/>
        <w:tabs>
          <w:tab w:leader="none" w:pos="141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Releasor acknowledges that lien resolution may take place pursuant to a Medicare global model for any Medicare-entitled Releasor receiving payment under the Release Agreement. Releasor and Releasor’s Counsel agree to follow any centralized protocols to coordinate and aggregate the resolution of all Releasor’s lien obligations, including Medicare.</w:t>
      </w:r>
    </w:p>
    <w:p>
      <w:pPr>
        <w:spacing w:after="0" w:line="184" w:lineRule="exact"/>
        <w:rPr>
          <w:rFonts w:ascii="Arial" w:cs="Arial" w:eastAsia="Arial" w:hAnsi="Arial"/>
          <w:sz w:val="17"/>
          <w:szCs w:val="17"/>
          <w:color w:val="auto"/>
        </w:rPr>
      </w:pPr>
    </w:p>
    <w:p>
      <w:pPr>
        <w:jc w:val="both"/>
        <w:ind w:left="1440" w:right="20" w:hanging="658"/>
        <w:spacing w:after="0" w:line="238" w:lineRule="auto"/>
        <w:tabs>
          <w:tab w:leader="none" w:pos="143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Releasor understands and agrees that as a condition to the disbursement of the allocated settlement funds to Releasor, Releasor, through Releasor’s Counsel or a lien resolution administrator retained by Releasor’s Counsel on behalf of Releasor, shall ensure that: (1) any and all known medical liens, claims arising from medical expenses, past, present, and/or future, and/or other liens including but not restricted to liens and/or claims by any Lien Holder (hereinafter “</w:t>
      </w:r>
      <w:r>
        <w:rPr>
          <w:rFonts w:ascii="Arial" w:cs="Arial" w:eastAsia="Arial" w:hAnsi="Arial"/>
          <w:sz w:val="16"/>
          <w:szCs w:val="16"/>
          <w:u w:val="single" w:color="auto"/>
          <w:color w:val="auto"/>
        </w:rPr>
        <w:t>Liens</w:t>
      </w:r>
      <w:r>
        <w:rPr>
          <w:rFonts w:ascii="Arial" w:cs="Arial" w:eastAsia="Arial" w:hAnsi="Arial"/>
          <w:sz w:val="16"/>
          <w:szCs w:val="16"/>
          <w:color w:val="auto"/>
        </w:rPr>
        <w:t>”), incurred as a result of Releasor’s claims or claimed injuries arising from, relating to, or in connection with the Covered Claims have been, or will be, resolved, or that a holdback amount has been agreed to with Medicare, and (2) each Lien asserted by a state or federal government, individual healthcare provider, insurer, litigation funders, and/or attorney Lien Holder has been, or will be, resolved. In addition to the foregoing, Releasor, through Releasor’s Counsel or a lien resolution administrator retained by Releasor’s Counsel on behalf of</w:t>
      </w:r>
    </w:p>
    <w:p>
      <w:pPr>
        <w:spacing w:after="0" w:line="1" w:lineRule="exact"/>
        <w:rPr>
          <w:sz w:val="20"/>
          <w:szCs w:val="20"/>
          <w:color w:val="auto"/>
        </w:rPr>
      </w:pPr>
    </w:p>
    <w:p>
      <w:pPr>
        <w:ind w:left="1440" w:right="20"/>
        <w:spacing w:after="0" w:line="237" w:lineRule="auto"/>
        <w:rPr>
          <w:sz w:val="20"/>
          <w:szCs w:val="20"/>
          <w:color w:val="auto"/>
        </w:rPr>
      </w:pPr>
      <w:r>
        <w:rPr>
          <w:rFonts w:ascii="Arial" w:cs="Arial" w:eastAsia="Arial" w:hAnsi="Arial"/>
          <w:sz w:val="16"/>
          <w:szCs w:val="16"/>
          <w:color w:val="auto"/>
        </w:rPr>
        <w:t>Releasor, shall cooperate fully with Released Parties, their attorneys and agents by executing any and all documents and providing any additional information required by or on behalf of the Releasor to comply with mandatory reporting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47" w:lineRule="exact"/>
        <w:rPr>
          <w:sz w:val="20"/>
          <w:szCs w:val="20"/>
          <w:color w:val="auto"/>
        </w:rPr>
      </w:pPr>
    </w:p>
    <w:p>
      <w:pPr>
        <w:jc w:val="both"/>
        <w:ind w:left="140" w:right="20" w:hanging="7"/>
        <w:spacing w:after="0" w:line="252" w:lineRule="auto"/>
        <w:tabs>
          <w:tab w:leader="none" w:pos="251" w:val="left"/>
        </w:tabs>
        <w:numPr>
          <w:ilvl w:val="0"/>
          <w:numId w:val="136"/>
        </w:numPr>
        <w:rPr>
          <w:rFonts w:ascii="Arial" w:cs="Arial" w:eastAsia="Arial" w:hAnsi="Arial"/>
          <w:sz w:val="21"/>
          <w:szCs w:val="21"/>
          <w:color w:val="auto"/>
          <w:vertAlign w:val="superscript"/>
        </w:rPr>
      </w:pPr>
      <w:r>
        <w:rPr>
          <w:rFonts w:ascii="Arial" w:cs="Arial" w:eastAsia="Arial" w:hAnsi="Arial"/>
          <w:sz w:val="16"/>
          <w:szCs w:val="16"/>
          <w:color w:val="auto"/>
        </w:rPr>
        <w:t>For purposes of this Release Agreement, the term Lien Holder shall expressly include (without limitation) the following: workers’ compensation carriers, health insurers, healthcare providers, Medicare, Medicaid, the U.S. Department of Veterans Affairs, the U.S. Department of Defense, TRICARE, Indian Health Services, litigation funders, attorneys, and any other private or public individual, entity, or program that holds liens or is owed payment arising out of or related to Releasor’s claimed injuries arising from, relating to, or in connection with the Covered Claims.</w:t>
      </w:r>
    </w:p>
    <w:p>
      <w:pPr>
        <w:sectPr>
          <w:pgSz w:w="11900" w:h="16838" w:orient="portrait"/>
          <w:cols w:equalWidth="0" w:num="1">
            <w:col w:w="10820"/>
          </w:cols>
          <w:pgMar w:left="320" w:top="746" w:right="759" w:bottom="1440" w:gutter="0" w:footer="0" w:header="0"/>
        </w:sectPr>
      </w:pPr>
    </w:p>
    <w:bookmarkStart w:id="93" w:name="page94"/>
    <w:bookmarkEnd w:id="93"/>
    <w:p>
      <w:pPr>
        <w:jc w:val="both"/>
        <w:ind w:left="1000" w:hanging="658"/>
        <w:spacing w:after="0" w:line="217" w:lineRule="auto"/>
        <w:tabs>
          <w:tab w:leader="none" w:pos="9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Releasor further agrees to cooperate fully with Released Parties, their attorneys and agents by executing any and all documents and providing any additional information required by or on behalf of the Releasor to comply with the mandatory Medicare reporting requirements of Section 111 of the Medicare, Medicaid and SCHIP Extension Act of 2007 (“</w:t>
      </w:r>
      <w:r>
        <w:rPr>
          <w:rFonts w:ascii="Arial" w:cs="Arial" w:eastAsia="Arial" w:hAnsi="Arial"/>
          <w:sz w:val="18"/>
          <w:szCs w:val="18"/>
          <w:u w:val="single" w:color="auto"/>
          <w:color w:val="auto"/>
        </w:rPr>
        <w:t>MMSEA § 111</w:t>
      </w:r>
      <w:r>
        <w:rPr>
          <w:rFonts w:ascii="Arial" w:cs="Arial" w:eastAsia="Arial" w:hAnsi="Arial"/>
          <w:sz w:val="18"/>
          <w:szCs w:val="18"/>
          <w:color w:val="auto"/>
        </w:rPr>
        <w:t>”). If Releasor is found to be Medicare eligible, Sterigenics U.S., LLC, as the Responsible Reporting Entity (under the provisions of MMSEA § 111) shall report the settlement in accordance with MMSEA § 111, and will share the same with Releasor’s Counsel. Releasor further specifically releases and relinquishes any and all right to and claim for any private cause of action pursuant to 42 U.S.C. § 1395y(b)(3)(A).</w:t>
      </w:r>
    </w:p>
    <w:p>
      <w:pPr>
        <w:spacing w:after="0" w:line="201" w:lineRule="exact"/>
        <w:rPr>
          <w:rFonts w:ascii="Arial" w:cs="Arial" w:eastAsia="Arial" w:hAnsi="Arial"/>
          <w:sz w:val="18"/>
          <w:szCs w:val="18"/>
          <w:color w:val="auto"/>
        </w:rPr>
      </w:pPr>
    </w:p>
    <w:p>
      <w:pPr>
        <w:ind w:left="1000" w:right="20" w:hanging="658"/>
        <w:spacing w:after="0" w:line="289" w:lineRule="auto"/>
        <w:tabs>
          <w:tab w:leader="none" w:pos="9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addition, Releasor expressly agrees and undertakes to indemnify, defend, and hold harmless the Released Parties from all costs and expenses incurred on account of any claims, demands, rights or causes of action by any other person or entity claiming:</w:t>
      </w:r>
    </w:p>
    <w:p>
      <w:pPr>
        <w:spacing w:after="0" w:line="164" w:lineRule="exact"/>
        <w:rPr>
          <w:rFonts w:ascii="Arial" w:cs="Arial" w:eastAsia="Arial" w:hAnsi="Arial"/>
          <w:sz w:val="16"/>
          <w:szCs w:val="16"/>
          <w:color w:val="auto"/>
        </w:rPr>
      </w:pPr>
    </w:p>
    <w:p>
      <w:pPr>
        <w:ind w:left="1300" w:hanging="425"/>
        <w:spacing w:after="0"/>
        <w:tabs>
          <w:tab w:leader="none" w:pos="13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 right on behalf of or through the Releasor as against the Released Parties;</w:t>
      </w:r>
    </w:p>
    <w:p>
      <w:pPr>
        <w:spacing w:after="0" w:line="225" w:lineRule="exact"/>
        <w:rPr>
          <w:rFonts w:ascii="Arial" w:cs="Arial" w:eastAsia="Arial" w:hAnsi="Arial"/>
          <w:sz w:val="18"/>
          <w:szCs w:val="18"/>
          <w:color w:val="auto"/>
        </w:rPr>
      </w:pPr>
    </w:p>
    <w:p>
      <w:pPr>
        <w:ind w:left="1320" w:hanging="505"/>
        <w:spacing w:after="0"/>
        <w:tabs>
          <w:tab w:leader="none" w:pos="13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 Lien upon, subrogated interest in, or right or entitlement to the proceeds of the settlement;</w:t>
      </w:r>
    </w:p>
    <w:p>
      <w:pPr>
        <w:spacing w:after="0" w:line="225" w:lineRule="exact"/>
        <w:rPr>
          <w:sz w:val="20"/>
          <w:szCs w:val="20"/>
          <w:color w:val="auto"/>
        </w:rPr>
      </w:pPr>
    </w:p>
    <w:p>
      <w:pPr>
        <w:ind w:left="1320" w:right="880" w:hanging="565"/>
        <w:spacing w:after="0" w:line="235" w:lineRule="auto"/>
        <w:tabs>
          <w:tab w:leader="none" w:pos="130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right to reimbursement or subrogation for any reason arising out of the consideration payable under this Release Agreement;</w:t>
      </w:r>
    </w:p>
    <w:p>
      <w:pPr>
        <w:spacing w:after="0" w:line="202" w:lineRule="exact"/>
        <w:rPr>
          <w:sz w:val="20"/>
          <w:szCs w:val="20"/>
          <w:color w:val="auto"/>
        </w:rPr>
      </w:pPr>
    </w:p>
    <w:p>
      <w:pPr>
        <w:ind w:left="1320" w:right="420" w:hanging="553"/>
        <w:spacing w:after="0" w:line="244" w:lineRule="auto"/>
        <w:tabs>
          <w:tab w:leader="none" w:pos="129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 right to recovery by, or reimbursement to, the appropriate funds for conditional payments made or to be made by The Centers for Medicare and Medicaid Services (such payments, “</w:t>
      </w:r>
      <w:r>
        <w:rPr>
          <w:rFonts w:ascii="Arial" w:cs="Arial" w:eastAsia="Arial" w:hAnsi="Arial"/>
          <w:sz w:val="16"/>
          <w:szCs w:val="16"/>
          <w:u w:val="single" w:color="auto"/>
          <w:color w:val="auto"/>
        </w:rPr>
        <w:t>Government Health Payments</w:t>
      </w:r>
      <w:r>
        <w:rPr>
          <w:rFonts w:ascii="Arial" w:cs="Arial" w:eastAsia="Arial" w:hAnsi="Arial"/>
          <w:sz w:val="16"/>
          <w:szCs w:val="16"/>
          <w:color w:val="auto"/>
        </w:rPr>
        <w:t>”) withrespect to covered items and services (or any portion thereof), pursuant to 42 U.S.C. § 1395y(b), and corresponding regulations, including but not limited to 42 CFR § 411.22 and 42 CFR § 411.24, including any amendments thereto or interpretations thereof that may be placed upon such statutes and regulations by any state or federal court (sometimes known as the “Medicare Secondary Payor” laws and program). Releasor expressly agrees that he or she assumes full responsibility for satisfying any and all notification, reimbursement and recovery obligations owed with respect to Government Health Payments; or</w:t>
      </w:r>
    </w:p>
    <w:p>
      <w:pPr>
        <w:spacing w:after="0" w:line="202" w:lineRule="exact"/>
        <w:rPr>
          <w:rFonts w:ascii="Arial" w:cs="Arial" w:eastAsia="Arial" w:hAnsi="Arial"/>
          <w:sz w:val="16"/>
          <w:szCs w:val="16"/>
          <w:color w:val="auto"/>
        </w:rPr>
      </w:pPr>
    </w:p>
    <w:p>
      <w:pPr>
        <w:ind w:left="1320" w:right="220" w:hanging="492"/>
        <w:spacing w:after="0" w:line="246" w:lineRule="auto"/>
        <w:tabs>
          <w:tab w:leader="none" w:pos="1308" w:val="left"/>
        </w:tabs>
        <w:numPr>
          <w:ilvl w:val="2"/>
          <w:numId w:val="139"/>
        </w:numPr>
        <w:rPr>
          <w:rFonts w:ascii="Arial" w:cs="Arial" w:eastAsia="Arial" w:hAnsi="Arial"/>
          <w:sz w:val="18"/>
          <w:szCs w:val="18"/>
          <w:color w:val="auto"/>
        </w:rPr>
      </w:pPr>
      <w:r>
        <w:rPr>
          <w:rFonts w:ascii="Arial" w:cs="Arial" w:eastAsia="Arial" w:hAnsi="Arial"/>
          <w:sz w:val="18"/>
          <w:szCs w:val="18"/>
          <w:color w:val="auto"/>
        </w:rPr>
        <w:t>a right against Released Parties due to the fact that Releasor is, in fact, a party to bankruptcy proceedings at such time as to affect the rights of Released Parties under this Release Agreement.</w:t>
      </w:r>
    </w:p>
    <w:p>
      <w:pPr>
        <w:spacing w:after="0" w:line="196" w:lineRule="exact"/>
        <w:rPr>
          <w:rFonts w:ascii="Arial" w:cs="Arial" w:eastAsia="Arial" w:hAnsi="Arial"/>
          <w:sz w:val="18"/>
          <w:szCs w:val="18"/>
          <w:color w:val="auto"/>
        </w:rPr>
      </w:pPr>
    </w:p>
    <w:p>
      <w:pPr>
        <w:jc w:val="both"/>
        <w:ind w:left="1000" w:hanging="658"/>
        <w:spacing w:after="0" w:line="228" w:lineRule="auto"/>
        <w:tabs>
          <w:tab w:leader="none" w:pos="99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Releasor further expressly agrees and covenants to release, discharge, forever indemnify, defend, and hold harmless the Released Parties and their attorneys from any Liens and/or claims which may arise or may have arisen in favor of Medicare, Medicaid, any other government program or any other governmental entity, federal, state or local, by operation of law or equity, for medical expenses, disability benefits, or any other charge or expense, directly or indirectly relating to Releasor’s injuries arising from, relating to, or in connection with the Covered Claims. The indemnification set forth in this Section specifically includes, but is not limited to, the payment of all reasonable costs and expenses of investigation, defense, settlement, attorney fees, judgments, court costs, and all other costs and expenses of defending such claims. Releasor’s total indemnification obligations under this Release Agreement shall not exceed Releasor’s settlement amount.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25" w:lineRule="exact"/>
        <w:rPr>
          <w:sz w:val="20"/>
          <w:szCs w:val="20"/>
          <w:color w:val="auto"/>
        </w:rPr>
      </w:pPr>
    </w:p>
    <w:p>
      <w:pPr>
        <w:ind w:left="-300" w:right="20" w:firstLine="642"/>
        <w:spacing w:after="0" w:line="237" w:lineRule="auto"/>
        <w:tabs>
          <w:tab w:leader="none" w:pos="87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Good Faith Settlement Determination</w:t>
      </w:r>
      <w:r>
        <w:rPr>
          <w:rFonts w:ascii="Arial" w:cs="Arial" w:eastAsia="Arial" w:hAnsi="Arial"/>
          <w:sz w:val="18"/>
          <w:szCs w:val="18"/>
          <w:color w:val="auto"/>
        </w:rPr>
        <w:t>. If requested by any Released Party, Releasor will cooperate and use best efforts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a Good Faith Settlement Determination.</w:t>
      </w:r>
    </w:p>
    <w:p>
      <w:pPr>
        <w:spacing w:after="0" w:line="198" w:lineRule="exact"/>
        <w:rPr>
          <w:rFonts w:ascii="Arial" w:cs="Arial" w:eastAsia="Arial" w:hAnsi="Arial"/>
          <w:sz w:val="18"/>
          <w:szCs w:val="18"/>
          <w:color w:val="auto"/>
        </w:rPr>
      </w:pPr>
    </w:p>
    <w:p>
      <w:pPr>
        <w:ind w:left="-300" w:right="20" w:firstLine="641"/>
        <w:spacing w:after="0" w:line="237" w:lineRule="auto"/>
        <w:tabs>
          <w:tab w:leader="none" w:pos="863"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Release Agreement shall be governed by and construed in accordance with the law of the State of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choice-of-law rules that would require the application of the law of another jurisdiction.</w:t>
      </w:r>
    </w:p>
    <w:p>
      <w:pPr>
        <w:spacing w:after="0" w:line="198" w:lineRule="exact"/>
        <w:rPr>
          <w:rFonts w:ascii="Arial" w:cs="Arial" w:eastAsia="Arial" w:hAnsi="Arial"/>
          <w:sz w:val="18"/>
          <w:szCs w:val="18"/>
          <w:color w:val="auto"/>
        </w:rPr>
      </w:pPr>
    </w:p>
    <w:p>
      <w:pPr>
        <w:jc w:val="both"/>
        <w:ind w:left="-300" w:firstLine="641"/>
        <w:spacing w:after="0" w:line="237" w:lineRule="auto"/>
        <w:tabs>
          <w:tab w:leader="none" w:pos="87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Competence</w:t>
      </w:r>
      <w:r>
        <w:rPr>
          <w:rFonts w:ascii="Arial" w:cs="Arial" w:eastAsia="Arial" w:hAnsi="Arial"/>
          <w:sz w:val="17"/>
          <w:szCs w:val="17"/>
          <w:color w:val="auto"/>
        </w:rPr>
        <w:t>. Releasor warrants and represents that he or she is of legal age and legally competent to execute this Release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that no promise or condition not contained or expressly referenced in this Release Agreement has been made to him or her, and that Releasor has been fully informed of the terms of this Release Agreement through discussions with Releasor’s Counsel. No term in this Release Agreement shall be construed against any party on the basis that the party drafted the Release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380"/>
          </w:cols>
          <w:pgMar w:left="760" w:top="1003" w:right="759" w:bottom="1440" w:gutter="0" w:footer="0" w:header="0"/>
        </w:sectPr>
      </w:pPr>
    </w:p>
    <w:bookmarkStart w:id="94" w:name="page95"/>
    <w:bookmarkEnd w:id="94"/>
    <w:p>
      <w:pPr>
        <w:ind w:left="120"/>
        <w:spacing w:after="0"/>
        <w:rPr>
          <w:sz w:val="20"/>
          <w:szCs w:val="20"/>
          <w:color w:val="auto"/>
        </w:rPr>
      </w:pPr>
      <w:r>
        <w:rPr>
          <w:rFonts w:ascii="Arial" w:cs="Arial" w:eastAsia="Arial" w:hAnsi="Arial"/>
          <w:sz w:val="16"/>
          <w:szCs w:val="16"/>
          <w:color w:val="auto"/>
        </w:rPr>
        <w:t>Under penalties as provided by law pursuant to Section 1-109 of the Illinois Code of Civil Procedure, the undersigned Releasor certifies that the</w:t>
      </w:r>
    </w:p>
    <w:p>
      <w:pPr>
        <w:spacing w:after="0" w:line="21" w:lineRule="exact"/>
        <w:rPr>
          <w:sz w:val="20"/>
          <w:szCs w:val="20"/>
          <w:color w:val="auto"/>
        </w:rPr>
      </w:pPr>
    </w:p>
    <w:p>
      <w:pPr>
        <w:ind w:left="120" w:right="340"/>
        <w:spacing w:after="0" w:line="226" w:lineRule="auto"/>
        <w:rPr>
          <w:sz w:val="20"/>
          <w:szCs w:val="20"/>
          <w:color w:val="auto"/>
        </w:rPr>
      </w:pPr>
      <w:r>
        <w:rPr>
          <w:rFonts w:ascii="Arial" w:cs="Arial" w:eastAsia="Arial" w:hAnsi="Arial"/>
          <w:sz w:val="18"/>
          <w:szCs w:val="18"/>
          <w:color w:val="auto"/>
        </w:rPr>
        <w:t>statements set forth in this Release Agreement are true and correct, except as to matters therein stated to be on information and belief and as to such matters the undersigned certifies as aforesaid that the Releasor verily believes the same to be true.</w:t>
      </w:r>
    </w:p>
    <w:p>
      <w:pPr>
        <w:spacing w:after="0" w:line="37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so signing, I acknowledge that all provisions have been fully agreed to, understood and comprehended by me, and that I enter into this Release Agreement knowingly and voluntarily for the purpose of making a full and final compromise and settlement of any and all claims arising out of the matters referred to above. This certification shall have the same effect as a verification provided and sworn under oath.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Heather A.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571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RELEASOR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FULL NAME OF RELEASOR: Heather Schumacher</w:t>
      </w:r>
    </w:p>
    <w:p>
      <w:pPr>
        <w:sectPr>
          <w:pgSz w:w="11900" w:h="16838" w:orient="portrait"/>
          <w:cols w:equalWidth="0" w:num="1">
            <w:col w:w="10720"/>
          </w:cols>
          <w:pgMar w:left="320" w:top="733"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-3175</wp:posOffset>
            </wp:positionV>
            <wp:extent cx="1143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3/26/2023</w:t>
      </w:r>
    </w:p>
    <w:p>
      <w:pPr>
        <w:spacing w:after="0" w:line="359" w:lineRule="exact"/>
        <w:rPr>
          <w:sz w:val="20"/>
          <w:szCs w:val="20"/>
          <w:color w:val="auto"/>
        </w:rPr>
      </w:pPr>
    </w:p>
    <w:p>
      <w:pPr>
        <w:sectPr>
          <w:pgSz w:w="11900" w:h="16838" w:orient="portrait"/>
          <w:cols w:equalWidth="0" w:num="2">
            <w:col w:w="1240" w:space="720"/>
            <w:col w:w="8760"/>
          </w:cols>
          <w:pgMar w:left="320" w:top="733" w:right="859" w:bottom="1440" w:gutter="0" w:footer="0" w:header="0"/>
          <w:type w:val="continuous"/>
        </w:sectPr>
      </w:pP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DOB: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8001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SSN: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742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Michael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5717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RELEASOR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FULL NAME OF RELEASOR: Michael Schumacher</w:t>
      </w:r>
    </w:p>
    <w:p>
      <w:pPr>
        <w:spacing w:after="0" w:line="200" w:lineRule="exact"/>
        <w:rPr>
          <w:sz w:val="20"/>
          <w:szCs w:val="20"/>
          <w:color w:val="auto"/>
        </w:rPr>
      </w:pPr>
    </w:p>
    <w:p>
      <w:pPr>
        <w:spacing w:after="0" w:line="33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3/26/2023</w:t>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-20320</wp:posOffset>
            </wp:positionV>
            <wp:extent cx="1143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DOB: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8001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SSN: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7423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Illinois</w:t>
      </w:r>
    </w:p>
    <w:p>
      <w:pPr>
        <w:ind w:left="120"/>
        <w:spacing w:after="0"/>
        <w:rPr>
          <w:sz w:val="20"/>
          <w:szCs w:val="20"/>
          <w:color w:val="auto"/>
        </w:rPr>
      </w:pPr>
      <w:r>
        <w:rPr>
          <w:rFonts w:ascii="Arial" w:cs="Arial" w:eastAsia="Arial" w:hAnsi="Arial"/>
          <w:sz w:val="18"/>
          <w:szCs w:val="18"/>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-71755</wp:posOffset>
            </wp:positionV>
            <wp:extent cx="7969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Lake</w:t>
      </w:r>
    </w:p>
    <w:p>
      <w:pPr>
        <w:spacing w:after="0"/>
        <w:rPr>
          <w:sz w:val="20"/>
          <w:szCs w:val="20"/>
          <w:color w:val="auto"/>
        </w:rPr>
      </w:pPr>
      <w:r>
        <w:rPr>
          <w:rFonts w:ascii="Arial" w:cs="Arial" w:eastAsia="Arial" w:hAnsi="Arial"/>
          <w:sz w:val="18"/>
          <w:szCs w:val="18"/>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-71755</wp:posOffset>
            </wp:positionV>
            <wp:extent cx="7797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ectPr>
          <w:pgSz w:w="11900" w:h="16838" w:orient="portrait"/>
          <w:cols w:equalWidth="0" w:num="1">
            <w:col w:w="10720"/>
          </w:cols>
          <w:pgMar w:left="320" w:top="733"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Release Agreement – Heather and Michael Schumacher</w:t>
      </w:r>
      <w:r>
        <w:rPr>
          <w:rFonts w:ascii="Arial" w:cs="Arial" w:eastAsia="Arial" w:hAnsi="Arial"/>
          <w:sz w:val="16"/>
          <w:szCs w:val="16"/>
          <w:color w:val="auto"/>
        </w:rPr>
        <w:t>]</w:t>
      </w:r>
    </w:p>
    <w:p>
      <w:pPr>
        <w:sectPr>
          <w:pgSz w:w="11900" w:h="16838" w:orient="portrait"/>
          <w:cols w:equalWidth="0" w:num="1">
            <w:col w:w="10720"/>
          </w:cols>
          <w:pgMar w:left="320" w:top="733" w:right="859" w:bottom="1440" w:gutter="0" w:footer="0" w:header="0"/>
          <w:type w:val="continuous"/>
        </w:sectPr>
      </w:pPr>
    </w:p>
    <w:bookmarkStart w:id="95" w:name="page96"/>
    <w:bookmarkEnd w:id="95"/>
    <w:p>
      <w:pPr>
        <w:ind w:left="380"/>
        <w:spacing w:after="0"/>
        <w:rPr>
          <w:sz w:val="20"/>
          <w:szCs w:val="20"/>
          <w:color w:val="auto"/>
        </w:rPr>
      </w:pPr>
      <w:r>
        <w:rPr>
          <w:rFonts w:ascii="Arial" w:cs="Arial" w:eastAsia="Arial" w:hAnsi="Arial"/>
          <w:sz w:val="20"/>
          <w:szCs w:val="20"/>
          <w:color w:val="232323"/>
        </w:rPr>
        <w:t>SETTLING DEFENDANTS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232323"/>
        </w:rPr>
        <w:t>Acknowledged:</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SOTERA HEALTH LLC:</w:t>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Matthew J. Klaben</w:t>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-71755</wp:posOffset>
            </wp:positionV>
            <wp:extent cx="27857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Name: Matthew J. Klaben</w:t>
      </w:r>
    </w:p>
    <w:p>
      <w:pPr>
        <w:spacing w:after="0" w:line="40"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20"/>
          <w:szCs w:val="20"/>
          <w:color w:val="232323"/>
        </w:rPr>
        <w:t>Its:</w:t>
      </w:r>
      <w:r>
        <w:rPr>
          <w:sz w:val="20"/>
          <w:szCs w:val="20"/>
          <w:color w:val="auto"/>
        </w:rPr>
        <w:tab/>
      </w:r>
      <w:r>
        <w:rPr>
          <w:rFonts w:ascii="Arial" w:cs="Arial" w:eastAsia="Arial" w:hAnsi="Arial"/>
          <w:sz w:val="16"/>
          <w:szCs w:val="16"/>
          <w:color w:val="232323"/>
        </w:rPr>
        <w:t>Senior Vice President, General Counsel and Secretary</w:t>
      </w: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STERIGENICS U.S., LLC:</w:t>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Matthew J. Klaben</w:t>
      </w:r>
    </w:p>
    <w:p>
      <w:pPr>
        <w:spacing w:after="0"/>
        <w:rPr>
          <w:sz w:val="20"/>
          <w:szCs w:val="20"/>
          <w:color w:val="auto"/>
        </w:rPr>
      </w:pPr>
      <w:r>
        <w:rPr>
          <w:rFonts w:ascii="Arial" w:cs="Arial" w:eastAsia="Arial" w:hAnsi="Arial"/>
          <w:sz w:val="18"/>
          <w:szCs w:val="18"/>
          <w:color w:val="363636"/>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-71755</wp:posOffset>
            </wp:positionV>
            <wp:extent cx="2785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20"/>
          <w:szCs w:val="20"/>
          <w:color w:val="232323"/>
        </w:rPr>
        <w:t>Name: Matthew J. Klaben</w:t>
      </w:r>
    </w:p>
    <w:p>
      <w:pPr>
        <w:spacing w:after="0" w:line="54"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20"/>
          <w:szCs w:val="20"/>
          <w:color w:val="232323"/>
        </w:rPr>
        <w:t>Its:</w:t>
      </w:r>
      <w:r>
        <w:rPr>
          <w:sz w:val="20"/>
          <w:szCs w:val="20"/>
          <w:color w:val="auto"/>
        </w:rPr>
        <w:tab/>
      </w:r>
      <w:r>
        <w:rPr>
          <w:rFonts w:ascii="Arial" w:cs="Arial" w:eastAsia="Arial" w:hAnsi="Arial"/>
          <w:sz w:val="16"/>
          <w:szCs w:val="16"/>
          <w:color w:val="232323"/>
        </w:rPr>
        <w:t>Senior Vice President, General Counsel and Secretary</w:t>
      </w:r>
    </w:p>
    <w:p>
      <w:pPr>
        <w:sectPr>
          <w:pgSz w:w="11900" w:h="16838" w:orient="portrait"/>
          <w:cols w:equalWidth="0" w:num="1">
            <w:col w:w="10139"/>
          </w:cols>
          <w:pgMar w:left="320" w:top="919" w:right="144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Release Agreement – Heather and Michael Schumacher</w:t>
      </w:r>
      <w:r>
        <w:rPr>
          <w:rFonts w:ascii="Arial" w:cs="Arial" w:eastAsia="Arial" w:hAnsi="Arial"/>
          <w:sz w:val="16"/>
          <w:szCs w:val="16"/>
          <w:color w:val="auto"/>
        </w:rPr>
        <w:t>]</w:t>
      </w:r>
    </w:p>
    <w:p>
      <w:pPr>
        <w:sectPr>
          <w:pgSz w:w="11900" w:h="16838" w:orient="portrait"/>
          <w:cols w:equalWidth="0" w:num="1">
            <w:col w:w="10139"/>
          </w:cols>
          <w:pgMar w:left="320" w:top="919" w:right="1440" w:bottom="723" w:gutter="0" w:footer="0" w:header="0"/>
          <w:type w:val="continuous"/>
        </w:sectPr>
      </w:pPr>
    </w:p>
    <w:bookmarkStart w:id="96" w:name="page97"/>
    <w:bookmarkEnd w:id="96"/>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jc w:val="center"/>
        <w:ind w:right="19"/>
        <w:spacing w:after="0"/>
        <w:rPr>
          <w:sz w:val="20"/>
          <w:szCs w:val="20"/>
          <w:color w:val="auto"/>
        </w:rPr>
      </w:pPr>
      <w:r>
        <w:rPr>
          <w:rFonts w:ascii="Arial" w:cs="Arial" w:eastAsia="Arial" w:hAnsi="Arial"/>
          <w:sz w:val="22"/>
          <w:szCs w:val="22"/>
          <w:color w:val="auto"/>
        </w:rPr>
        <w:t>Form of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ESCROW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among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STERIGENICS U.S., LLC, as Sterigenics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[TBD], as Plaintiffs’ QSF and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CITIBANK, N.A., as Escrow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Dated as of [</w:t>
      </w:r>
      <w:r>
        <w:rPr>
          <w:rFonts w:ascii="Arial" w:cs="Arial" w:eastAsia="Arial" w:hAnsi="Arial"/>
          <w:sz w:val="20"/>
          <w:szCs w:val="20"/>
          <w:color w:val="auto"/>
        </w:rPr>
        <w:t>●</w:t>
      </w:r>
      <w:r>
        <w:rPr>
          <w:rFonts w:ascii="Arial" w:cs="Arial" w:eastAsia="Arial" w:hAnsi="Arial"/>
          <w:sz w:val="20"/>
          <w:szCs w:val="20"/>
          <w:b w:val="1"/>
          <w:bCs w:val="1"/>
          <w:color w:val="auto"/>
        </w:rPr>
        <w:t>], 2023</w:t>
      </w:r>
    </w:p>
    <w:p>
      <w:pPr>
        <w:sectPr>
          <w:pgSz w:w="11900" w:h="16838" w:orient="portrait"/>
          <w:cols w:equalWidth="0" w:num="1">
            <w:col w:w="9019"/>
          </w:cols>
          <w:pgMar w:left="1440" w:top="1440" w:right="1440" w:bottom="1440" w:gutter="0" w:footer="0" w:header="0"/>
        </w:sectPr>
      </w:pPr>
    </w:p>
    <w:bookmarkStart w:id="97" w:name="page98"/>
    <w:bookmarkEnd w:id="97"/>
    <w:p>
      <w:pPr>
        <w:jc w:val="both"/>
        <w:ind w:left="140" w:firstLine="648"/>
        <w:spacing w:after="0" w:line="222" w:lineRule="auto"/>
        <w:rPr>
          <w:sz w:val="20"/>
          <w:szCs w:val="20"/>
          <w:color w:val="auto"/>
        </w:rPr>
      </w:pPr>
      <w:r>
        <w:rPr>
          <w:rFonts w:ascii="Arial" w:cs="Arial" w:eastAsia="Arial" w:hAnsi="Arial"/>
          <w:sz w:val="16"/>
          <w:szCs w:val="16"/>
          <w:b w:val="1"/>
          <w:bCs w:val="1"/>
          <w:color w:val="auto"/>
        </w:rPr>
        <w:t xml:space="preserve">ESCROW AGREEMENT </w:t>
      </w:r>
      <w:r>
        <w:rPr>
          <w:rFonts w:ascii="Arial" w:cs="Arial" w:eastAsia="Arial" w:hAnsi="Arial"/>
          <w:sz w:val="16"/>
          <w:szCs w:val="16"/>
          <w:color w:val="auto"/>
        </w:rPr>
        <w:t>(this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w:t>
      </w:r>
      <w:r>
        <w:rPr>
          <w:rFonts w:ascii="Arial" w:cs="Arial" w:eastAsia="Arial" w:hAnsi="Arial"/>
          <w:sz w:val="16"/>
          <w:szCs w:val="16"/>
          <w:b w:val="1"/>
          <w:bCs w:val="1"/>
          <w:color w:val="auto"/>
        </w:rPr>
        <w:t>●</w:t>
      </w:r>
      <w:r>
        <w:rPr>
          <w:rFonts w:ascii="Arial" w:cs="Arial" w:eastAsia="Arial" w:hAnsi="Arial"/>
          <w:sz w:val="16"/>
          <w:szCs w:val="16"/>
          <w:color w:val="auto"/>
        </w:rPr>
        <w:t>], 2023, by and among [</w:t>
      </w:r>
      <w:r>
        <w:rPr>
          <w:rFonts w:ascii="Arial" w:cs="Arial" w:eastAsia="Arial" w:hAnsi="Arial"/>
          <w:sz w:val="16"/>
          <w:szCs w:val="16"/>
          <w:b w:val="1"/>
          <w:bCs w:val="1"/>
          <w:color w:val="auto"/>
        </w:rPr>
        <w:t xml:space="preserve">● </w:t>
      </w:r>
      <w:r>
        <w:rPr>
          <w:rFonts w:ascii="Arial" w:cs="Arial" w:eastAsia="Arial" w:hAnsi="Arial"/>
          <w:sz w:val="16"/>
          <w:szCs w:val="16"/>
          <w:color w:val="auto"/>
        </w:rPr>
        <w:t>], a [qualified settlement fund within the meaning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1.468B-1 of the Treasury Regulations promulgated under the Internal Revenue Code of 1986, as amended] (“</w:t>
      </w:r>
      <w:r>
        <w:rPr>
          <w:rFonts w:ascii="Arial" w:cs="Arial" w:eastAsia="Arial" w:hAnsi="Arial"/>
          <w:sz w:val="16"/>
          <w:szCs w:val="16"/>
          <w:u w:val="single" w:color="auto"/>
          <w:color w:val="auto"/>
        </w:rPr>
        <w:t>Plaintiffs’ QSF</w:t>
      </w:r>
      <w:r>
        <w:rPr>
          <w:rFonts w:ascii="Arial" w:cs="Arial" w:eastAsia="Arial" w:hAnsi="Arial"/>
          <w:sz w:val="16"/>
          <w:szCs w:val="16"/>
          <w:color w:val="auto"/>
        </w:rPr>
        <w: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Sterigenics</w:t>
      </w:r>
    </w:p>
    <w:p>
      <w:pPr>
        <w:spacing w:after="0" w:line="2" w:lineRule="exact"/>
        <w:rPr>
          <w:sz w:val="20"/>
          <w:szCs w:val="20"/>
          <w:color w:val="auto"/>
        </w:rPr>
      </w:pPr>
    </w:p>
    <w:p>
      <w:pPr>
        <w:jc w:val="both"/>
        <w:ind w:left="140"/>
        <w:spacing w:after="0" w:line="234" w:lineRule="auto"/>
        <w:rPr>
          <w:sz w:val="20"/>
          <w:szCs w:val="20"/>
          <w:color w:val="auto"/>
        </w:rPr>
      </w:pPr>
      <w:r>
        <w:rPr>
          <w:rFonts w:ascii="Arial" w:cs="Arial" w:eastAsia="Arial" w:hAnsi="Arial"/>
          <w:sz w:val="16"/>
          <w:szCs w:val="16"/>
          <w:color w:val="auto"/>
        </w:rPr>
        <w:t>U.S., LLC, a Delaware limited liability company (“</w:t>
      </w:r>
      <w:r>
        <w:rPr>
          <w:rFonts w:ascii="Arial" w:cs="Arial" w:eastAsia="Arial" w:hAnsi="Arial"/>
          <w:sz w:val="16"/>
          <w:szCs w:val="16"/>
          <w:u w:val="single" w:color="auto"/>
          <w:color w:val="auto"/>
        </w:rPr>
        <w:t>Sterigenics</w:t>
      </w:r>
      <w:r>
        <w:rPr>
          <w:rFonts w:ascii="Arial" w:cs="Arial" w:eastAsia="Arial" w:hAnsi="Arial"/>
          <w:sz w:val="16"/>
          <w:szCs w:val="16"/>
          <w:color w:val="auto"/>
        </w:rPr>
        <w:t>”), and Citibank, N.A., a national banking association organized and existing under the laws of the United States of America (“</w:t>
      </w:r>
      <w:r>
        <w:rPr>
          <w:rFonts w:ascii="Arial" w:cs="Arial" w:eastAsia="Arial" w:hAnsi="Arial"/>
          <w:sz w:val="16"/>
          <w:szCs w:val="16"/>
          <w:u w:val="single" w:color="auto"/>
          <w:color w:val="auto"/>
        </w:rPr>
        <w:t>Citibank</w:t>
      </w:r>
      <w:r>
        <w:rPr>
          <w:rFonts w:ascii="Arial" w:cs="Arial" w:eastAsia="Arial" w:hAnsi="Arial"/>
          <w:sz w:val="16"/>
          <w:szCs w:val="16"/>
          <w:color w:val="auto"/>
        </w:rPr>
        <w:t>”) and acting through its Agency and Trust Division and solely in its capacity as escrow agent under this Agreement, and any successors appointed pursuant to the terms hereof (Citibank in such capacity, the “</w:t>
      </w:r>
      <w:r>
        <w:rPr>
          <w:rFonts w:ascii="Arial" w:cs="Arial" w:eastAsia="Arial" w:hAnsi="Arial"/>
          <w:sz w:val="16"/>
          <w:szCs w:val="16"/>
          <w:u w:val="single" w:color="auto"/>
          <w:color w:val="auto"/>
        </w:rPr>
        <w:t>Escrow Agent</w:t>
      </w:r>
      <w:r>
        <w:rPr>
          <w:rFonts w:ascii="Arial" w:cs="Arial" w:eastAsia="Arial" w:hAnsi="Arial"/>
          <w:sz w:val="16"/>
          <w:szCs w:val="16"/>
          <w:color w:val="auto"/>
        </w:rPr>
        <w:t>”). Plaintiffs’ QSF and Sterigenics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are sometimes collectively referred to herein as the “</w:t>
      </w:r>
      <w:r>
        <w:rPr>
          <w:rFonts w:ascii="Arial" w:cs="Arial" w:eastAsia="Arial" w:hAnsi="Arial"/>
          <w:sz w:val="18"/>
          <w:szCs w:val="18"/>
          <w:u w:val="single" w:color="auto"/>
          <w:color w:val="auto"/>
        </w:rPr>
        <w:t>Interested Parties</w:t>
      </w:r>
      <w:r>
        <w:rPr>
          <w:rFonts w:ascii="Arial" w:cs="Arial" w:eastAsia="Arial" w:hAnsi="Arial"/>
          <w:sz w:val="18"/>
          <w:szCs w:val="18"/>
          <w:color w:val="auto"/>
        </w:rPr>
        <w:t>.”</w:t>
      </w:r>
    </w:p>
    <w:p>
      <w:pPr>
        <w:spacing w:after="0" w:line="273" w:lineRule="exact"/>
        <w:rPr>
          <w:sz w:val="20"/>
          <w:szCs w:val="20"/>
          <w:color w:val="auto"/>
        </w:rPr>
      </w:pPr>
    </w:p>
    <w:p>
      <w:pPr>
        <w:jc w:val="both"/>
        <w:ind w:left="140" w:right="20" w:firstLine="648"/>
        <w:spacing w:after="0" w:line="25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the Settlement Agreement, dated as of [</w:t>
      </w:r>
      <w:r>
        <w:rPr>
          <w:rFonts w:ascii="Arial" w:cs="Arial" w:eastAsia="Arial" w:hAnsi="Arial"/>
          <w:sz w:val="16"/>
          <w:szCs w:val="16"/>
          <w:b w:val="1"/>
          <w:bCs w:val="1"/>
          <w:color w:val="auto"/>
        </w:rPr>
        <w:t xml:space="preserve"> ● </w:t>
      </w:r>
      <w:r>
        <w:rPr>
          <w:rFonts w:ascii="Arial" w:cs="Arial" w:eastAsia="Arial" w:hAnsi="Arial"/>
          <w:sz w:val="16"/>
          <w:szCs w:val="16"/>
          <w:color w:val="auto"/>
        </w:rPr>
        <w:t>], 2023 (the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capitalized terms used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not otherwise defined herein have the meanings ascribed to such terms in the Settlement Agreement), by and among Plaintiffs’ Counsel,</w:t>
      </w:r>
    </w:p>
    <w:p>
      <w:pPr>
        <w:spacing w:after="0" w:line="1" w:lineRule="exact"/>
        <w:rPr>
          <w:sz w:val="20"/>
          <w:szCs w:val="20"/>
          <w:color w:val="auto"/>
        </w:rPr>
      </w:pPr>
    </w:p>
    <w:p>
      <w:pPr>
        <w:jc w:val="both"/>
        <w:ind w:left="140" w:right="20"/>
        <w:spacing w:after="0" w:line="226" w:lineRule="auto"/>
        <w:rPr>
          <w:sz w:val="20"/>
          <w:szCs w:val="20"/>
          <w:color w:val="auto"/>
        </w:rPr>
      </w:pPr>
      <w:r>
        <w:rPr>
          <w:rFonts w:ascii="Arial" w:cs="Arial" w:eastAsia="Arial" w:hAnsi="Arial"/>
          <w:sz w:val="18"/>
          <w:szCs w:val="18"/>
          <w:color w:val="auto"/>
        </w:rPr>
        <w:t>Sotera Health LLC, a Delaware limited liability company, and Sterigenics, whereby the parties agreed to settle certain claims in order to achieve closure and finality and to avoid the costs, expense, time, efforts, disruption, and uncertainty inherent in litigation;</w:t>
      </w:r>
    </w:p>
    <w:p>
      <w:pPr>
        <w:spacing w:after="0" w:line="198" w:lineRule="exact"/>
        <w:rPr>
          <w:sz w:val="20"/>
          <w:szCs w:val="20"/>
          <w:color w:val="auto"/>
        </w:rPr>
      </w:pPr>
    </w:p>
    <w:p>
      <w:pPr>
        <w:jc w:val="both"/>
        <w:ind w:left="140" w:right="20" w:firstLine="647"/>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of the Settlement Agreement, Sterigenics has agreed to place an amount in cash equal to the Escrow</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Amount (as defined below) in the Escrow Account (as defined below); and</w:t>
      </w:r>
    </w:p>
    <w:p>
      <w:pPr>
        <w:spacing w:after="0" w:line="199" w:lineRule="exact"/>
        <w:rPr>
          <w:sz w:val="20"/>
          <w:szCs w:val="20"/>
          <w:color w:val="auto"/>
        </w:rPr>
      </w:pPr>
    </w:p>
    <w:p>
      <w:pPr>
        <w:jc w:val="both"/>
        <w:ind w:left="140" w:right="2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Interested Parties desire to appoint Escrow Agent as escrow agent hereunder in the manner hereinafter set forth and Escrow</w:t>
      </w:r>
      <w:r>
        <w:rPr>
          <w:rFonts w:ascii="Arial" w:cs="Arial" w:eastAsia="Arial" w:hAnsi="Arial"/>
          <w:sz w:val="18"/>
          <w:szCs w:val="18"/>
          <w:b w:val="1"/>
          <w:bCs w:val="1"/>
          <w:color w:val="auto"/>
        </w:rPr>
        <w:t xml:space="preserve"> </w:t>
      </w:r>
      <w:r>
        <w:rPr>
          <w:rFonts w:ascii="Arial" w:cs="Arial" w:eastAsia="Arial" w:hAnsi="Arial"/>
          <w:sz w:val="18"/>
          <w:szCs w:val="18"/>
          <w:color w:val="auto"/>
        </w:rPr>
        <w:t>Agent is willing to act in such capacity;</w:t>
      </w:r>
    </w:p>
    <w:p>
      <w:pPr>
        <w:spacing w:after="0" w:line="199" w:lineRule="exact"/>
        <w:rPr>
          <w:sz w:val="20"/>
          <w:szCs w:val="20"/>
          <w:color w:val="auto"/>
        </w:rPr>
      </w:pPr>
    </w:p>
    <w:p>
      <w:pPr>
        <w:jc w:val="both"/>
        <w:ind w:left="140" w:right="20" w:firstLine="648"/>
        <w:spacing w:after="0" w:line="250"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adequacy of which is hereby irrevocably acknowledged,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as follows</w:t>
      </w:r>
      <w:r>
        <w:rPr>
          <w:rFonts w:ascii="Arial" w:cs="Arial" w:eastAsia="Arial" w:hAnsi="Arial"/>
          <w:sz w:val="18"/>
          <w:szCs w:val="18"/>
          <w:b w:val="1"/>
          <w:bCs w:val="1"/>
          <w:color w:val="auto"/>
        </w:rPr>
        <w:t>:</w:t>
      </w:r>
    </w:p>
    <w:p>
      <w:pPr>
        <w:spacing w:after="0" w:line="176" w:lineRule="exact"/>
        <w:rPr>
          <w:sz w:val="20"/>
          <w:szCs w:val="20"/>
          <w:color w:val="auto"/>
        </w:rPr>
      </w:pPr>
    </w:p>
    <w:p>
      <w:pPr>
        <w:ind w:left="1420" w:hanging="639"/>
        <w:spacing w:after="0"/>
        <w:tabs>
          <w:tab w:leader="none" w:pos="1420"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Establishment of Escrow Account; Investment of Funds</w:t>
      </w:r>
      <w:r>
        <w:rPr>
          <w:rFonts w:ascii="Arial" w:cs="Arial" w:eastAsia="Arial" w:hAnsi="Arial"/>
          <w:sz w:val="18"/>
          <w:szCs w:val="18"/>
          <w:b w:val="1"/>
          <w:bCs w:val="1"/>
          <w:color w:val="auto"/>
        </w:rPr>
        <w:t>.</w:t>
      </w:r>
    </w:p>
    <w:p>
      <w:pPr>
        <w:spacing w:after="0" w:line="296" w:lineRule="exact"/>
        <w:rPr>
          <w:rFonts w:ascii="Arial" w:cs="Arial" w:eastAsia="Arial" w:hAnsi="Arial"/>
          <w:sz w:val="18"/>
          <w:szCs w:val="18"/>
          <w:b w:val="1"/>
          <w:bCs w:val="1"/>
          <w:color w:val="auto"/>
        </w:rPr>
      </w:pPr>
    </w:p>
    <w:p>
      <w:pPr>
        <w:jc w:val="both"/>
        <w:ind w:left="140" w:firstLine="1289"/>
        <w:spacing w:after="0" w:line="229" w:lineRule="auto"/>
        <w:tabs>
          <w:tab w:leader="none" w:pos="194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Interested Parties hereby appoint the Escrow Agent as escrow agent for the purposes set forth herein, and the Escrow Agent hereby accepts such appointment and agrees to act as escrow agent hereunder, to hold and release the Escrow Property (as defined below) in accordance with the terms and conditions set forth herein.</w:t>
      </w:r>
    </w:p>
    <w:p>
      <w:pPr>
        <w:spacing w:after="0" w:line="190" w:lineRule="exact"/>
        <w:rPr>
          <w:rFonts w:ascii="Arial" w:cs="Arial" w:eastAsia="Arial" w:hAnsi="Arial"/>
          <w:sz w:val="18"/>
          <w:szCs w:val="18"/>
          <w:color w:val="auto"/>
        </w:rPr>
      </w:pPr>
    </w:p>
    <w:p>
      <w:pPr>
        <w:jc w:val="both"/>
        <w:ind w:left="140" w:firstLine="1289"/>
        <w:spacing w:after="0" w:line="217" w:lineRule="auto"/>
        <w:tabs>
          <w:tab w:leader="none" w:pos="195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On May 1, 2023, Sterigenics shall deposit with the Escrow Agent in immediately available funds the amount of $122,500,000 (the “</w:t>
      </w:r>
      <w:r>
        <w:rPr>
          <w:rFonts w:ascii="Arial" w:cs="Arial" w:eastAsia="Arial" w:hAnsi="Arial"/>
          <w:sz w:val="18"/>
          <w:szCs w:val="18"/>
          <w:u w:val="single" w:color="auto"/>
          <w:color w:val="auto"/>
        </w:rPr>
        <w:t>Escrow Deposit Amount</w:t>
      </w:r>
      <w:r>
        <w:rPr>
          <w:rFonts w:ascii="Arial" w:cs="Arial" w:eastAsia="Arial" w:hAnsi="Arial"/>
          <w:sz w:val="18"/>
          <w:szCs w:val="18"/>
          <w:color w:val="auto"/>
        </w:rPr>
        <w:t>”). The Escrow Deposit Amount shall be deposited in an interest-bearing account insured by the Federal Deposit Insurance Corporation to the applicable limits (the “</w:t>
      </w:r>
      <w:r>
        <w:rPr>
          <w:rFonts w:ascii="Arial" w:cs="Arial" w:eastAsia="Arial" w:hAnsi="Arial"/>
          <w:sz w:val="18"/>
          <w:szCs w:val="18"/>
          <w:u w:val="single" w:color="auto"/>
          <w:color w:val="auto"/>
        </w:rPr>
        <w:t>Escrow Account</w:t>
      </w:r>
      <w:r>
        <w:rPr>
          <w:rFonts w:ascii="Arial" w:cs="Arial" w:eastAsia="Arial" w:hAnsi="Arial"/>
          <w:sz w:val="18"/>
          <w:szCs w:val="18"/>
          <w:color w:val="auto"/>
        </w:rPr>
        <w:t>”). Any interest, investment income, or proceeds received from the deposit or investment of the Escrow Deposit Amount, and any further amount earned or received thereon, shall be referred to herein as the “</w:t>
      </w:r>
      <w:r>
        <w:rPr>
          <w:rFonts w:ascii="Arial" w:cs="Arial" w:eastAsia="Arial" w:hAnsi="Arial"/>
          <w:sz w:val="18"/>
          <w:szCs w:val="18"/>
          <w:u w:val="single" w:color="auto"/>
          <w:color w:val="auto"/>
        </w:rPr>
        <w:t>Escrow Earnings</w:t>
      </w:r>
      <w:r>
        <w:rPr>
          <w:rFonts w:ascii="Arial" w:cs="Arial" w:eastAsia="Arial" w:hAnsi="Arial"/>
          <w:sz w:val="18"/>
          <w:szCs w:val="18"/>
          <w:color w:val="auto"/>
        </w:rPr>
        <w:t>,” and the Escrow Deposit Amount and the Escrow Earnings shall be collectively referred to herein as the “</w:t>
      </w:r>
      <w:r>
        <w:rPr>
          <w:rFonts w:ascii="Arial" w:cs="Arial" w:eastAsia="Arial" w:hAnsi="Arial"/>
          <w:sz w:val="18"/>
          <w:szCs w:val="18"/>
          <w:u w:val="single" w:color="auto"/>
          <w:color w:val="auto"/>
        </w:rPr>
        <w:t>Escrow Property</w:t>
      </w:r>
      <w:r>
        <w:rPr>
          <w:rFonts w:ascii="Arial" w:cs="Arial" w:eastAsia="Arial" w:hAnsi="Arial"/>
          <w:sz w:val="18"/>
          <w:szCs w:val="18"/>
          <w:color w:val="auto"/>
        </w:rPr>
        <w:t>.” The Interested Parties acknowledge that the initial interest rate is subject to change from time to time and shall be reflected in the monthly statement provided to the Interested Parties.</w:t>
      </w:r>
    </w:p>
    <w:p>
      <w:pPr>
        <w:spacing w:after="0" w:line="197" w:lineRule="exact"/>
        <w:rPr>
          <w:rFonts w:ascii="Arial" w:cs="Arial" w:eastAsia="Arial" w:hAnsi="Arial"/>
          <w:sz w:val="18"/>
          <w:szCs w:val="18"/>
          <w:color w:val="auto"/>
        </w:rPr>
      </w:pPr>
    </w:p>
    <w:p>
      <w:pPr>
        <w:ind w:left="140" w:right="80" w:firstLine="642"/>
        <w:spacing w:after="0" w:line="250" w:lineRule="auto"/>
        <w:tabs>
          <w:tab w:leader="none" w:pos="1301"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and Payment; Release from Escrow</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Interested Parties shall act in accordance with, and the Escrow Agent shall hold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release the Escrow Property as provided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as follows:</w:t>
      </w:r>
    </w:p>
    <w:p>
      <w:pPr>
        <w:spacing w:after="0" w:line="247" w:lineRule="exact"/>
        <w:rPr>
          <w:rFonts w:ascii="Arial" w:cs="Arial" w:eastAsia="Arial" w:hAnsi="Arial"/>
          <w:sz w:val="18"/>
          <w:szCs w:val="18"/>
          <w:b w:val="1"/>
          <w:bCs w:val="1"/>
          <w:color w:val="auto"/>
        </w:rPr>
      </w:pPr>
    </w:p>
    <w:p>
      <w:pPr>
        <w:jc w:val="both"/>
        <w:ind w:left="140" w:right="20" w:firstLine="1289"/>
        <w:spacing w:after="0" w:line="219" w:lineRule="auto"/>
        <w:tabs>
          <w:tab w:leader="none" w:pos="194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Upon receipt of a written instruction executed by an Authorized Person (as defined in Section 11) of Sterigenics stating that (i) it is a QSF funding instruction and (ii) instructing the Escrow Agent to disburse the Escrow Deposit Amount (less the Escrow Agent’s Fees) (a “</w:t>
      </w:r>
      <w:r>
        <w:rPr>
          <w:rFonts w:ascii="Arial" w:cs="Arial" w:eastAsia="Arial" w:hAnsi="Arial"/>
          <w:sz w:val="18"/>
          <w:szCs w:val="18"/>
          <w:u w:val="single" w:color="auto"/>
          <w:color w:val="auto"/>
        </w:rPr>
        <w:t>QSF</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Funding Instruction</w:t>
      </w:r>
      <w:r>
        <w:rPr>
          <w:rFonts w:ascii="Arial" w:cs="Arial" w:eastAsia="Arial" w:hAnsi="Arial"/>
          <w:sz w:val="18"/>
          <w:szCs w:val="18"/>
          <w:color w:val="auto"/>
        </w:rPr>
        <w:t>”), the Escrow Agent shall promptly, but in any event within one (1) Business Day after receipt of a QSF Funding Instruction, disburse the Escrow Deposit Amount (less the Escrow Agent’s Fees) to Plaintiffs’ QSF. For purposes of this Agreement,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that the Escrow Agent is open for business.</w:t>
      </w:r>
    </w:p>
    <w:p>
      <w:pPr>
        <w:spacing w:after="0" w:line="203" w:lineRule="exact"/>
        <w:rPr>
          <w:rFonts w:ascii="Arial" w:cs="Arial" w:eastAsia="Arial" w:hAnsi="Arial"/>
          <w:sz w:val="18"/>
          <w:szCs w:val="18"/>
          <w:color w:val="auto"/>
        </w:rPr>
      </w:pPr>
    </w:p>
    <w:p>
      <w:pPr>
        <w:ind w:left="1960" w:hanging="530"/>
        <w:spacing w:after="0"/>
        <w:tabs>
          <w:tab w:leader="none" w:pos="196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Upon receipt of a written instruction executed by an Authorized Person of Sterigenics stating that (i) it is a return instruction,</w:t>
      </w:r>
    </w:p>
    <w:p>
      <w:pPr>
        <w:spacing w:after="0" w:line="7" w:lineRule="exact"/>
        <w:rPr>
          <w:rFonts w:ascii="Arial" w:cs="Arial" w:eastAsia="Arial" w:hAnsi="Arial"/>
          <w:sz w:val="16"/>
          <w:szCs w:val="16"/>
          <w:color w:val="auto"/>
        </w:rPr>
      </w:pPr>
    </w:p>
    <w:p>
      <w:pPr>
        <w:ind w:left="420" w:hanging="286"/>
        <w:spacing w:after="0" w:line="232" w:lineRule="auto"/>
        <w:tabs>
          <w:tab w:leader="none" w:pos="4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Sterigenics is exercising its right to terminate the Settlement Agreement, and (iii) instructing the Escrow Agent to disburse all or a portion of the</w:t>
      </w:r>
    </w:p>
    <w:p>
      <w:pPr>
        <w:ind w:left="140"/>
        <w:spacing w:after="0" w:line="226" w:lineRule="auto"/>
        <w:rPr>
          <w:sz w:val="20"/>
          <w:szCs w:val="20"/>
          <w:color w:val="auto"/>
        </w:rPr>
      </w:pPr>
      <w:r>
        <w:rPr>
          <w:rFonts w:ascii="Arial" w:cs="Arial" w:eastAsia="Arial" w:hAnsi="Arial"/>
          <w:sz w:val="18"/>
          <w:szCs w:val="18"/>
          <w:color w:val="auto"/>
        </w:rPr>
        <w:t>Escrow Property (a “</w:t>
      </w:r>
      <w:r>
        <w:rPr>
          <w:rFonts w:ascii="Arial" w:cs="Arial" w:eastAsia="Arial" w:hAnsi="Arial"/>
          <w:sz w:val="18"/>
          <w:szCs w:val="18"/>
          <w:u w:val="single" w:color="auto"/>
          <w:color w:val="auto"/>
        </w:rPr>
        <w:t>Return Instruction</w:t>
      </w:r>
      <w:r>
        <w:rPr>
          <w:rFonts w:ascii="Arial" w:cs="Arial" w:eastAsia="Arial" w:hAnsi="Arial"/>
          <w:sz w:val="18"/>
          <w:szCs w:val="18"/>
          <w:color w:val="auto"/>
        </w:rPr>
        <w:t>”), the Escrow Agent shall promptly, but in any event within one (1) Business Day after receipt of a Return Instruction, disburse all or such portion of the Escrow Property to Sterigenics.</w:t>
      </w:r>
    </w:p>
    <w:p>
      <w:pPr>
        <w:spacing w:after="0" w:line="188" w:lineRule="exact"/>
        <w:rPr>
          <w:sz w:val="20"/>
          <w:szCs w:val="20"/>
          <w:color w:val="auto"/>
        </w:rPr>
      </w:pPr>
    </w:p>
    <w:p>
      <w:pPr>
        <w:jc w:val="both"/>
        <w:ind w:left="140" w:firstLine="1290"/>
        <w:spacing w:after="0" w:line="215" w:lineRule="auto"/>
        <w:tabs>
          <w:tab w:leader="none" w:pos="19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Upon receipt of a written instruction executed by an Authorized Person of Sterigenics stating that (i) it is an earnings instruction and (ii) instructing the Escrow Agent to release all or part of the Escrow Earnings (an “</w:t>
      </w:r>
      <w:r>
        <w:rPr>
          <w:rFonts w:ascii="Arial" w:cs="Arial" w:eastAsia="Arial" w:hAnsi="Arial"/>
          <w:sz w:val="18"/>
          <w:szCs w:val="18"/>
          <w:u w:val="single" w:color="auto"/>
          <w:color w:val="auto"/>
        </w:rPr>
        <w:t>Earnings Instruction</w:t>
      </w:r>
      <w:r>
        <w:rPr>
          <w:rFonts w:ascii="Arial" w:cs="Arial" w:eastAsia="Arial" w:hAnsi="Arial"/>
          <w:sz w:val="18"/>
          <w:szCs w:val="18"/>
          <w:color w:val="auto"/>
        </w:rPr>
        <w:t>”), the Escrow Agent shall promptly, but in any event within one (1) Business Day after receipt of an Earnings Instruction, disburse all or such part of the Escrow Earnings to Sterigenics.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30" w:lineRule="exact"/>
        <w:rPr>
          <w:sz w:val="20"/>
          <w:szCs w:val="20"/>
          <w:color w:val="auto"/>
        </w:rPr>
      </w:pPr>
    </w:p>
    <w:p>
      <w:pPr>
        <w:ind w:left="140" w:right="220" w:hanging="7"/>
        <w:spacing w:after="0" w:line="211" w:lineRule="auto"/>
        <w:tabs>
          <w:tab w:leader="none" w:pos="242"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This is a placeholder. We will work together to determine the appropriate party for the Escrow Agreement, which may depend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QSF Administrator/court order establishing the QSF. In any case, we anticipate that a PEC representative would either be a direct party or one of the authorized signatories for a direct party to the Escrow Agreement.</w:t>
      </w:r>
    </w:p>
    <w:p>
      <w:pPr>
        <w:sectPr>
          <w:pgSz w:w="11900" w:h="16838" w:orient="portrait"/>
          <w:cols w:equalWidth="0" w:num="1">
            <w:col w:w="11140"/>
          </w:cols>
          <w:pgMar w:left="320" w:top="1390" w:right="439" w:bottom="1440" w:gutter="0" w:footer="0" w:header="0"/>
        </w:sectPr>
      </w:pPr>
    </w:p>
    <w:bookmarkStart w:id="98" w:name="page99"/>
    <w:bookmarkEnd w:id="98"/>
    <w:p>
      <w:pPr>
        <w:spacing w:after="0" w:line="279" w:lineRule="exact"/>
        <w:rPr>
          <w:sz w:val="20"/>
          <w:szCs w:val="20"/>
          <w:color w:val="auto"/>
        </w:rPr>
      </w:pPr>
    </w:p>
    <w:p>
      <w:pPr>
        <w:jc w:val="both"/>
        <w:ind w:firstLine="1289"/>
        <w:spacing w:after="0" w:line="236" w:lineRule="auto"/>
        <w:tabs>
          <w:tab w:leader="none" w:pos="181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Plaintiffs’ QSF hereby acknowledges and agrees that in respect of any release of Escrow Property pursuant to Sections 2(a), 2(b), or 2(c), (i) the Escrow Agent shall be entitled to release the Escrow Property upon receipt of unilateral instructions from Sterigenics, upon which the Escrow Agent may rely conclusively without further inquiry, (ii) that no action by or on behalf of Plaintiffs’ QSF is required as a condition of such release, and (iii) that Plaintiffs’ QSF shall have no right to contest the release of such Escrow Property.</w:t>
      </w:r>
    </w:p>
    <w:p>
      <w:pPr>
        <w:spacing w:after="0" w:line="297" w:lineRule="exact"/>
        <w:rPr>
          <w:rFonts w:ascii="Arial" w:cs="Arial" w:eastAsia="Arial" w:hAnsi="Arial"/>
          <w:sz w:val="17"/>
          <w:szCs w:val="17"/>
          <w:color w:val="auto"/>
        </w:rPr>
      </w:pPr>
    </w:p>
    <w:p>
      <w:pPr>
        <w:ind w:firstLine="1289"/>
        <w:spacing w:after="0" w:line="261" w:lineRule="auto"/>
        <w:tabs>
          <w:tab w:leader="none" w:pos="180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Escrow Earnings are for the account of Sterigenics. The Interested Parties agree that the total of all disbursements of Escrow Property to Plaintiffs’ QSF shall not exceed the Escrow Deposit Amount.</w:t>
      </w:r>
    </w:p>
    <w:p>
      <w:pPr>
        <w:spacing w:after="0" w:line="193" w:lineRule="exact"/>
        <w:rPr>
          <w:rFonts w:ascii="Arial" w:cs="Arial" w:eastAsia="Arial" w:hAnsi="Arial"/>
          <w:sz w:val="18"/>
          <w:szCs w:val="18"/>
          <w:color w:val="auto"/>
        </w:rPr>
      </w:pPr>
    </w:p>
    <w:p>
      <w:pPr>
        <w:ind w:left="1280" w:hanging="639"/>
        <w:spacing w:after="0"/>
        <w:tabs>
          <w:tab w:leader="none" w:pos="12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310" w:lineRule="exact"/>
        <w:rPr>
          <w:rFonts w:ascii="Arial" w:cs="Arial" w:eastAsia="Arial" w:hAnsi="Arial"/>
          <w:sz w:val="18"/>
          <w:szCs w:val="18"/>
          <w:b w:val="1"/>
          <w:bCs w:val="1"/>
          <w:color w:val="auto"/>
        </w:rPr>
      </w:pPr>
    </w:p>
    <w:p>
      <w:pPr>
        <w:jc w:val="both"/>
        <w:ind w:firstLine="1289"/>
        <w:spacing w:after="0" w:line="219" w:lineRule="auto"/>
        <w:tabs>
          <w:tab w:leader="none" w:pos="180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Interested Parties agree any Escrow Earnings shall be treated as the income of Sterigenics and shall be reported on an annual basis on United States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Form 1099-INT, as required pursuant to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thereunder. Principal payments are not reportable to any payee hereunder. The Interested Parties and the Escrow Agent agree that the Escrow Agent will not be responsible for providing tax reporting and withholding for payments that are for compensation for services performed by an employee or independent contractor.</w:t>
      </w:r>
    </w:p>
    <w:p>
      <w:pPr>
        <w:spacing w:after="0" w:line="189" w:lineRule="exact"/>
        <w:rPr>
          <w:rFonts w:ascii="Arial" w:cs="Arial" w:eastAsia="Arial" w:hAnsi="Arial"/>
          <w:sz w:val="18"/>
          <w:szCs w:val="18"/>
          <w:color w:val="auto"/>
        </w:rPr>
      </w:pPr>
    </w:p>
    <w:p>
      <w:pPr>
        <w:jc w:val="both"/>
        <w:ind w:firstLine="1289"/>
        <w:spacing w:after="0" w:line="223" w:lineRule="auto"/>
        <w:tabs>
          <w:tab w:leader="none" w:pos="181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IRS imputed interest requirements apply, Sterigenics is solely responsible to inform the Escrow Agent, provide the Escrow Agent with all imputed interest calculations, and direct the Escrow Agent to disburse imputed interest amounts. The Escrow Agent shall rely solely on such provided calculations and information and shall have no responsibility for the accuracy or completeness of any such calculations or information or for the failure of Sterigenics to provide such calculations or information.</w:t>
      </w:r>
    </w:p>
    <w:p>
      <w:pPr>
        <w:spacing w:after="0" w:line="202" w:lineRule="exact"/>
        <w:rPr>
          <w:rFonts w:ascii="Arial" w:cs="Arial" w:eastAsia="Arial" w:hAnsi="Arial"/>
          <w:sz w:val="18"/>
          <w:szCs w:val="18"/>
          <w:color w:val="auto"/>
        </w:rPr>
      </w:pPr>
    </w:p>
    <w:p>
      <w:pPr>
        <w:jc w:val="both"/>
        <w:ind w:firstLine="1289"/>
        <w:spacing w:after="0" w:line="229" w:lineRule="auto"/>
        <w:tabs>
          <w:tab w:leader="none" w:pos="180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Interested Parties shall upon the execution of this Agreement provide the Escrow Agent with a duly completed and properly executed IRS Form W-9 or applicable IRS Form W-8, in the case of a non-U.S. person, for each payee, together with any other documentation and information requested by the Escrow Agent in connection with the Escrow Agent’s tax reporting obligations under the Code and theregulations thereunder. With respect to the Escrow Agent’s tax reporting obligations under the Code, the Foreign Account Tax Compliance Act and the Foreign Investment in Real Property Tax Act and any other applicable law or regulation, the Interested Parties understand that, in the event valid U.S. tax forms or other required supporting documentation are not provided to the Escrow Agent, the Escrow Agent may be required to withhold tax from the Escrow Property and report account information on any earnings, proceeds or distributions from the Escrow Property.</w:t>
      </w:r>
    </w:p>
    <w:p>
      <w:pPr>
        <w:spacing w:after="0" w:line="192" w:lineRule="exact"/>
        <w:rPr>
          <w:rFonts w:ascii="Arial" w:cs="Arial" w:eastAsia="Arial" w:hAnsi="Arial"/>
          <w:sz w:val="17"/>
          <w:szCs w:val="17"/>
          <w:color w:val="auto"/>
        </w:rPr>
      </w:pPr>
    </w:p>
    <w:p>
      <w:pPr>
        <w:jc w:val="both"/>
        <w:ind w:firstLine="1289"/>
        <w:spacing w:after="0" w:line="248" w:lineRule="auto"/>
        <w:tabs>
          <w:tab w:leader="none" w:pos="181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Should the Escrow Agent become liable for the payment of taxes, including withholding taxes relating to any funds, including interest and penalties thereon, held by it pursuant to this Agreement or any payment made hereunder (but excluding any taxes of the Escrow Agent with respect to its compensation hereunder), the Escrow Agent shall satisfy such liability to the extent possible from the Escrow Property. The Interested Parties agree, jointly and severally, to indemnify and hold the Escrow Agent harmless pursuant to Section 5(c) hereof from any liability or obligation on account of taxes, assessments, interest, penalties, expenses and other governmental charges that may be assessed or asserted against the Escrow Agent.</w:t>
      </w:r>
    </w:p>
    <w:p>
      <w:pPr>
        <w:spacing w:after="0" w:line="262" w:lineRule="exact"/>
        <w:rPr>
          <w:rFonts w:ascii="Arial" w:cs="Arial" w:eastAsia="Arial" w:hAnsi="Arial"/>
          <w:sz w:val="16"/>
          <w:szCs w:val="16"/>
          <w:color w:val="auto"/>
        </w:rPr>
      </w:pPr>
    </w:p>
    <w:p>
      <w:pPr>
        <w:ind w:left="1940" w:hanging="651"/>
        <w:spacing w:after="0"/>
        <w:tabs>
          <w:tab w:leader="none" w:pos="19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Escrow Account will be treated as owned by Sterigenics for U.S. federal income</w:t>
      </w:r>
    </w:p>
    <w:p>
      <w:pPr>
        <w:spacing w:after="0"/>
        <w:rPr>
          <w:sz w:val="20"/>
          <w:szCs w:val="20"/>
          <w:color w:val="auto"/>
        </w:rPr>
      </w:pPr>
      <w:r>
        <w:rPr>
          <w:rFonts w:ascii="Arial" w:cs="Arial" w:eastAsia="Arial" w:hAnsi="Arial"/>
          <w:sz w:val="18"/>
          <w:szCs w:val="18"/>
          <w:color w:val="auto"/>
        </w:rPr>
        <w:t>tax purposes.</w:t>
      </w:r>
    </w:p>
    <w:p>
      <w:pPr>
        <w:spacing w:after="0" w:line="47" w:lineRule="exact"/>
        <w:rPr>
          <w:sz w:val="20"/>
          <w:szCs w:val="20"/>
          <w:color w:val="auto"/>
        </w:rPr>
      </w:pPr>
    </w:p>
    <w:p>
      <w:pPr>
        <w:ind w:left="1800" w:hanging="510"/>
        <w:spacing w:after="0"/>
        <w:tabs>
          <w:tab w:leader="none" w:pos="180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The Escrow Agent’s rights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survive the termination of this Agreement or the resignation or removal of</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Escrow Agent.</w:t>
      </w:r>
    </w:p>
    <w:p>
      <w:pPr>
        <w:spacing w:after="0" w:line="191" w:lineRule="exact"/>
        <w:rPr>
          <w:rFonts w:ascii="Arial" w:cs="Arial" w:eastAsia="Arial" w:hAnsi="Arial"/>
          <w:sz w:val="16"/>
          <w:szCs w:val="16"/>
          <w:color w:val="auto"/>
        </w:rPr>
      </w:pPr>
    </w:p>
    <w:p>
      <w:pPr>
        <w:ind w:left="1280" w:hanging="639"/>
        <w:spacing w:after="0"/>
        <w:tabs>
          <w:tab w:leader="none" w:pos="12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Concerning the Escrow Agent</w:t>
      </w:r>
      <w:r>
        <w:rPr>
          <w:rFonts w:ascii="Arial" w:cs="Arial" w:eastAsia="Arial" w:hAnsi="Arial"/>
          <w:sz w:val="18"/>
          <w:szCs w:val="18"/>
          <w:b w:val="1"/>
          <w:bCs w:val="1"/>
          <w:color w:val="auto"/>
        </w:rPr>
        <w:t>.</w:t>
      </w:r>
    </w:p>
    <w:p>
      <w:pPr>
        <w:spacing w:after="0" w:line="310" w:lineRule="exact"/>
        <w:rPr>
          <w:rFonts w:ascii="Arial" w:cs="Arial" w:eastAsia="Arial" w:hAnsi="Arial"/>
          <w:sz w:val="18"/>
          <w:szCs w:val="18"/>
          <w:b w:val="1"/>
          <w:bCs w:val="1"/>
          <w:color w:val="auto"/>
        </w:rPr>
      </w:pPr>
    </w:p>
    <w:p>
      <w:pPr>
        <w:jc w:val="both"/>
        <w:ind w:firstLine="1290"/>
        <w:spacing w:after="0" w:line="229" w:lineRule="auto"/>
        <w:tabs>
          <w:tab w:leader="none" w:pos="1806"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Escrow Agent Duties</w:t>
      </w:r>
      <w:r>
        <w:rPr>
          <w:rFonts w:ascii="Arial" w:cs="Arial" w:eastAsia="Arial" w:hAnsi="Arial"/>
          <w:sz w:val="17"/>
          <w:szCs w:val="17"/>
          <w:color w:val="auto"/>
        </w:rPr>
        <w:t>. Each Interested Party acknowledges and agrees that (i) the duties, responsibilities and obligations of the Escrow Agent shall be limited to those expressly set forth in this Agreement, each of which is administrative or ministerial (and shall not be construed to be fiduciary) in nature, and no duties, responsibilities or obligations shall be inferred or implied, (ii) the Escrow Agent shall not be responsible for any of the agreements referred to or described herein (including without limitation the Settlement Agreement and any defined term therein not otherwise defined in this Agreement), or for determining or compelling compliance therewith, and shall not otherwise be bound thereby, and (iii) the Escrow Agent shall not be required to expend or risk any of its own funds to satisfy payments from the Escrow Property hereunder.</w:t>
      </w:r>
    </w:p>
    <w:p>
      <w:pPr>
        <w:spacing w:after="0" w:line="203" w:lineRule="exact"/>
        <w:rPr>
          <w:rFonts w:ascii="Arial" w:cs="Arial" w:eastAsia="Arial" w:hAnsi="Arial"/>
          <w:sz w:val="17"/>
          <w:szCs w:val="17"/>
          <w:color w:val="auto"/>
        </w:rPr>
      </w:pPr>
    </w:p>
    <w:p>
      <w:pPr>
        <w:jc w:val="both"/>
        <w:ind w:firstLine="1289"/>
        <w:spacing w:after="0" w:line="223" w:lineRule="auto"/>
        <w:tabs>
          <w:tab w:leader="none" w:pos="1816"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Liability of Escrow Agent</w:t>
      </w:r>
      <w:r>
        <w:rPr>
          <w:rFonts w:ascii="Arial" w:cs="Arial" w:eastAsia="Arial" w:hAnsi="Arial"/>
          <w:sz w:val="18"/>
          <w:szCs w:val="18"/>
          <w:color w:val="auto"/>
        </w:rPr>
        <w:t>. The Escrow Agent shall not be liable for any damage, loss or injury resulting from any action taken or omitted in the absence of gross negligence or willful misconduct (as finally adjudicated by a court of competent jurisdiction). In no event shall the Escrow Agent be liable for indirect, incidental, consequential, punitive or special losses or damages (including but not limited to lost profits), regardless of the form of</w:t>
      </w:r>
    </w:p>
    <w:p>
      <w:pPr>
        <w:sectPr>
          <w:pgSz w:w="11900" w:h="16838" w:orient="portrait"/>
          <w:cols w:equalWidth="0" w:num="1">
            <w:col w:w="11000"/>
          </w:cols>
          <w:pgMar w:left="460" w:top="1440" w:right="4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action and whether or not any such losses or damages were foreseeable or contemplated. The Escrow Agent shall be entitled to rely upon any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instruction, notice, request or other instrument delivered to it without being required to determine the authenticity or validity thereof, or the truth or accuracy of any information stated therein. The Escrow Agent may act in reliance upon any signature believed by it to be genuine (including any signature affixed by DocuSign) and may assume that any person purporting to make any statement, execute any document, or send any instruction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connection with the provisions hereof has been duly authorized to do so. The Escrow Agent may consult with counsel satisfactory to it, and the opinion or advice of such counsel shall be full and complete authorization and protection in respect of any action taken, suffered or omitted by it in good faith and in accordance with the opinion and advice of such counsel. The Escrow Agent may perform any and all of its duties through its agents,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representatives, attorneys, custodians and/or nominees. The Escrow Agent shall not incur any liability for not performing any act or fulfilling any obligation hereunder by reason of any occurrence beyond its control (including, without limitation, any provision of any present or future law or regulation or any act of any governmental authority,any act of God or war or terrorism, or the unavailability of the Federal Reserve Bank wire services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any electronic communication facility).</w:t>
      </w:r>
    </w:p>
    <w:p>
      <w:pPr>
        <w:spacing w:after="0" w:line="209" w:lineRule="exact"/>
        <w:rPr>
          <w:sz w:val="20"/>
          <w:szCs w:val="20"/>
          <w:color w:val="auto"/>
        </w:rPr>
      </w:pPr>
    </w:p>
    <w:p>
      <w:pPr>
        <w:jc w:val="both"/>
        <w:ind w:firstLine="1290"/>
        <w:spacing w:after="0" w:line="242" w:lineRule="auto"/>
        <w:tabs>
          <w:tab w:leader="none" w:pos="1806"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Reliance on Orders</w:t>
      </w:r>
      <w:r>
        <w:rPr>
          <w:rFonts w:ascii="Arial" w:cs="Arial" w:eastAsia="Arial" w:hAnsi="Arial"/>
          <w:sz w:val="16"/>
          <w:szCs w:val="16"/>
          <w:color w:val="auto"/>
        </w:rPr>
        <w:t>. The Escrow Agent is authorized to comply with final orders issued or process entered by any court with respect to the Escrow Property, without determination by the Escrow Agent of such court's jurisdiction in the matter. If any portion of the Escrow Property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thereof, then and in any such event, the Escrow Agent is authorized to rely upon and comply with any such order, writ, judgment or decree which it is advised is binding upon it without the need for appeal or other action; and if the Escrow Agent complies with any such order, writ, judgment or decree, it shall not be liable to any of the Interested Parties hereto or to any other person or entity by reason of such compliance even though such order, writ, judgment or decree may be subsequently reversed, modified, annulled, set aside or vacated.</w:t>
      </w:r>
    </w:p>
    <w:p>
      <w:pPr>
        <w:spacing w:after="0" w:line="189" w:lineRule="exact"/>
        <w:rPr>
          <w:rFonts w:ascii="Arial" w:cs="Arial" w:eastAsia="Arial" w:hAnsi="Arial"/>
          <w:sz w:val="16"/>
          <w:szCs w:val="16"/>
          <w:color w:val="auto"/>
        </w:rPr>
      </w:pPr>
    </w:p>
    <w:p>
      <w:pPr>
        <w:jc w:val="both"/>
        <w:ind w:firstLine="1289"/>
        <w:spacing w:after="0" w:line="229" w:lineRule="auto"/>
        <w:tabs>
          <w:tab w:leader="none" w:pos="1816"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Erroneous Payments</w:t>
      </w:r>
      <w:r>
        <w:rPr>
          <w:rFonts w:ascii="Arial" w:cs="Arial" w:eastAsia="Arial" w:hAnsi="Arial"/>
          <w:sz w:val="17"/>
          <w:szCs w:val="17"/>
          <w:color w:val="auto"/>
        </w:rPr>
        <w:t>. If the Escrow Agent releases any funds (including but not limited to the Escrow Property or any portion of it) to an Interested Party and subsequently determines (in its absolute discretion) that the payment (or any portion of it) was made in error, that Interested Party shall upon notice promptly refund the erroneous payment, and none of the obligations of the Interested Party or the remedies of the Escrow Agent will be affected by any act, omission, matter or thing (including, without limitation, any obligation pursuant to which an erroneous payment is made) which, but for this provision, would reduce, release, preclude or prejudice any such obligation or remedy (whether or not known by the Escrow Agent or any Interested Party). Each of the Interested Parties agrees not to assert discharge for value, bona fide payee, or any similar doctrine as a defense to recovery of any erroneous payment by the Escrow Agent.</w:t>
      </w:r>
    </w:p>
    <w:p>
      <w:pPr>
        <w:spacing w:after="0" w:line="202" w:lineRule="exact"/>
        <w:rPr>
          <w:rFonts w:ascii="Arial" w:cs="Arial" w:eastAsia="Arial" w:hAnsi="Arial"/>
          <w:sz w:val="17"/>
          <w:szCs w:val="17"/>
          <w:color w:val="auto"/>
        </w:rPr>
      </w:pPr>
    </w:p>
    <w:p>
      <w:pPr>
        <w:ind w:left="1280" w:hanging="639"/>
        <w:spacing w:after="0"/>
        <w:tabs>
          <w:tab w:leader="none" w:pos="128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Expense Reimbursement and Indemnification</w:t>
      </w:r>
      <w:r>
        <w:rPr>
          <w:rFonts w:ascii="Arial" w:cs="Arial" w:eastAsia="Arial" w:hAnsi="Arial"/>
          <w:sz w:val="18"/>
          <w:szCs w:val="18"/>
          <w:b w:val="1"/>
          <w:bCs w:val="1"/>
          <w:color w:val="auto"/>
        </w:rPr>
        <w:t>.</w:t>
      </w:r>
    </w:p>
    <w:p>
      <w:pPr>
        <w:spacing w:after="0" w:line="310" w:lineRule="exact"/>
        <w:rPr>
          <w:rFonts w:ascii="Arial" w:cs="Arial" w:eastAsia="Arial" w:hAnsi="Arial"/>
          <w:sz w:val="18"/>
          <w:szCs w:val="18"/>
          <w:b w:val="1"/>
          <w:bCs w:val="1"/>
          <w:color w:val="auto"/>
        </w:rPr>
      </w:pPr>
    </w:p>
    <w:p>
      <w:pPr>
        <w:jc w:val="both"/>
        <w:ind w:firstLine="1289"/>
        <w:spacing w:after="0" w:line="215" w:lineRule="auto"/>
        <w:tabs>
          <w:tab w:leader="none" w:pos="180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Escrow Agent’s compensation specified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Escrow Agent’s Compensation</w:t>
      </w:r>
      <w:r>
        <w:rPr>
          <w:rFonts w:ascii="Arial" w:cs="Arial" w:eastAsia="Arial" w:hAnsi="Arial"/>
          <w:sz w:val="18"/>
          <w:szCs w:val="18"/>
          <w:color w:val="auto"/>
        </w:rPr>
        <w:t>”) shall be paid directly from the Escrow Property. Each of the Interested Parties covenants and agrees, jointly and severally, to pay to the Escrow Agent all out-of-pocket expenses incurred by the Escrow Agent in the performance of its role under this Agreement (including, but not limited to, any attorney’s fees incurred in connection with the preparation and negotiation of this Agreement, which shall be due and payable when the Escrow Account has been funded with the Escrow Deposit Amount) (the “</w:t>
      </w:r>
      <w:r>
        <w:rPr>
          <w:rFonts w:ascii="Arial" w:cs="Arial" w:eastAsia="Arial" w:hAnsi="Arial"/>
          <w:sz w:val="18"/>
          <w:szCs w:val="18"/>
          <w:u w:val="single" w:color="auto"/>
          <w:color w:val="auto"/>
        </w:rPr>
        <w:t>Escrow Agent’s Expenses</w:t>
      </w:r>
      <w:r>
        <w:rPr>
          <w:rFonts w:ascii="Arial" w:cs="Arial" w:eastAsia="Arial" w:hAnsi="Arial"/>
          <w:sz w:val="18"/>
          <w:szCs w:val="18"/>
          <w:color w:val="auto"/>
        </w:rPr>
        <w:t>” and together with the Escrow Agent’s Compensation, the “</w:t>
      </w:r>
      <w:r>
        <w:rPr>
          <w:rFonts w:ascii="Arial" w:cs="Arial" w:eastAsia="Arial" w:hAnsi="Arial"/>
          <w:sz w:val="18"/>
          <w:szCs w:val="18"/>
          <w:u w:val="single" w:color="auto"/>
          <w:color w:val="auto"/>
        </w:rPr>
        <w:t>Escrow Agent’s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Fees</w:t>
      </w:r>
      <w:r>
        <w:rPr>
          <w:rFonts w:ascii="Arial" w:cs="Arial" w:eastAsia="Arial" w:hAnsi="Arial"/>
          <w:sz w:val="18"/>
          <w:szCs w:val="18"/>
          <w:color w:val="auto"/>
        </w:rPr>
        <w:t>”). Without altering or limiting the joint and several obligations of the Interested Parties to the Escrow Agent in this Section 5(a), solely as between the Interested Parties and consistent with the Settlement Agreement, Plaintiffs’ QSF shall each be responsible for 100% of any fees or expenses payable to the Escrow Agent hereunder.</w:t>
      </w:r>
    </w:p>
    <w:p>
      <w:pPr>
        <w:spacing w:after="0" w:line="190" w:lineRule="exact"/>
        <w:rPr>
          <w:rFonts w:ascii="Arial" w:cs="Arial" w:eastAsia="Arial" w:hAnsi="Arial"/>
          <w:sz w:val="18"/>
          <w:szCs w:val="18"/>
          <w:color w:val="auto"/>
        </w:rPr>
      </w:pPr>
    </w:p>
    <w:p>
      <w:pPr>
        <w:jc w:val="both"/>
        <w:ind w:firstLine="1290"/>
        <w:spacing w:after="0" w:line="217" w:lineRule="auto"/>
        <w:tabs>
          <w:tab w:leader="none" w:pos="181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Security and Offset</w:t>
      </w:r>
      <w:r>
        <w:rPr>
          <w:rFonts w:ascii="Arial" w:cs="Arial" w:eastAsia="Arial" w:hAnsi="Arial"/>
          <w:sz w:val="18"/>
          <w:szCs w:val="18"/>
          <w:color w:val="auto"/>
        </w:rPr>
        <w:t>. The Interested Parties hereby grant to the Escrow Agent a first lien upon, and right of offset against, the Escrow Property with respect to any fees or expenses due to the Escrow Agent hereunder (including any claim for indemnification hereunder). In the event that any fees or expenses, or any other obligations owed to the Escrow Agent (or its counsel) are not paid to the Escrow Agent within 30 calendar days following the presentment of an invoice for the payment of such fees and expenses or the demand for such payment, then the Escrow Agent may, without further action or notice, pay such fees and expenses from the Escrow Property and may sell, convey or otherwise dispose of any Escrow Property for such purpose. The Escrow Agent may in its sole discretion withhold from any distribution of the Escrow Property an amount of such distribution it reasonably believes would, upon sale or liquidation, produce proceeds equal to any unpaid amounts to which the Escrow Agent is entitled to hereunder.</w:t>
      </w:r>
    </w:p>
    <w:p>
      <w:pPr>
        <w:spacing w:after="0" w:line="257" w:lineRule="exact"/>
        <w:rPr>
          <w:rFonts w:ascii="Arial" w:cs="Arial" w:eastAsia="Arial" w:hAnsi="Arial"/>
          <w:sz w:val="18"/>
          <w:szCs w:val="18"/>
          <w:color w:val="auto"/>
        </w:rPr>
      </w:pPr>
    </w:p>
    <w:p>
      <w:pPr>
        <w:jc w:val="both"/>
        <w:ind w:firstLine="1289"/>
        <w:spacing w:after="0" w:line="217" w:lineRule="auto"/>
        <w:tabs>
          <w:tab w:leader="none" w:pos="180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of the Interested Parties covenants and agrees, jointly and severally, to indemnify the Escrow Agent and its employees, officers, directors, affiliates, and agents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for, hold each Indemnified Party harmless from, and defend each Indemnified Party against, any and all claims, losses, actions, liabilities, costs, damages and expenses of any nature incurred by any Indemnified Party, arising out of or in connection with this Agreement or with the administration of its duties hereunder, including but not limited to attorney’s fees, costs and expenses, except to the extent such loss, liability, damage, cost or expense shall have been finally adjudicated by a court of competent jurisdiction to have resulted solely from the Indemnified Party's own gross negligence or willful misconduct. Notwithstanding the foregoing, without altering or limiting the joint and several</w:t>
      </w:r>
    </w:p>
    <w:p>
      <w:pPr>
        <w:sectPr>
          <w:pgSz w:w="11900" w:h="16838" w:orient="portrait"/>
          <w:cols w:equalWidth="0" w:num="1">
            <w:col w:w="11000"/>
          </w:cols>
          <w:pgMar w:left="460" w:top="1327" w:right="439" w:bottom="1440" w:gutter="0" w:footer="0" w:header="0"/>
        </w:sectPr>
      </w:pPr>
    </w:p>
    <w:bookmarkStart w:id="100" w:name="page101"/>
    <w:bookmarkEnd w:id="100"/>
    <w:p>
      <w:pPr>
        <w:jc w:val="both"/>
        <w:spacing w:after="0" w:line="241" w:lineRule="auto"/>
        <w:rPr>
          <w:sz w:val="20"/>
          <w:szCs w:val="20"/>
          <w:color w:val="auto"/>
        </w:rPr>
      </w:pPr>
      <w:r>
        <w:rPr>
          <w:rFonts w:ascii="Arial" w:cs="Arial" w:eastAsia="Arial" w:hAnsi="Arial"/>
          <w:sz w:val="16"/>
          <w:szCs w:val="16"/>
          <w:color w:val="auto"/>
        </w:rPr>
        <w:t>obligations of the Interested Parties to the Escrow Agent in this Section 5(c), the Interested Parties agree, solely as between themselves, that any obligation for indemnification under this Section 5(c) shall be borne by the Interested Party finally determined by a court of competent jurisdiction to be responsible for causing the loss, damage, liability, cost or expense against which the Escrow Agent is entitled to indemnification or, if no such</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determination is made, then one-half by Sterigenics and one-half by Plaintiffs’ QSF. The foregoing indemnification and agreement to hold harmless shall survive the termination of this Agreement and the resignation or removal of the Escrow Agent.</w:t>
      </w:r>
    </w:p>
    <w:p>
      <w:pPr>
        <w:spacing w:after="0" w:line="198" w:lineRule="exact"/>
        <w:rPr>
          <w:sz w:val="20"/>
          <w:szCs w:val="20"/>
          <w:color w:val="auto"/>
        </w:rPr>
      </w:pPr>
    </w:p>
    <w:p>
      <w:pPr>
        <w:jc w:val="both"/>
        <w:ind w:firstLine="641"/>
        <w:spacing w:after="0" w:line="225" w:lineRule="auto"/>
        <w:tabs>
          <w:tab w:leader="none" w:pos="1161"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Dispute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disagreement among any of the Interested Parties to this Agreement, or between any of them</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other person, resulting in adverse claims or demands being made with respect to the subject matter of this Agreement, or in the event that the Escrow Agent, in good faith, is in doubt as to any action it should take hereunder, the Escrow Agent may, at its option, refuse to comply with any claims or demands and refuse to take any other action hereunder, so long as such disagreement continues or such doubt exists, and in any such event, the Escrow Agent shall not be liable in any way or to any person for its failure or refusal to act, and the Escrow Agent shall be entitled to continue to so refuse to act and refrain from acting until the Escrow Agent shall have received (i) a QSF Funding Instruction, (ii) a Return Instruction, or (iii) an Earnings Instruction, in which case the Escrow Agent shall be authorized to disburse the Escrow Property in accordance with such QSF Funding Instruction, Return Instruction, or Earnings Instruction. The Escrow Agent shall have the option, after 30 calendar days’ notice to the Interested Parties of its intention to do so, to petition Miles Ruthberg (the “</w:t>
      </w:r>
      <w:r>
        <w:rPr>
          <w:rFonts w:ascii="Arial" w:cs="Arial" w:eastAsia="Arial" w:hAnsi="Arial"/>
          <w:sz w:val="17"/>
          <w:szCs w:val="17"/>
          <w:u w:val="single" w:color="auto"/>
          <w:color w:val="auto"/>
        </w:rPr>
        <w:t>Mediator</w:t>
      </w:r>
      <w:r>
        <w:rPr>
          <w:rFonts w:ascii="Arial" w:cs="Arial" w:eastAsia="Arial" w:hAnsi="Arial"/>
          <w:sz w:val="17"/>
          <w:szCs w:val="17"/>
          <w:color w:val="auto"/>
        </w:rPr>
        <w:t>”) by any appropriate method for instructions with respect to any dispute or uncertainty related to this Agreement, including (without limitation) obligations imposed on the Interested Parties by the Settlement Agreement with respect to this Agreement. The Mediator’s resolution shall be final, binding, and enforceable on the Escrow Agent and Interested Parties. The costs and expenses (including reasonable attorneys’ fees and expenses) incurred by the Escrow Agent in connection with such petition shall be paid by, and be the joint and several obligation of, the Interested Parties; provided, however, that, without altering or limiting the joint and several obligations of the Interested Parties to the Escrow Agent in this Section 6, the Interested Parties agree, solely as between themselves, that the obligation to pay such amounts shall be an obligation of the non-prevailing party in such petition as finally determined by the Mediator or, if no such determination is made, then one-half by Sterigenics and one-half by the Plaintiffs’ QSF.</w:t>
      </w:r>
    </w:p>
    <w:p>
      <w:pPr>
        <w:spacing w:after="0" w:line="186" w:lineRule="exact"/>
        <w:rPr>
          <w:rFonts w:ascii="Arial" w:cs="Arial" w:eastAsia="Arial" w:hAnsi="Arial"/>
          <w:sz w:val="17"/>
          <w:szCs w:val="17"/>
          <w:b w:val="1"/>
          <w:bCs w:val="1"/>
          <w:color w:val="auto"/>
        </w:rPr>
      </w:pPr>
    </w:p>
    <w:p>
      <w:pPr>
        <w:jc w:val="both"/>
        <w:ind w:right="20" w:firstLine="642"/>
        <w:spacing w:after="0" w:line="220" w:lineRule="auto"/>
        <w:tabs>
          <w:tab w:leader="none" w:pos="1161"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Exclusive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and sets forth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the obligations and duties of the Escrow Agent with respect to the Escrow Property. This Agreement is for the exclusive benefit of the parties to this Agreement and their respective permitted successors, and shall not be deemed to give, either expressly or implicitly, any legal or equitable right, remedy, or claim to any other entity or person whatsoever. No party may assign any of its rights or obligations under this Agreement without the prior written consent of the other parties.</w:t>
      </w:r>
    </w:p>
    <w:p>
      <w:pPr>
        <w:spacing w:after="0" w:line="198" w:lineRule="exact"/>
        <w:rPr>
          <w:rFonts w:ascii="Arial" w:cs="Arial" w:eastAsia="Arial" w:hAnsi="Arial"/>
          <w:sz w:val="18"/>
          <w:szCs w:val="18"/>
          <w:b w:val="1"/>
          <w:bCs w:val="1"/>
          <w:color w:val="auto"/>
        </w:rPr>
      </w:pPr>
    </w:p>
    <w:p>
      <w:pPr>
        <w:ind w:left="1280" w:hanging="639"/>
        <w:spacing w:after="0"/>
        <w:tabs>
          <w:tab w:leader="none" w:pos="12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Resignation and Removal</w:t>
      </w:r>
      <w:r>
        <w:rPr>
          <w:rFonts w:ascii="Arial" w:cs="Arial" w:eastAsia="Arial" w:hAnsi="Arial"/>
          <w:sz w:val="18"/>
          <w:szCs w:val="18"/>
          <w:b w:val="1"/>
          <w:bCs w:val="1"/>
          <w:color w:val="auto"/>
        </w:rPr>
        <w:t>.</w:t>
      </w:r>
    </w:p>
    <w:p>
      <w:pPr>
        <w:spacing w:after="0" w:line="296" w:lineRule="exact"/>
        <w:rPr>
          <w:rFonts w:ascii="Arial" w:cs="Arial" w:eastAsia="Arial" w:hAnsi="Arial"/>
          <w:sz w:val="18"/>
          <w:szCs w:val="18"/>
          <w:b w:val="1"/>
          <w:bCs w:val="1"/>
          <w:color w:val="auto"/>
        </w:rPr>
      </w:pPr>
    </w:p>
    <w:p>
      <w:pPr>
        <w:jc w:val="both"/>
        <w:ind w:firstLine="1289"/>
        <w:spacing w:after="0" w:line="229" w:lineRule="auto"/>
        <w:tabs>
          <w:tab w:leader="none" w:pos="180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Interested Parties may remove the Escrow Agent at any time by giving to the Escrow Agent thirty (30) calendar days’ prior written notice of removal signed by an Authorized Person of each of the Interested Parties. The Escrow Agent may resign at any time by giving to each of the Interested Parties thirty (30) calendar days’ prior written notice of resignation.</w:t>
      </w:r>
    </w:p>
    <w:p>
      <w:pPr>
        <w:spacing w:after="0" w:line="258" w:lineRule="exact"/>
        <w:rPr>
          <w:rFonts w:ascii="Arial" w:cs="Arial" w:eastAsia="Arial" w:hAnsi="Arial"/>
          <w:sz w:val="18"/>
          <w:szCs w:val="18"/>
          <w:color w:val="auto"/>
        </w:rPr>
      </w:pPr>
    </w:p>
    <w:p>
      <w:pPr>
        <w:jc w:val="both"/>
        <w:ind w:firstLine="1288"/>
        <w:spacing w:after="0" w:line="219" w:lineRule="auto"/>
        <w:tabs>
          <w:tab w:leader="none" w:pos="181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Within thirty (30) calendar days after giving the foregoing notice of removal to the Escrow Agent or within thirty (30) calendar days after receiving the foregoing notice of resignation from the Escrow Agent, the Interested Parties shall appoint a successor escrow agent and give notice of such successor escrow agent to the Escrow Agent. If a successor escrow agent has not accepted such appointment by the end of such 30-day period, the Escrow Agent may either (A) safe keep the Escrow Property until a successor escrow agent is appointed, without any obligation to invest the same or continue to perform under this Agreement, or (B) apply to a court of competent jurisdiction for the appointment of a successor escrow agent or for other appropriate relief.</w:t>
      </w:r>
    </w:p>
    <w:p>
      <w:pPr>
        <w:spacing w:after="0" w:line="189" w:lineRule="exact"/>
        <w:rPr>
          <w:rFonts w:ascii="Arial" w:cs="Arial" w:eastAsia="Arial" w:hAnsi="Arial"/>
          <w:sz w:val="18"/>
          <w:szCs w:val="18"/>
          <w:color w:val="auto"/>
        </w:rPr>
      </w:pPr>
    </w:p>
    <w:p>
      <w:pPr>
        <w:jc w:val="both"/>
        <w:ind w:firstLine="1289"/>
        <w:spacing w:after="0" w:line="223" w:lineRule="auto"/>
        <w:tabs>
          <w:tab w:leader="none" w:pos="180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Upon receipt of notice of the identity of the successor escrow agent, the Escrow Agent shall either deliver the Escrow Property then held hereunder to the successor escrow agent, less the Escrow Agent’s fees, costs and expenses, or hold such Escrow Property (or any portion thereof) pending distribution, until all such fees, costs and expenses are paid to it. Upon delivery of the Escrow Property to the successor escrow agent, the Escrow Agent shall have no further duties, responsibilities or obligations hereunder.</w:t>
      </w:r>
    </w:p>
    <w:p>
      <w:pPr>
        <w:spacing w:after="0" w:line="185" w:lineRule="exact"/>
        <w:rPr>
          <w:rFonts w:ascii="Arial" w:cs="Arial" w:eastAsia="Arial" w:hAnsi="Arial"/>
          <w:sz w:val="18"/>
          <w:szCs w:val="18"/>
          <w:color w:val="auto"/>
        </w:rPr>
      </w:pPr>
    </w:p>
    <w:p>
      <w:pPr>
        <w:jc w:val="both"/>
        <w:ind w:firstLine="641"/>
        <w:spacing w:after="0" w:line="233" w:lineRule="auto"/>
        <w:tabs>
          <w:tab w:leader="none" w:pos="1161"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Jurisdiction;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governed by and shall be construed and interpreted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of New York without giving effect to the conflict of laws principles thereof. The parties irrevocably and unconditionally submit to the exclusive jurisdiction of the federal and state courts located in the Borough of Manhattan, City, County and State of New York, for any proceedings commenced regarding this Agreement. The parties irrevocably submit to the jurisdiction of such courts for the determination of all issues in such proceedings and irrevocably waive any objection to venue or inconvenient forum for any proceeding brought in any such court. The parties irrevocably and unconditionally waive any right to trial by jury with respect to any proceeding relating to this Agreement.</w:t>
      </w:r>
    </w:p>
    <w:p>
      <w:pPr>
        <w:sectPr>
          <w:pgSz w:w="11900" w:h="16838" w:orient="portrait"/>
          <w:cols w:equalWidth="0" w:num="1">
            <w:col w:w="11000"/>
          </w:cols>
          <w:pgMar w:left="460" w:top="1408" w:right="439" w:bottom="1440" w:gutter="0" w:footer="0" w:header="0"/>
        </w:sectPr>
      </w:pPr>
    </w:p>
    <w:bookmarkStart w:id="101" w:name="page102"/>
    <w:bookmarkEnd w:id="101"/>
    <w:p>
      <w:pPr>
        <w:ind w:left="1286" w:hanging="639"/>
        <w:spacing w:after="0"/>
        <w:tabs>
          <w:tab w:leader="none" w:pos="1286" w:val="left"/>
        </w:tabs>
        <w:numPr>
          <w:ilvl w:val="1"/>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p>
    <w:p>
      <w:pPr>
        <w:spacing w:after="0" w:line="310" w:lineRule="exact"/>
        <w:rPr>
          <w:rFonts w:ascii="Arial" w:cs="Arial" w:eastAsia="Arial" w:hAnsi="Arial"/>
          <w:sz w:val="18"/>
          <w:szCs w:val="18"/>
          <w:b w:val="1"/>
          <w:bCs w:val="1"/>
          <w:color w:val="auto"/>
        </w:rPr>
      </w:pPr>
    </w:p>
    <w:p>
      <w:pPr>
        <w:jc w:val="both"/>
        <w:ind w:left="6" w:firstLine="1289"/>
        <w:spacing w:after="0" w:line="236" w:lineRule="auto"/>
        <w:tabs>
          <w:tab w:leader="none" w:pos="1812" w:val="left"/>
        </w:tabs>
        <w:numPr>
          <w:ilvl w:val="2"/>
          <w:numId w:val="153"/>
        </w:numPr>
        <w:rPr>
          <w:rFonts w:ascii="Arial" w:cs="Arial" w:eastAsia="Arial" w:hAnsi="Arial"/>
          <w:sz w:val="17"/>
          <w:szCs w:val="17"/>
          <w:color w:val="auto"/>
        </w:rPr>
      </w:pPr>
      <w:r>
        <w:rPr>
          <w:rFonts w:ascii="Arial" w:cs="Arial" w:eastAsia="Arial" w:hAnsi="Arial"/>
          <w:sz w:val="17"/>
          <w:szCs w:val="17"/>
          <w:color w:val="auto"/>
        </w:rPr>
        <w:t>Each of the Interested Parties represents and warrants that it has full power and authority to execute and deliver this Agreement and to perform its obligations hereunder; and this Agreement has been duly approved by all necessary action and constitutes its valid and binding agreement enforceable in accordance with its terms, except as may be limited by applicable bankruptcy, insolvency, moratorium, reorganization or other similar laws affecting the enforcement of creditors’ rights and subject to general equity principles.</w:t>
      </w:r>
    </w:p>
    <w:p>
      <w:pPr>
        <w:spacing w:after="0" w:line="189" w:lineRule="exact"/>
        <w:rPr>
          <w:rFonts w:ascii="Arial" w:cs="Arial" w:eastAsia="Arial" w:hAnsi="Arial"/>
          <w:sz w:val="17"/>
          <w:szCs w:val="17"/>
          <w:color w:val="auto"/>
        </w:rPr>
      </w:pPr>
    </w:p>
    <w:p>
      <w:pPr>
        <w:jc w:val="both"/>
        <w:ind w:left="6" w:firstLine="1288"/>
        <w:spacing w:after="0" w:line="217" w:lineRule="auto"/>
        <w:tabs>
          <w:tab w:leader="none" w:pos="1821" w:val="left"/>
        </w:tabs>
        <w:numPr>
          <w:ilvl w:val="2"/>
          <w:numId w:val="153"/>
        </w:numPr>
        <w:rPr>
          <w:rFonts w:ascii="Arial" w:cs="Arial" w:eastAsia="Arial" w:hAnsi="Arial"/>
          <w:sz w:val="18"/>
          <w:szCs w:val="18"/>
          <w:color w:val="auto"/>
        </w:rPr>
      </w:pPr>
      <w:r>
        <w:rPr>
          <w:rFonts w:ascii="Arial" w:cs="Arial" w:eastAsia="Arial" w:hAnsi="Arial"/>
          <w:sz w:val="18"/>
          <w:szCs w:val="18"/>
          <w:color w:val="auto"/>
        </w:rPr>
        <w:t>None of the Interested Parties or any of their parents or subsidiaries, or any of their respective directors, officers, or employees, or to the knowledge of any Interested Party, the affiliates of the Interested Parties or any of their subsidiaries, will, directly or indirectly, use any part of any proceeds or lend, contribute, or otherwise make available such Escrow Property in any manner that would result in a violation by any person of economic, trade, or financial sanctions, requirements, or embargoes imposed, administered, or enforced from time to time by the United States (including, without limitation, the Office of Foreign Assets Control of the U.S. Department of the Treasury and the U.S. Department of State), the United Kingdom (including, without limitation, Her Majesty’s Treasury), the European Union and any EU member state, the United Nations Security Council, and any other relevant sanctions authority.</w:t>
      </w:r>
    </w:p>
    <w:p>
      <w:pPr>
        <w:spacing w:after="0" w:line="197" w:lineRule="exact"/>
        <w:rPr>
          <w:rFonts w:ascii="Arial" w:cs="Arial" w:eastAsia="Arial" w:hAnsi="Arial"/>
          <w:sz w:val="18"/>
          <w:szCs w:val="18"/>
          <w:color w:val="auto"/>
        </w:rPr>
      </w:pPr>
    </w:p>
    <w:p>
      <w:pPr>
        <w:ind w:left="1286" w:hanging="639"/>
        <w:spacing w:after="0"/>
        <w:tabs>
          <w:tab w:leader="none" w:pos="1286" w:val="left"/>
        </w:tabs>
        <w:numPr>
          <w:ilvl w:val="1"/>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 Instructions</w:t>
      </w:r>
      <w:r>
        <w:rPr>
          <w:rFonts w:ascii="Arial" w:cs="Arial" w:eastAsia="Arial" w:hAnsi="Arial"/>
          <w:sz w:val="18"/>
          <w:szCs w:val="18"/>
          <w:b w:val="1"/>
          <w:bCs w:val="1"/>
          <w:color w:val="auto"/>
        </w:rPr>
        <w:t>.</w:t>
      </w:r>
    </w:p>
    <w:p>
      <w:pPr>
        <w:spacing w:after="0" w:line="296" w:lineRule="exact"/>
        <w:rPr>
          <w:rFonts w:ascii="Arial" w:cs="Arial" w:eastAsia="Arial" w:hAnsi="Arial"/>
          <w:sz w:val="18"/>
          <w:szCs w:val="18"/>
          <w:b w:val="1"/>
          <w:bCs w:val="1"/>
          <w:color w:val="auto"/>
        </w:rPr>
      </w:pPr>
    </w:p>
    <w:p>
      <w:pPr>
        <w:jc w:val="both"/>
        <w:ind w:left="6" w:firstLine="1289"/>
        <w:spacing w:after="0" w:line="241" w:lineRule="auto"/>
        <w:tabs>
          <w:tab w:leader="none" w:pos="1812" w:val="left"/>
        </w:tabs>
        <w:numPr>
          <w:ilvl w:val="2"/>
          <w:numId w:val="153"/>
        </w:numPr>
        <w:rPr>
          <w:rFonts w:ascii="Arial" w:cs="Arial" w:eastAsia="Arial" w:hAnsi="Arial"/>
          <w:sz w:val="16"/>
          <w:szCs w:val="16"/>
          <w:color w:val="auto"/>
        </w:rPr>
      </w:pPr>
      <w:r>
        <w:rPr>
          <w:rFonts w:ascii="Arial" w:cs="Arial" w:eastAsia="Arial" w:hAnsi="Arial"/>
          <w:sz w:val="16"/>
          <w:szCs w:val="16"/>
          <w:color w:val="auto"/>
        </w:rPr>
        <w:t>Any notice or instruction hereunder shall be in writing in English, and may be sent by electronic mail with a scanned attachment thereto of an executed notice or instruction, and shall be effective upon actual receipt by the Escrow Agent in accordance with the terms hereof. Any notice or instruction must be executed (which execution may be manual or affixed by DocuSign) by an authorized person of an Interested Party (the person(s) so designated from time to time, the “</w:t>
      </w:r>
      <w:r>
        <w:rPr>
          <w:rFonts w:ascii="Arial" w:cs="Arial" w:eastAsia="Arial" w:hAnsi="Arial"/>
          <w:sz w:val="16"/>
          <w:szCs w:val="16"/>
          <w:u w:val="single" w:color="auto"/>
          <w:color w:val="auto"/>
        </w:rPr>
        <w:t>Authorized Persons</w:t>
      </w:r>
      <w:r>
        <w:rPr>
          <w:rFonts w:ascii="Arial" w:cs="Arial" w:eastAsia="Arial" w:hAnsi="Arial"/>
          <w:sz w:val="16"/>
          <w:szCs w:val="16"/>
          <w:color w:val="auto"/>
        </w:rPr>
        <w:t xml:space="preserve">”). Each of the applicable persons designated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attached hereto have been duly appointed to act as Authorized Persons hereunder and individually have full power and authority to execute any notices or instructions, to amend, modify or waive any provisions of this Agreement, and to take any and all other actions permitted under this Agreement, all without further consent or direction from, or notice to, it or any other party. Any notice or instruction must be originated from a corporate domain. Any change in designation of Authorized Persons shall be provided by written notice, signed by an Authorized Person, and actually received and acknowledged by the Escrow Agent. Any communication from the Escrow Agent that the Escrow Agent deems to contain confidential, proprietary, and/or sensitive information shall be encrypted in accordance with the Escrow Agent’s internal procedures.</w:t>
      </w:r>
    </w:p>
    <w:p>
      <w:pPr>
        <w:spacing w:after="0" w:line="204" w:lineRule="exact"/>
        <w:rPr>
          <w:rFonts w:ascii="Arial" w:cs="Arial" w:eastAsia="Arial" w:hAnsi="Arial"/>
          <w:sz w:val="16"/>
          <w:szCs w:val="16"/>
          <w:color w:val="auto"/>
        </w:rPr>
      </w:pPr>
    </w:p>
    <w:p>
      <w:pPr>
        <w:jc w:val="both"/>
        <w:ind w:left="6" w:firstLine="1289"/>
        <w:spacing w:after="0" w:line="237" w:lineRule="auto"/>
        <w:tabs>
          <w:tab w:leader="none" w:pos="1821" w:val="left"/>
        </w:tabs>
        <w:numPr>
          <w:ilvl w:val="2"/>
          <w:numId w:val="153"/>
        </w:numPr>
        <w:rPr>
          <w:rFonts w:ascii="Arial" w:cs="Arial" w:eastAsia="Arial" w:hAnsi="Arial"/>
          <w:sz w:val="16"/>
          <w:szCs w:val="16"/>
          <w:color w:val="auto"/>
        </w:rPr>
      </w:pPr>
      <w:r>
        <w:rPr>
          <w:rFonts w:ascii="Arial" w:cs="Arial" w:eastAsia="Arial" w:hAnsi="Arial"/>
          <w:sz w:val="16"/>
          <w:szCs w:val="16"/>
          <w:color w:val="auto"/>
        </w:rPr>
        <w:t>Each of the Interested Parties understands and agrees that the Escrow Agent cannot determine the identity of the actual sender of any notice or instruction and that the Escrow Agent shall be entitled to conclusively presume that notices or instructions that purport to have been sent by an Authorized Person have been sent by such Authorized Person. Each of the Interested Parties agrees: (i) to assume all risks arising out of the use of electronic means (including electronic mail, secure file transfer or such other method or system specified by the Escrow Agent as available for use in connection with its services hereunder) to submit instructions to the Escrow Agent, including without limitation the risk of the Escrow Agent acting on unauthorized instructions, and the risk of interception or misuse by third parties; (ii) that it is fully informed of the protections and risks associated with the various methods of transmitting instructions to the Escrow Agent and that there may be more secure methods of transmitting instructions than the method(s) selected by the Interested Parties, as applicable; (iii) that the security procedures (if any) to be followed in connection with its transmission of instructions provide to it a commercially reasonable degree of protection in light of its particular needs and circumstances; and</w:t>
      </w:r>
    </w:p>
    <w:p>
      <w:pPr>
        <w:ind w:left="326" w:hanging="326"/>
        <w:spacing w:after="0"/>
        <w:tabs>
          <w:tab w:leader="none" w:pos="32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notify the Escrow Agent immediately upon learning of any compromise or unauthorized use of the security procedures. The Interested Parties</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agree that the security procedures set forth in Section 11(a) and this Section 11(b) are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66"/>
        <w:spacing w:after="0"/>
        <w:rPr>
          <w:sz w:val="20"/>
          <w:szCs w:val="20"/>
          <w:color w:val="auto"/>
        </w:rPr>
      </w:pPr>
      <w:r>
        <w:rPr>
          <w:rFonts w:ascii="Arial" w:cs="Arial" w:eastAsia="Arial" w:hAnsi="Arial"/>
          <w:sz w:val="18"/>
          <w:szCs w:val="18"/>
          <w:color w:val="auto"/>
        </w:rPr>
        <w:t>If to the Plaintiffs’ QSF:</w:t>
      </w:r>
    </w:p>
    <w:p>
      <w:pPr>
        <w:spacing w:after="0" w:line="200" w:lineRule="exact"/>
        <w:rPr>
          <w:sz w:val="20"/>
          <w:szCs w:val="20"/>
          <w:color w:val="auto"/>
        </w:rPr>
      </w:pPr>
    </w:p>
    <w:p>
      <w:pPr>
        <w:spacing w:after="0" w:line="255" w:lineRule="exact"/>
        <w:rPr>
          <w:sz w:val="20"/>
          <w:szCs w:val="20"/>
          <w:color w:val="auto"/>
        </w:rPr>
      </w:pPr>
    </w:p>
    <w:p>
      <w:pPr>
        <w:ind w:left="1306"/>
        <w:spacing w:after="0"/>
        <w:rPr>
          <w:sz w:val="20"/>
          <w:szCs w:val="20"/>
          <w:color w:val="auto"/>
        </w:rPr>
      </w:pPr>
      <w:r>
        <w:rPr>
          <w:rFonts w:ascii="Arial" w:cs="Arial" w:eastAsia="Arial" w:hAnsi="Arial"/>
          <w:sz w:val="18"/>
          <w:szCs w:val="18"/>
          <w:color w:val="auto"/>
        </w:rPr>
        <w:t>Attention: [●] Telephone: [●] E-mail: [●]</w:t>
      </w:r>
    </w:p>
    <w:p>
      <w:pPr>
        <w:spacing w:after="0" w:line="225" w:lineRule="exact"/>
        <w:rPr>
          <w:sz w:val="20"/>
          <w:szCs w:val="20"/>
          <w:color w:val="auto"/>
        </w:rPr>
      </w:pPr>
    </w:p>
    <w:p>
      <w:pPr>
        <w:ind w:left="1306"/>
        <w:spacing w:after="0"/>
        <w:rPr>
          <w:sz w:val="20"/>
          <w:szCs w:val="20"/>
          <w:color w:val="auto"/>
        </w:rPr>
      </w:pPr>
      <w:r>
        <w:rPr>
          <w:rFonts w:ascii="Arial" w:cs="Arial" w:eastAsia="Arial" w:hAnsi="Arial"/>
          <w:sz w:val="18"/>
          <w:szCs w:val="18"/>
          <w:color w:val="auto"/>
        </w:rPr>
        <w:t>If to Sterigenics:</w:t>
      </w:r>
    </w:p>
    <w:p>
      <w:pPr>
        <w:spacing w:after="0" w:line="200" w:lineRule="exact"/>
        <w:rPr>
          <w:sz w:val="20"/>
          <w:szCs w:val="20"/>
          <w:color w:val="auto"/>
        </w:rPr>
      </w:pPr>
    </w:p>
    <w:p>
      <w:pPr>
        <w:spacing w:after="0" w:line="268" w:lineRule="exact"/>
        <w:rPr>
          <w:sz w:val="20"/>
          <w:szCs w:val="20"/>
          <w:color w:val="auto"/>
        </w:rPr>
      </w:pPr>
    </w:p>
    <w:p>
      <w:pPr>
        <w:ind w:left="1306"/>
        <w:spacing w:after="0"/>
        <w:rPr>
          <w:sz w:val="20"/>
          <w:szCs w:val="20"/>
          <w:color w:val="auto"/>
        </w:rPr>
      </w:pPr>
      <w:r>
        <w:rPr>
          <w:rFonts w:ascii="Arial" w:cs="Arial" w:eastAsia="Arial" w:hAnsi="Arial"/>
          <w:sz w:val="18"/>
          <w:szCs w:val="18"/>
          <w:color w:val="auto"/>
        </w:rPr>
        <w:t>Attention: [●] Telephone: [●] E-mail: [●]</w:t>
      </w:r>
    </w:p>
    <w:p>
      <w:pPr>
        <w:sectPr>
          <w:pgSz w:w="11900" w:h="16838" w:orient="portrait"/>
          <w:cols w:equalWidth="0" w:num="1">
            <w:col w:w="11006"/>
          </w:cols>
          <w:pgMar w:left="454" w:top="1323" w:right="439" w:bottom="1440" w:gutter="0" w:footer="0" w:header="0"/>
        </w:sectPr>
      </w:pPr>
    </w:p>
    <w:bookmarkStart w:id="102" w:name="page103"/>
    <w:bookmarkEnd w:id="102"/>
    <w:p>
      <w:pPr>
        <w:spacing w:after="0" w:line="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to the Escrow Agent: Citibank, N.A.</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Agency &amp; Trust</w:t>
      </w:r>
    </w:p>
    <w:p>
      <w:pPr>
        <w:ind w:left="320"/>
        <w:spacing w:after="0" w:line="203" w:lineRule="auto"/>
        <w:rPr>
          <w:sz w:val="20"/>
          <w:szCs w:val="20"/>
          <w:color w:val="auto"/>
        </w:rPr>
      </w:pPr>
      <w:r>
        <w:rPr>
          <w:rFonts w:ascii="Arial" w:cs="Arial" w:eastAsia="Arial" w:hAnsi="Arial"/>
          <w:sz w:val="18"/>
          <w:szCs w:val="18"/>
          <w:color w:val="auto"/>
        </w:rPr>
        <w:t>388 Greenwich Street</w:t>
      </w:r>
    </w:p>
    <w:p>
      <w:pPr>
        <w:ind w:left="180"/>
        <w:spacing w:after="0" w:line="203" w:lineRule="auto"/>
        <w:rPr>
          <w:sz w:val="20"/>
          <w:szCs w:val="20"/>
          <w:color w:val="auto"/>
        </w:rPr>
      </w:pPr>
      <w:r>
        <w:rPr>
          <w:rFonts w:ascii="Arial" w:cs="Arial" w:eastAsia="Arial" w:hAnsi="Arial"/>
          <w:sz w:val="18"/>
          <w:szCs w:val="18"/>
          <w:color w:val="auto"/>
        </w:rPr>
        <w:t>New York, NY 10013</w:t>
      </w:r>
    </w:p>
    <w:p>
      <w:pPr>
        <w:ind w:left="180"/>
        <w:spacing w:after="0" w:line="235" w:lineRule="auto"/>
        <w:rPr>
          <w:sz w:val="20"/>
          <w:szCs w:val="20"/>
          <w:color w:val="auto"/>
        </w:rPr>
      </w:pPr>
      <w:r>
        <w:rPr>
          <w:rFonts w:ascii="Arial" w:cs="Arial" w:eastAsia="Arial" w:hAnsi="Arial"/>
          <w:sz w:val="18"/>
          <w:szCs w:val="18"/>
          <w:color w:val="auto"/>
        </w:rPr>
        <w:t>Attn.: [●]</w:t>
      </w:r>
    </w:p>
    <w:p>
      <w:pPr>
        <w:ind w:left="320"/>
        <w:spacing w:after="0" w:line="219" w:lineRule="auto"/>
        <w:rPr>
          <w:sz w:val="20"/>
          <w:szCs w:val="20"/>
          <w:color w:val="auto"/>
        </w:rPr>
      </w:pPr>
      <w:r>
        <w:rPr>
          <w:rFonts w:ascii="Arial" w:cs="Arial" w:eastAsia="Arial" w:hAnsi="Arial"/>
          <w:sz w:val="18"/>
          <w:szCs w:val="18"/>
          <w:color w:val="auto"/>
        </w:rPr>
        <w:t>Telephone: [●]</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BCF1"/>
        </w:rPr>
        <w:t>cts.spag@citi.com</w:t>
      </w:r>
      <w:r>
        <w:rPr>
          <w:rFonts w:ascii="Arial" w:cs="Arial" w:eastAsia="Arial" w:hAnsi="Arial"/>
          <w:sz w:val="18"/>
          <w:szCs w:val="18"/>
          <w:color w:val="auto"/>
        </w:rPr>
        <w:t xml:space="preserve"> / [●]</w:t>
      </w:r>
    </w:p>
    <w:p>
      <w:pPr>
        <w:sectPr>
          <w:pgSz w:w="11900" w:h="16838" w:orient="portrait"/>
          <w:cols w:equalWidth="0" w:num="1">
            <w:col w:w="9019"/>
          </w:cols>
          <w:pgMar w:left="1440" w:top="1440" w:right="1440" w:bottom="1440" w:gutter="0" w:footer="0" w:header="0"/>
        </w:sectPr>
      </w:pPr>
    </w:p>
    <w:bookmarkStart w:id="103" w:name="page104"/>
    <w:bookmarkEnd w:id="103"/>
    <w:p>
      <w:pPr>
        <w:ind w:firstLine="1289"/>
        <w:spacing w:after="0" w:line="235" w:lineRule="auto"/>
        <w:tabs>
          <w:tab w:leader="none" w:pos="180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Any funds to be paid by the Escrow Agent hereunder shall be sent by wire transfer pursuant to the instructions set forth on </w:t>
      </w:r>
      <w:r>
        <w:rPr>
          <w:rFonts w:ascii="Arial" w:cs="Arial" w:eastAsia="Arial" w:hAnsi="Arial"/>
          <w:sz w:val="18"/>
          <w:szCs w:val="18"/>
          <w:u w:val="single" w:color="auto"/>
          <w:color w:val="auto"/>
        </w:rPr>
        <w:t>Schedule D</w:t>
      </w:r>
      <w:r>
        <w:rPr>
          <w:rFonts w:ascii="Arial" w:cs="Arial" w:eastAsia="Arial" w:hAnsi="Arial"/>
          <w:sz w:val="18"/>
          <w:szCs w:val="18"/>
          <w:color w:val="auto"/>
        </w:rPr>
        <w:t>, or pursuant to such other wire payment instructions as may be instructed by the Interested Parties.</w:t>
      </w:r>
    </w:p>
    <w:p>
      <w:pPr>
        <w:spacing w:after="0" w:line="198" w:lineRule="exact"/>
        <w:rPr>
          <w:rFonts w:ascii="Arial" w:cs="Arial" w:eastAsia="Arial" w:hAnsi="Arial"/>
          <w:sz w:val="18"/>
          <w:szCs w:val="18"/>
          <w:color w:val="auto"/>
        </w:rPr>
      </w:pPr>
    </w:p>
    <w:p>
      <w:pPr>
        <w:ind w:firstLine="1288"/>
        <w:spacing w:after="0" w:line="237" w:lineRule="auto"/>
        <w:tabs>
          <w:tab w:leader="none" w:pos="181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Payments to the Escrow Agent shall be sent by wire transfer pursuant to the following instructions: </w:t>
      </w:r>
      <w:r>
        <w:rPr>
          <w:rFonts w:ascii="Arial" w:cs="Arial" w:eastAsia="Arial" w:hAnsi="Arial"/>
          <w:sz w:val="18"/>
          <w:szCs w:val="18"/>
          <w:b w:val="1"/>
          <w:bCs w:val="1"/>
          <w:color w:val="auto"/>
        </w:rPr>
        <w:t>CITIBANK,</w:t>
      </w:r>
      <w:r>
        <w:rPr>
          <w:rFonts w:ascii="Arial" w:cs="Arial" w:eastAsia="Arial" w:hAnsi="Arial"/>
          <w:sz w:val="18"/>
          <w:szCs w:val="18"/>
          <w:color w:val="auto"/>
        </w:rPr>
        <w:t xml:space="preserve"> </w:t>
      </w:r>
      <w:r>
        <w:rPr>
          <w:rFonts w:ascii="Arial" w:cs="Arial" w:eastAsia="Arial" w:hAnsi="Arial"/>
          <w:sz w:val="18"/>
          <w:szCs w:val="18"/>
          <w:b w:val="1"/>
          <w:bCs w:val="1"/>
          <w:color w:val="auto"/>
        </w:rPr>
        <w:t>N.A</w:t>
      </w:r>
      <w:r>
        <w:rPr>
          <w:rFonts w:ascii="Arial" w:cs="Arial" w:eastAsia="Arial" w:hAnsi="Arial"/>
          <w:sz w:val="18"/>
          <w:szCs w:val="18"/>
          <w:color w:val="auto"/>
        </w:rPr>
        <w:t>.,*****Account Name: [●]; A/C#.: [●]</w:t>
      </w:r>
    </w:p>
    <w:p>
      <w:pPr>
        <w:spacing w:after="0" w:line="198" w:lineRule="exact"/>
        <w:rPr>
          <w:rFonts w:ascii="Arial" w:cs="Arial" w:eastAsia="Arial" w:hAnsi="Arial"/>
          <w:sz w:val="18"/>
          <w:szCs w:val="18"/>
          <w:color w:val="auto"/>
        </w:rPr>
      </w:pPr>
    </w:p>
    <w:p>
      <w:pPr>
        <w:ind w:right="20" w:firstLine="642"/>
        <w:spacing w:after="0" w:line="263" w:lineRule="auto"/>
        <w:tabs>
          <w:tab w:leader="none" w:pos="117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Waiver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amendment of this Agreement shall be binding only if evidenced by a writing signed by each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Agreement. No waiver of any provision hereof shall be effective unless expressed in writing and signed by the party to be charged.</w:t>
      </w:r>
    </w:p>
    <w:p>
      <w:pPr>
        <w:spacing w:after="0" w:line="165" w:lineRule="exact"/>
        <w:rPr>
          <w:rFonts w:ascii="Arial" w:cs="Arial" w:eastAsia="Arial" w:hAnsi="Arial"/>
          <w:sz w:val="17"/>
          <w:szCs w:val="17"/>
          <w:b w:val="1"/>
          <w:bCs w:val="1"/>
          <w:color w:val="auto"/>
        </w:rPr>
      </w:pPr>
    </w:p>
    <w:p>
      <w:pPr>
        <w:jc w:val="both"/>
        <w:ind w:firstLine="642"/>
        <w:spacing w:after="0" w:line="231" w:lineRule="auto"/>
        <w:tabs>
          <w:tab w:leader="none" w:pos="117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illegality or unenforceability of any provision of this Agreement shall in no way affect the validity, 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or enforceability of any other provision. If any provision of this Agreement is held to be unenforceable as a matter of law, the other provisions shall not be affected thereby and shall remain in full force and effect.</w:t>
      </w:r>
    </w:p>
    <w:p>
      <w:pPr>
        <w:spacing w:after="0" w:line="185" w:lineRule="exact"/>
        <w:rPr>
          <w:rFonts w:ascii="Arial" w:cs="Arial" w:eastAsia="Arial" w:hAnsi="Arial"/>
          <w:sz w:val="18"/>
          <w:szCs w:val="18"/>
          <w:b w:val="1"/>
          <w:bCs w:val="1"/>
          <w:color w:val="auto"/>
        </w:rPr>
      </w:pPr>
    </w:p>
    <w:p>
      <w:pPr>
        <w:jc w:val="both"/>
        <w:ind w:firstLine="642"/>
        <w:spacing w:after="0" w:line="236" w:lineRule="auto"/>
        <w:tabs>
          <w:tab w:leader="none" w:pos="117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Mergers and Conversions</w:t>
      </w:r>
      <w:r>
        <w:rPr>
          <w:rFonts w:ascii="Arial" w:cs="Arial" w:eastAsia="Arial" w:hAnsi="Arial"/>
          <w:sz w:val="17"/>
          <w:szCs w:val="17"/>
          <w:color w:val="auto"/>
        </w:rPr>
        <w:t>. Any corporation or entity into which the Escrow Agent may be merged or converted or with which it may</w:t>
      </w:r>
      <w:r>
        <w:rPr>
          <w:rFonts w:ascii="Arial" w:cs="Arial" w:eastAsia="Arial" w:hAnsi="Arial"/>
          <w:sz w:val="17"/>
          <w:szCs w:val="17"/>
          <w:b w:val="1"/>
          <w:bCs w:val="1"/>
          <w:color w:val="auto"/>
        </w:rPr>
        <w:t xml:space="preserve"> </w:t>
      </w:r>
      <w:r>
        <w:rPr>
          <w:rFonts w:ascii="Arial" w:cs="Arial" w:eastAsia="Arial" w:hAnsi="Arial"/>
          <w:sz w:val="17"/>
          <w:szCs w:val="17"/>
          <w:color w:val="auto"/>
        </w:rPr>
        <w:t>be consolidated, or any corporation or entity resulting from any merger, conversion or consolidation to which the Escrow Agent will be a party, or any corporation or entity succeeding to the business of the Escrow Agent will be the successor of the Escrow Agent hereunder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99" w:lineRule="exact"/>
        <w:rPr>
          <w:rFonts w:ascii="Arial" w:cs="Arial" w:eastAsia="Arial" w:hAnsi="Arial"/>
          <w:sz w:val="17"/>
          <w:szCs w:val="17"/>
          <w:b w:val="1"/>
          <w:bCs w:val="1"/>
          <w:color w:val="auto"/>
        </w:rPr>
      </w:pPr>
    </w:p>
    <w:p>
      <w:pPr>
        <w:jc w:val="both"/>
        <w:ind w:firstLine="642"/>
        <w:spacing w:after="0" w:line="226" w:lineRule="auto"/>
        <w:tabs>
          <w:tab w:leader="none" w:pos="117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terminate and the Escrow Account shall be closed upon the distribution of all Escrow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Escrow Account established hereunder in accordance with the terms of this Agreement, subject, however, to the survival of obligations specifically contemplated in this Agreement to so survive.</w:t>
      </w:r>
    </w:p>
    <w:p>
      <w:pPr>
        <w:spacing w:after="0" w:line="198" w:lineRule="exact"/>
        <w:rPr>
          <w:rFonts w:ascii="Arial" w:cs="Arial" w:eastAsia="Arial" w:hAnsi="Arial"/>
          <w:sz w:val="18"/>
          <w:szCs w:val="18"/>
          <w:b w:val="1"/>
          <w:bCs w:val="1"/>
          <w:color w:val="auto"/>
        </w:rPr>
      </w:pPr>
    </w:p>
    <w:p>
      <w:pPr>
        <w:jc w:val="both"/>
        <w:ind w:firstLine="642"/>
        <w:spacing w:after="0" w:line="237" w:lineRule="auto"/>
        <w:tabs>
          <w:tab w:leader="none" w:pos="117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simultaneously in two or more counterparts, any one of which need not contain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signatures of more than one party, but all such counterparts taken together shall constitute one and the same agreement. Signatures on counterparts of this Agreement executed and delivered in electronic format (i.e. “pdf”) or by other electronic means (including DocuSign) shall be deemed original signatures with all rights accruing thereto except in respect to any non-US entity, whereby originals may be required.</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[Remainder of Page Left Intentionally Blank]</w:t>
      </w:r>
    </w:p>
    <w:p>
      <w:pPr>
        <w:sectPr>
          <w:pgSz w:w="11900" w:h="16838" w:orient="portrait"/>
          <w:cols w:equalWidth="0" w:num="1">
            <w:col w:w="11000"/>
          </w:cols>
          <w:pgMar w:left="460" w:top="1408" w:right="439" w:bottom="1440" w:gutter="0" w:footer="0" w:header="0"/>
        </w:sectPr>
      </w:pPr>
    </w:p>
    <w:bookmarkStart w:id="104" w:name="page105"/>
    <w:bookmarkEnd w:id="104"/>
    <w:p>
      <w:pPr>
        <w:ind w:firstLine="648"/>
        <w:spacing w:after="0" w:line="237" w:lineRule="auto"/>
        <w:rPr>
          <w:sz w:val="20"/>
          <w:szCs w:val="20"/>
          <w:color w:val="auto"/>
        </w:rPr>
      </w:pPr>
      <w:r>
        <w:rPr>
          <w:rFonts w:ascii="Arial" w:cs="Arial" w:eastAsia="Arial" w:hAnsi="Arial"/>
          <w:sz w:val="18"/>
          <w:szCs w:val="18"/>
          <w:b w:val="1"/>
          <w:bCs w:val="1"/>
          <w:color w:val="auto"/>
        </w:rPr>
        <w:t>IN WITNESS WHEREOF, each of the parties has caused this Agreement to be executed by a duly authorized representative as of the day and year first written above.</w:t>
      </w:r>
    </w:p>
    <w:p>
      <w:pPr>
        <w:spacing w:after="0" w:line="26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CITIBANK,</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w:t>
      </w:r>
    </w:p>
    <w:p>
      <w:pPr>
        <w:spacing w:after="0" w:line="6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Escrow Agent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34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[PLAINTIFFS’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QSF]</w:t>
      </w:r>
    </w:p>
    <w:p>
      <w:pPr>
        <w:spacing w:after="0" w:line="33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[STERIGENICS]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560"/>
          </w:cols>
          <w:pgMar w:left="460" w:top="1404" w:right="879" w:bottom="1440" w:gutter="0" w:footer="0" w:header="0"/>
        </w:sectPr>
      </w:pPr>
    </w:p>
    <w:bookmarkStart w:id="105" w:name="page106"/>
    <w:bookmarkEnd w:id="105"/>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ESCROW AGENT FEE SCHEDULE</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B</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LIST OF SIGNERS</w:t>
      </w:r>
    </w:p>
    <w:p>
      <w:pPr>
        <w:spacing w:after="0" w:line="216" w:lineRule="exact"/>
        <w:rPr>
          <w:sz w:val="20"/>
          <w:szCs w:val="20"/>
          <w:color w:val="auto"/>
        </w:rPr>
      </w:pPr>
    </w:p>
    <w:p>
      <w:pPr>
        <w:ind w:left="60" w:firstLine="648"/>
        <w:spacing w:after="0" w:line="258" w:lineRule="auto"/>
        <w:rPr>
          <w:sz w:val="20"/>
          <w:szCs w:val="20"/>
          <w:color w:val="auto"/>
        </w:rPr>
      </w:pPr>
      <w:r>
        <w:rPr>
          <w:rFonts w:ascii="Arial" w:cs="Arial" w:eastAsia="Arial" w:hAnsi="Arial"/>
          <w:sz w:val="17"/>
          <w:szCs w:val="17"/>
          <w:color w:val="auto"/>
        </w:rPr>
        <w:t>Each of the following person(s) is authorized to execute documents and to direct the Escrow Agent as to all matters on the Plaintiffs’ QSF’s behalf. The Escrow Agent may confirm the instructions received by return call to any one of the telephone numbers listed below.</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PLAINTIFFS’ QSF</w:t>
      </w:r>
    </w:p>
    <w:p>
      <w:pPr>
        <w:spacing w:after="0" w:line="227" w:lineRule="exact"/>
        <w:rPr>
          <w:sz w:val="20"/>
          <w:szCs w:val="20"/>
          <w:color w:val="auto"/>
        </w:rPr>
      </w:pPr>
    </w:p>
    <w:p>
      <w:pPr>
        <w:ind w:left="60"/>
        <w:spacing w:after="0"/>
        <w:tabs>
          <w:tab w:leader="none" w:pos="1060" w:val="left"/>
          <w:tab w:leader="none" w:pos="2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-8890</wp:posOffset>
            </wp:positionV>
            <wp:extent cx="2286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1065530</wp:posOffset>
            </wp:positionH>
            <wp:positionV relativeFrom="paragraph">
              <wp:posOffset>-8890</wp:posOffset>
            </wp:positionV>
            <wp:extent cx="2286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-8890</wp:posOffset>
            </wp:positionV>
            <wp:extent cx="114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-20320</wp:posOffset>
            </wp:positionV>
            <wp:extent cx="114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80" w:lineRule="exact"/>
        <w:rPr>
          <w:sz w:val="20"/>
          <w:szCs w:val="20"/>
          <w:color w:val="auto"/>
        </w:rPr>
      </w:pPr>
    </w:p>
    <w:p>
      <w:pPr>
        <w:ind w:left="60"/>
        <w:spacing w:after="0"/>
        <w:tabs>
          <w:tab w:leader="none" w:pos="2380" w:val="left"/>
        </w:tabs>
        <w:rPr>
          <w:sz w:val="20"/>
          <w:szCs w:val="20"/>
          <w:color w:val="auto"/>
        </w:rPr>
      </w:pPr>
      <w:r>
        <w:rPr>
          <w:rFonts w:ascii="Arial" w:cs="Arial" w:eastAsia="Arial" w:hAnsi="Arial"/>
          <w:sz w:val="18"/>
          <w:szCs w:val="18"/>
          <w:b w:val="1"/>
          <w:bCs w:val="1"/>
          <w:color w:val="auto"/>
        </w:rPr>
        <w:t>Manual Specimen Signature</w:t>
      </w:r>
      <w:r>
        <w:rPr>
          <w:sz w:val="20"/>
          <w:szCs w:val="20"/>
          <w:color w:val="auto"/>
        </w:rPr>
        <w:tab/>
      </w:r>
      <w:r>
        <w:rPr>
          <w:rFonts w:ascii="Arial" w:cs="Arial" w:eastAsia="Arial" w:hAnsi="Arial"/>
          <w:sz w:val="15"/>
          <w:szCs w:val="15"/>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tabs>
          <w:tab w:leader="none" w:pos="1060" w:val="left"/>
          <w:tab w:leader="none" w:pos="2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-8890</wp:posOffset>
            </wp:positionV>
            <wp:extent cx="2286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1065530</wp:posOffset>
            </wp:positionH>
            <wp:positionV relativeFrom="paragraph">
              <wp:posOffset>-8890</wp:posOffset>
            </wp:positionV>
            <wp:extent cx="2286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-8890</wp:posOffset>
            </wp:positionV>
            <wp:extent cx="114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-20320</wp:posOffset>
            </wp:positionV>
            <wp:extent cx="1143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66" w:lineRule="exact"/>
        <w:rPr>
          <w:sz w:val="20"/>
          <w:szCs w:val="20"/>
          <w:color w:val="auto"/>
        </w:rPr>
      </w:pPr>
    </w:p>
    <w:p>
      <w:pPr>
        <w:ind w:left="60"/>
        <w:spacing w:after="0"/>
        <w:tabs>
          <w:tab w:leader="none" w:pos="2380" w:val="left"/>
        </w:tabs>
        <w:rPr>
          <w:sz w:val="20"/>
          <w:szCs w:val="20"/>
          <w:color w:val="auto"/>
        </w:rPr>
      </w:pPr>
      <w:r>
        <w:rPr>
          <w:rFonts w:ascii="Arial" w:cs="Arial" w:eastAsia="Arial" w:hAnsi="Arial"/>
          <w:sz w:val="18"/>
          <w:szCs w:val="18"/>
          <w:b w:val="1"/>
          <w:bCs w:val="1"/>
          <w:color w:val="auto"/>
        </w:rPr>
        <w:t>Manual Specimen Signature</w:t>
      </w:r>
      <w:r>
        <w:rPr>
          <w:sz w:val="20"/>
          <w:szCs w:val="20"/>
          <w:color w:val="auto"/>
        </w:rPr>
        <w:tab/>
      </w:r>
      <w:r>
        <w:rPr>
          <w:rFonts w:ascii="Arial" w:cs="Arial" w:eastAsia="Arial" w:hAnsi="Arial"/>
          <w:sz w:val="15"/>
          <w:szCs w:val="15"/>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View-Only Reporting Access via Citidirect for Securities</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 Check here for same as above.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Please indicate those persons other than above requiring view access for statement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23495</wp:posOffset>
            </wp:positionV>
            <wp:extent cx="6892290" cy="1071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92290" cy="1071880"/>
                    </a:xfrm>
                    <a:prstGeom prst="rect">
                      <a:avLst/>
                    </a:prstGeom>
                    <a:noFill/>
                  </pic:spPr>
                </pic:pic>
              </a:graphicData>
            </a:graphic>
          </wp:anchor>
        </w:drawing>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493"/>
        </w:trPr>
        <w:tc>
          <w:tcPr>
            <w:tcW w:w="2900" w:type="dxa"/>
            <w:vAlign w:val="bottom"/>
            <w:shd w:val="clear" w:color="auto" w:fill="C0C0C0"/>
          </w:tcPr>
          <w:p>
            <w:pPr>
              <w:ind w:left="1120"/>
              <w:spacing w:after="0"/>
              <w:rPr>
                <w:sz w:val="20"/>
                <w:szCs w:val="20"/>
                <w:color w:val="auto"/>
              </w:rPr>
            </w:pPr>
            <w:r>
              <w:rPr>
                <w:rFonts w:ascii="Arial" w:cs="Arial" w:eastAsia="Arial" w:hAnsi="Arial"/>
                <w:sz w:val="18"/>
                <w:szCs w:val="18"/>
                <w:b w:val="1"/>
                <w:bCs w:val="1"/>
                <w:color w:val="auto"/>
              </w:rPr>
              <w:t>First Name</w:t>
            </w:r>
          </w:p>
        </w:tc>
        <w:tc>
          <w:tcPr>
            <w:tcW w:w="2460" w:type="dxa"/>
            <w:vAlign w:val="bottom"/>
            <w:shd w:val="clear" w:color="auto" w:fill="C0C0C0"/>
          </w:tcPr>
          <w:p>
            <w:pPr>
              <w:ind w:left="940"/>
              <w:spacing w:after="0"/>
              <w:rPr>
                <w:sz w:val="20"/>
                <w:szCs w:val="20"/>
                <w:color w:val="auto"/>
              </w:rPr>
            </w:pPr>
            <w:r>
              <w:rPr>
                <w:rFonts w:ascii="Arial" w:cs="Arial" w:eastAsia="Arial" w:hAnsi="Arial"/>
                <w:sz w:val="18"/>
                <w:szCs w:val="18"/>
                <w:b w:val="1"/>
                <w:bCs w:val="1"/>
                <w:color w:val="auto"/>
              </w:rPr>
              <w:t>Last Name</w:t>
            </w:r>
          </w:p>
        </w:tc>
        <w:tc>
          <w:tcPr>
            <w:tcW w:w="2080" w:type="dxa"/>
            <w:vAlign w:val="bottom"/>
            <w:shd w:val="clear" w:color="auto" w:fill="C0C0C0"/>
          </w:tcPr>
          <w:p>
            <w:pPr>
              <w:ind w:left="680"/>
              <w:spacing w:after="0"/>
              <w:rPr>
                <w:sz w:val="20"/>
                <w:szCs w:val="20"/>
                <w:color w:val="auto"/>
              </w:rPr>
            </w:pPr>
            <w:r>
              <w:rPr>
                <w:rFonts w:ascii="Arial" w:cs="Arial" w:eastAsia="Arial" w:hAnsi="Arial"/>
                <w:sz w:val="18"/>
                <w:szCs w:val="18"/>
                <w:b w:val="1"/>
                <w:bCs w:val="1"/>
                <w:color w:val="auto"/>
              </w:rPr>
              <w:t>Telephone</w:t>
            </w:r>
          </w:p>
        </w:tc>
        <w:tc>
          <w:tcPr>
            <w:tcW w:w="3400" w:type="dxa"/>
            <w:vAlign w:val="bottom"/>
            <w:shd w:val="clear" w:color="auto" w:fill="C0C0C0"/>
          </w:tcPr>
          <w:p>
            <w:pPr>
              <w:ind w:left="620"/>
              <w:spacing w:after="0"/>
              <w:rPr>
                <w:sz w:val="20"/>
                <w:szCs w:val="20"/>
                <w:color w:val="auto"/>
              </w:rPr>
            </w:pPr>
            <w:r>
              <w:rPr>
                <w:rFonts w:ascii="Arial" w:cs="Arial" w:eastAsia="Arial" w:hAnsi="Arial"/>
                <w:sz w:val="18"/>
                <w:szCs w:val="18"/>
                <w:b w:val="1"/>
                <w:bCs w:val="1"/>
                <w:color w:val="auto"/>
              </w:rPr>
              <w:t>Corporate Email</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400" w:top="1440" w:right="439" w:bottom="1440" w:gutter="0" w:footer="0" w:header="0"/>
        </w:sectPr>
      </w:pPr>
    </w:p>
    <w:bookmarkStart w:id="107" w:name="page108"/>
    <w:bookmarkEnd w:id="107"/>
    <w:p>
      <w:pPr>
        <w:spacing w:after="0" w:line="72"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SCHEDULE C AUTHORIZED LIST OF SIGNERS</w:t>
      </w:r>
    </w:p>
    <w:p>
      <w:pPr>
        <w:spacing w:after="0" w:line="94" w:lineRule="exact"/>
        <w:rPr>
          <w:sz w:val="20"/>
          <w:szCs w:val="20"/>
          <w:color w:val="auto"/>
        </w:rPr>
      </w:pPr>
    </w:p>
    <w:p>
      <w:pPr>
        <w:ind w:left="140" w:firstLine="648"/>
        <w:spacing w:after="0" w:line="274" w:lineRule="auto"/>
        <w:rPr>
          <w:sz w:val="20"/>
          <w:szCs w:val="20"/>
          <w:color w:val="auto"/>
        </w:rPr>
      </w:pPr>
      <w:r>
        <w:rPr>
          <w:rFonts w:ascii="Arial" w:cs="Arial" w:eastAsia="Arial" w:hAnsi="Arial"/>
          <w:sz w:val="17"/>
          <w:szCs w:val="17"/>
          <w:color w:val="auto"/>
        </w:rPr>
        <w:t>Each of the following person(s) is authorized to execute documents and to direct the Escrow Agent as to all matters on Sterigenics’ behalf. The Escrow Agent may confirm the instructions received by return call to any one of the telephone numbers listed below.</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STERIGENICS</w:t>
      </w:r>
    </w:p>
    <w:p>
      <w:pPr>
        <w:spacing w:after="0" w:line="216" w:lineRule="exact"/>
        <w:rPr>
          <w:sz w:val="20"/>
          <w:szCs w:val="20"/>
          <w:color w:val="auto"/>
        </w:rPr>
      </w:pPr>
    </w:p>
    <w:p>
      <w:pPr>
        <w:ind w:left="140"/>
        <w:spacing w:after="0"/>
        <w:tabs>
          <w:tab w:leader="none" w:pos="1140" w:val="left"/>
          <w:tab w:leader="none" w:pos="2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-10160</wp:posOffset>
            </wp:positionV>
            <wp:extent cx="2286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1116330</wp:posOffset>
            </wp:positionH>
            <wp:positionV relativeFrom="paragraph">
              <wp:posOffset>-10160</wp:posOffset>
            </wp:positionV>
            <wp:extent cx="2286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-10160</wp:posOffset>
            </wp:positionV>
            <wp:extent cx="1143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-20320</wp:posOffset>
            </wp:positionV>
            <wp:extent cx="114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66" w:lineRule="exact"/>
        <w:rPr>
          <w:sz w:val="20"/>
          <w:szCs w:val="20"/>
          <w:color w:val="auto"/>
        </w:rPr>
      </w:pPr>
    </w:p>
    <w:p>
      <w:pPr>
        <w:ind w:left="140"/>
        <w:spacing w:after="0"/>
        <w:tabs>
          <w:tab w:leader="none" w:pos="2460" w:val="left"/>
        </w:tabs>
        <w:rPr>
          <w:sz w:val="20"/>
          <w:szCs w:val="20"/>
          <w:color w:val="auto"/>
        </w:rPr>
      </w:pPr>
      <w:r>
        <w:rPr>
          <w:rFonts w:ascii="Arial" w:cs="Arial" w:eastAsia="Arial" w:hAnsi="Arial"/>
          <w:sz w:val="18"/>
          <w:szCs w:val="18"/>
          <w:b w:val="1"/>
          <w:bCs w:val="1"/>
          <w:color w:val="auto"/>
        </w:rPr>
        <w:t>Manual Specimen Signature</w:t>
      </w:r>
      <w:r>
        <w:rPr>
          <w:sz w:val="20"/>
          <w:szCs w:val="20"/>
          <w:color w:val="auto"/>
        </w:rPr>
        <w:tab/>
      </w:r>
      <w:r>
        <w:rPr>
          <w:rFonts w:ascii="Arial" w:cs="Arial" w:eastAsia="Arial" w:hAnsi="Arial"/>
          <w:sz w:val="15"/>
          <w:szCs w:val="15"/>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
        <w:spacing w:after="0"/>
        <w:tabs>
          <w:tab w:leader="none" w:pos="1140" w:val="left"/>
          <w:tab w:leader="none" w:pos="2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-8890</wp:posOffset>
            </wp:positionV>
            <wp:extent cx="2286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1116330</wp:posOffset>
            </wp:positionH>
            <wp:positionV relativeFrom="paragraph">
              <wp:posOffset>-8890</wp:posOffset>
            </wp:positionV>
            <wp:extent cx="2286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-8890</wp:posOffset>
            </wp:positionV>
            <wp:extent cx="114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-20320</wp:posOffset>
            </wp:positionV>
            <wp:extent cx="1143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80" w:lineRule="exact"/>
        <w:rPr>
          <w:sz w:val="20"/>
          <w:szCs w:val="20"/>
          <w:color w:val="auto"/>
        </w:rPr>
      </w:pPr>
    </w:p>
    <w:p>
      <w:pPr>
        <w:ind w:left="140"/>
        <w:spacing w:after="0"/>
        <w:tabs>
          <w:tab w:leader="none" w:pos="2460" w:val="left"/>
        </w:tabs>
        <w:rPr>
          <w:sz w:val="20"/>
          <w:szCs w:val="20"/>
          <w:color w:val="auto"/>
        </w:rPr>
      </w:pPr>
      <w:r>
        <w:rPr>
          <w:rFonts w:ascii="Arial" w:cs="Arial" w:eastAsia="Arial" w:hAnsi="Arial"/>
          <w:sz w:val="18"/>
          <w:szCs w:val="18"/>
          <w:b w:val="1"/>
          <w:bCs w:val="1"/>
          <w:color w:val="auto"/>
        </w:rPr>
        <w:t>Manual Specimen Signature</w:t>
      </w:r>
      <w:r>
        <w:rPr>
          <w:sz w:val="20"/>
          <w:szCs w:val="20"/>
          <w:color w:val="auto"/>
        </w:rPr>
        <w:tab/>
      </w:r>
      <w:r>
        <w:rPr>
          <w:rFonts w:ascii="Arial" w:cs="Arial" w:eastAsia="Arial" w:hAnsi="Arial"/>
          <w:sz w:val="15"/>
          <w:szCs w:val="15"/>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View-Only Reporting Access via Citidirect for Securities</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 Check here for same as above.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Please indicate those persons other than above requiring view access for statement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23495</wp:posOffset>
            </wp:positionV>
            <wp:extent cx="6892290" cy="1071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92290" cy="1071880"/>
                    </a:xfrm>
                    <a:prstGeom prst="rect">
                      <a:avLst/>
                    </a:prstGeom>
                    <a:noFill/>
                  </pic:spPr>
                </pic:pic>
              </a:graphicData>
            </a:graphic>
          </wp:anchor>
        </w:drawing>
      </w:r>
    </w:p>
    <w:p>
      <w:pPr>
        <w:spacing w:after="0" w:line="23" w:lineRule="exact"/>
        <w:rPr>
          <w:sz w:val="20"/>
          <w:szCs w:val="20"/>
          <w:color w:val="auto"/>
        </w:rPr>
      </w:pPr>
    </w:p>
    <w:tbl>
      <w:tblPr>
        <w:tblLayout w:type="fixed"/>
        <w:tblInd w:w="140" w:type="dxa"/>
        <w:tblCellMar>
          <w:top w:w="0" w:type="dxa"/>
          <w:left w:w="0" w:type="dxa"/>
          <w:bottom w:w="0" w:type="dxa"/>
          <w:right w:w="0" w:type="dxa"/>
        </w:tblCellMar>
      </w:tblPr>
      <w:tr>
        <w:trPr>
          <w:trHeight w:val="493"/>
        </w:trPr>
        <w:tc>
          <w:tcPr>
            <w:tcW w:w="2900" w:type="dxa"/>
            <w:vAlign w:val="bottom"/>
            <w:shd w:val="clear" w:color="auto" w:fill="C0C0C0"/>
          </w:tcPr>
          <w:p>
            <w:pPr>
              <w:ind w:left="1120"/>
              <w:spacing w:after="0"/>
              <w:rPr>
                <w:sz w:val="20"/>
                <w:szCs w:val="20"/>
                <w:color w:val="auto"/>
              </w:rPr>
            </w:pPr>
            <w:r>
              <w:rPr>
                <w:rFonts w:ascii="Arial" w:cs="Arial" w:eastAsia="Arial" w:hAnsi="Arial"/>
                <w:sz w:val="18"/>
                <w:szCs w:val="18"/>
                <w:b w:val="1"/>
                <w:bCs w:val="1"/>
                <w:color w:val="auto"/>
              </w:rPr>
              <w:t>First Name</w:t>
            </w:r>
          </w:p>
        </w:tc>
        <w:tc>
          <w:tcPr>
            <w:tcW w:w="2460" w:type="dxa"/>
            <w:vAlign w:val="bottom"/>
            <w:shd w:val="clear" w:color="auto" w:fill="C0C0C0"/>
          </w:tcPr>
          <w:p>
            <w:pPr>
              <w:ind w:left="940"/>
              <w:spacing w:after="0"/>
              <w:rPr>
                <w:sz w:val="20"/>
                <w:szCs w:val="20"/>
                <w:color w:val="auto"/>
              </w:rPr>
            </w:pPr>
            <w:r>
              <w:rPr>
                <w:rFonts w:ascii="Arial" w:cs="Arial" w:eastAsia="Arial" w:hAnsi="Arial"/>
                <w:sz w:val="18"/>
                <w:szCs w:val="18"/>
                <w:b w:val="1"/>
                <w:bCs w:val="1"/>
                <w:color w:val="auto"/>
              </w:rPr>
              <w:t>Last Name</w:t>
            </w:r>
          </w:p>
        </w:tc>
        <w:tc>
          <w:tcPr>
            <w:tcW w:w="2080" w:type="dxa"/>
            <w:vAlign w:val="bottom"/>
            <w:shd w:val="clear" w:color="auto" w:fill="C0C0C0"/>
          </w:tcPr>
          <w:p>
            <w:pPr>
              <w:ind w:left="680"/>
              <w:spacing w:after="0"/>
              <w:rPr>
                <w:sz w:val="20"/>
                <w:szCs w:val="20"/>
                <w:color w:val="auto"/>
              </w:rPr>
            </w:pPr>
            <w:r>
              <w:rPr>
                <w:rFonts w:ascii="Arial" w:cs="Arial" w:eastAsia="Arial" w:hAnsi="Arial"/>
                <w:sz w:val="18"/>
                <w:szCs w:val="18"/>
                <w:b w:val="1"/>
                <w:bCs w:val="1"/>
                <w:color w:val="auto"/>
              </w:rPr>
              <w:t>Telephone</w:t>
            </w:r>
          </w:p>
        </w:tc>
        <w:tc>
          <w:tcPr>
            <w:tcW w:w="3400" w:type="dxa"/>
            <w:vAlign w:val="bottom"/>
            <w:shd w:val="clear" w:color="auto" w:fill="C0C0C0"/>
          </w:tcPr>
          <w:p>
            <w:pPr>
              <w:ind w:left="620"/>
              <w:spacing w:after="0"/>
              <w:rPr>
                <w:sz w:val="20"/>
                <w:szCs w:val="20"/>
                <w:color w:val="auto"/>
              </w:rPr>
            </w:pPr>
            <w:r>
              <w:rPr>
                <w:rFonts w:ascii="Arial" w:cs="Arial" w:eastAsia="Arial" w:hAnsi="Arial"/>
                <w:sz w:val="18"/>
                <w:szCs w:val="18"/>
                <w:b w:val="1"/>
                <w:bCs w:val="1"/>
                <w:color w:val="auto"/>
              </w:rPr>
              <w:t>Corporate Email</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1440" w:right="459" w:bottom="1440" w:gutter="0" w:footer="0" w:header="0"/>
        </w:sectPr>
      </w:pPr>
    </w:p>
    <w:bookmarkStart w:id="108" w:name="page109"/>
    <w:bookmarkEnd w:id="108"/>
    <w:p>
      <w:pPr>
        <w:spacing w:after="0" w:line="302" w:lineRule="exact"/>
        <w:rPr>
          <w:sz w:val="20"/>
          <w:szCs w:val="20"/>
          <w:color w:val="auto"/>
        </w:rPr>
      </w:pPr>
    </w:p>
    <w:p>
      <w:pPr>
        <w:jc w:val="right"/>
        <w:ind w:right="2739"/>
        <w:spacing w:after="0"/>
        <w:rPr>
          <w:sz w:val="20"/>
          <w:szCs w:val="20"/>
          <w:color w:val="auto"/>
        </w:rPr>
      </w:pPr>
      <w:r>
        <w:rPr>
          <w:rFonts w:ascii="Arial" w:cs="Arial" w:eastAsia="Arial" w:hAnsi="Arial"/>
          <w:sz w:val="18"/>
          <w:szCs w:val="18"/>
          <w:b w:val="1"/>
          <w:bCs w:val="1"/>
          <w:color w:val="auto"/>
        </w:rPr>
        <w:t>SCHEDULE D WIRE INSTRUCTIONS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If to the Plaintiffs’ QSF: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03" w:lineRule="auto"/>
        <w:rPr>
          <w:sz w:val="20"/>
          <w:szCs w:val="20"/>
          <w:color w:val="auto"/>
        </w:rPr>
      </w:pPr>
      <w:r>
        <w:rPr>
          <w:rFonts w:ascii="Arial" w:cs="Arial" w:eastAsia="Arial" w:hAnsi="Arial"/>
          <w:sz w:val="18"/>
          <w:szCs w:val="18"/>
          <w:color w:val="auto"/>
        </w:rPr>
        <w:t>ABA#:</w:t>
      </w:r>
    </w:p>
    <w:p>
      <w:pPr>
        <w:spacing w:after="0" w:line="203" w:lineRule="auto"/>
        <w:rPr>
          <w:sz w:val="20"/>
          <w:szCs w:val="20"/>
          <w:color w:val="auto"/>
        </w:rPr>
      </w:pPr>
      <w:r>
        <w:rPr>
          <w:rFonts w:ascii="Arial" w:cs="Arial" w:eastAsia="Arial" w:hAnsi="Arial"/>
          <w:sz w:val="18"/>
          <w:szCs w:val="18"/>
          <w:color w:val="auto"/>
        </w:rPr>
        <w:t>Account Name:</w:t>
      </w:r>
    </w:p>
    <w:p>
      <w:pPr>
        <w:spacing w:after="0" w:line="220" w:lineRule="auto"/>
        <w:rPr>
          <w:sz w:val="20"/>
          <w:szCs w:val="20"/>
          <w:color w:val="auto"/>
        </w:rPr>
      </w:pPr>
      <w:r>
        <w:rPr>
          <w:rFonts w:ascii="Arial" w:cs="Arial" w:eastAsia="Arial" w:hAnsi="Arial"/>
          <w:sz w:val="18"/>
          <w:szCs w:val="18"/>
          <w:color w:val="auto"/>
        </w:rPr>
        <w:t>A/C#:</w:t>
      </w:r>
    </w:p>
    <w:p>
      <w:pPr>
        <w:spacing w:after="0"/>
        <w:rPr>
          <w:sz w:val="20"/>
          <w:szCs w:val="20"/>
          <w:color w:val="auto"/>
        </w:rPr>
      </w:pPr>
      <w:r>
        <w:rPr>
          <w:rFonts w:ascii="Arial" w:cs="Arial" w:eastAsia="Arial" w:hAnsi="Arial"/>
          <w:sz w:val="18"/>
          <w:szCs w:val="18"/>
          <w:color w:val="auto"/>
        </w:rPr>
        <w:t>Ref:</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If to Sterigenics: Bank: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ABA#:</w:t>
      </w:r>
    </w:p>
    <w:p>
      <w:pPr>
        <w:spacing w:after="0" w:line="234" w:lineRule="auto"/>
        <w:rPr>
          <w:sz w:val="20"/>
          <w:szCs w:val="20"/>
          <w:color w:val="auto"/>
        </w:rPr>
      </w:pPr>
      <w:r>
        <w:rPr>
          <w:rFonts w:ascii="Arial" w:cs="Arial" w:eastAsia="Arial" w:hAnsi="Arial"/>
          <w:sz w:val="18"/>
          <w:szCs w:val="18"/>
          <w:color w:val="auto"/>
        </w:rPr>
        <w:t>Account Name:</w:t>
      </w:r>
    </w:p>
    <w:p>
      <w:pPr>
        <w:spacing w:after="0" w:line="204" w:lineRule="auto"/>
        <w:rPr>
          <w:sz w:val="20"/>
          <w:szCs w:val="20"/>
          <w:color w:val="auto"/>
        </w:rPr>
      </w:pPr>
      <w:r>
        <w:rPr>
          <w:rFonts w:ascii="Arial" w:cs="Arial" w:eastAsia="Arial" w:hAnsi="Arial"/>
          <w:sz w:val="18"/>
          <w:szCs w:val="18"/>
          <w:color w:val="auto"/>
        </w:rPr>
        <w:t>A/C#:</w:t>
      </w:r>
    </w:p>
    <w:p>
      <w:pPr>
        <w:spacing w:after="0"/>
        <w:rPr>
          <w:sz w:val="20"/>
          <w:szCs w:val="20"/>
          <w:color w:val="auto"/>
        </w:rPr>
      </w:pPr>
      <w:r>
        <w:rPr>
          <w:rFonts w:ascii="Arial" w:cs="Arial" w:eastAsia="Arial" w:hAnsi="Arial"/>
          <w:sz w:val="18"/>
          <w:szCs w:val="18"/>
          <w:color w:val="auto"/>
        </w:rPr>
        <w:t>Ref:</w:t>
      </w:r>
    </w:p>
    <w:p>
      <w:pPr>
        <w:sectPr>
          <w:pgSz w:w="11900" w:h="16838" w:orient="portrait"/>
          <w:cols w:equalWidth="0" w:num="1">
            <w:col w:w="9999"/>
          </w:cols>
          <w:pgMar w:left="460" w:top="1440" w:right="1440" w:bottom="1440" w:gutter="0" w:footer="0" w:header="0"/>
        </w:sectPr>
      </w:pPr>
    </w:p>
    <w:bookmarkStart w:id="109" w:name="page110"/>
    <w:bookmarkEnd w:id="109"/>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02"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Settlement Funds Allocation between the Settling Claimants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Susan and Brian Kamuda:*****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Teresa and Doug Fornek:*****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Heather and Michael Schumacher:*****</w:t>
      </w:r>
    </w:p>
    <w:p>
      <w:pPr>
        <w:sectPr>
          <w:pgSz w:w="11900" w:h="16838" w:orient="portrait"/>
          <w:cols w:equalWidth="0" w:num="1">
            <w:col w:w="10139"/>
          </w:cols>
          <w:pgMar w:left="320" w:top="1440" w:right="1440" w:bottom="1440" w:gutter="0" w:footer="0" w:header="0"/>
        </w:sectPr>
      </w:pPr>
    </w:p>
    <w:bookmarkStart w:id="110" w:name="page111"/>
    <w:bookmarkEnd w:id="110"/>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Stipulated Dismissals</w:t>
      </w:r>
    </w:p>
    <w:p>
      <w:pPr>
        <w:sectPr>
          <w:pgSz w:w="11900" w:h="16838" w:orient="portrait"/>
          <w:cols w:equalWidth="0" w:num="1">
            <w:col w:w="9019"/>
          </w:cols>
          <w:pgMar w:left="1440" w:top="1440" w:right="1440" w:bottom="1440" w:gutter="0" w:footer="0" w:header="0"/>
        </w:sectPr>
      </w:pPr>
    </w:p>
    <w:bookmarkStart w:id="111" w:name="page112"/>
    <w:bookmarkEnd w:id="111"/>
    <w:p>
      <w:pPr>
        <w:ind w:left="1120"/>
        <w:spacing w:after="0"/>
        <w:rPr>
          <w:sz w:val="20"/>
          <w:szCs w:val="20"/>
          <w:color w:val="auto"/>
        </w:rPr>
      </w:pPr>
      <w:r>
        <w:rPr>
          <w:rFonts w:ascii="Arial" w:cs="Arial" w:eastAsia="Arial" w:hAnsi="Arial"/>
          <w:sz w:val="18"/>
          <w:szCs w:val="18"/>
          <w:b w:val="1"/>
          <w:bCs w:val="1"/>
          <w:color w:val="2F2F2F"/>
        </w:rPr>
        <w:t>IN THE CIRCUIT COURT OF COOK COUNTY, ILLINOIS COUNTY DEPARTMENT, LAW DIVISION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 RE: WILLOWBROOK ETHYLENE</w:t>
            </w:r>
          </w:p>
        </w:tc>
        <w:tc>
          <w:tcPr>
            <w:tcW w:w="720" w:type="dxa"/>
            <w:vAlign w:val="bottom"/>
            <w:tcBorders>
              <w:top w:val="single" w:sz="8" w:color="auto"/>
              <w:right w:val="single" w:sz="8" w:color="auto"/>
            </w:tcBorders>
          </w:tcPr>
          <w:p>
            <w:pPr>
              <w:spacing w:after="0"/>
              <w:rPr>
                <w:sz w:val="21"/>
                <w:szCs w:val="21"/>
                <w:color w:val="auto"/>
              </w:rPr>
            </w:pPr>
          </w:p>
        </w:tc>
        <w:tc>
          <w:tcPr>
            <w:tcW w:w="2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OXIDE LITIGATION</w:t>
            </w:r>
          </w:p>
        </w:tc>
        <w:tc>
          <w:tcPr>
            <w:tcW w:w="720" w:type="dxa"/>
            <w:vAlign w:val="bottom"/>
            <w:tcBorders>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080" w:type="dxa"/>
            <w:vAlign w:val="bottom"/>
          </w:tcPr>
          <w:p>
            <w:pPr>
              <w:ind w:left="20"/>
              <w:spacing w:after="0"/>
              <w:rPr>
                <w:sz w:val="20"/>
                <w:szCs w:val="20"/>
                <w:color w:val="auto"/>
              </w:rPr>
            </w:pPr>
            <w:r>
              <w:rPr>
                <w:rFonts w:ascii="Arial" w:cs="Arial" w:eastAsia="Arial" w:hAnsi="Arial"/>
                <w:sz w:val="18"/>
                <w:szCs w:val="18"/>
                <w:color w:val="auto"/>
              </w:rPr>
              <w:t>This Filing Applies to:</w:t>
            </w:r>
          </w:p>
        </w:tc>
        <w:tc>
          <w:tcPr>
            <w:tcW w:w="720" w:type="dxa"/>
            <w:vAlign w:val="bottom"/>
            <w:tcBorders>
              <w:right w:val="single" w:sz="8" w:color="auto"/>
            </w:tcBorders>
          </w:tcPr>
          <w:p>
            <w:pPr>
              <w:spacing w:after="0"/>
              <w:rPr>
                <w:sz w:val="23"/>
                <w:szCs w:val="23"/>
                <w:color w:val="auto"/>
              </w:rPr>
            </w:pPr>
          </w:p>
        </w:tc>
        <w:tc>
          <w:tcPr>
            <w:tcW w:w="3300" w:type="dxa"/>
            <w:vAlign w:val="bottom"/>
            <w:gridSpan w:val="2"/>
          </w:tcPr>
          <w:p>
            <w:pPr>
              <w:ind w:left="1440"/>
              <w:spacing w:after="0"/>
              <w:rPr>
                <w:sz w:val="20"/>
                <w:szCs w:val="20"/>
                <w:color w:val="auto"/>
              </w:rPr>
            </w:pPr>
            <w:r>
              <w:rPr>
                <w:rFonts w:ascii="Arial" w:cs="Arial" w:eastAsia="Arial" w:hAnsi="Arial"/>
                <w:sz w:val="18"/>
                <w:szCs w:val="18"/>
                <w:b w:val="1"/>
                <w:bCs w:val="1"/>
                <w:color w:val="auto"/>
                <w:w w:val="89"/>
              </w:rPr>
              <w:t>Case No. 2018-L-010475</w:t>
            </w:r>
          </w:p>
        </w:tc>
      </w:tr>
      <w:tr>
        <w:trPr>
          <w:trHeight w:val="446"/>
        </w:trPr>
        <w:tc>
          <w:tcPr>
            <w:tcW w:w="4080" w:type="dxa"/>
            <w:vAlign w:val="bottom"/>
          </w:tcPr>
          <w:p>
            <w:pPr>
              <w:ind w:left="20"/>
              <w:spacing w:after="0"/>
              <w:rPr>
                <w:sz w:val="20"/>
                <w:szCs w:val="20"/>
                <w:color w:val="auto"/>
              </w:rPr>
            </w:pPr>
            <w:r>
              <w:rPr>
                <w:rFonts w:ascii="Arial" w:cs="Arial" w:eastAsia="Arial" w:hAnsi="Arial"/>
                <w:sz w:val="18"/>
                <w:szCs w:val="18"/>
                <w:color w:val="auto"/>
              </w:rPr>
              <w:t>SUSAN KAMUDA and BRIAN KAMUDA,</w:t>
            </w:r>
          </w:p>
        </w:tc>
        <w:tc>
          <w:tcPr>
            <w:tcW w:w="720" w:type="dxa"/>
            <w:vAlign w:val="bottom"/>
            <w:tcBorders>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4080" w:type="dxa"/>
            <w:vAlign w:val="bottom"/>
          </w:tcPr>
          <w:p>
            <w:pPr>
              <w:ind w:left="1700"/>
              <w:spacing w:after="0"/>
              <w:rPr>
                <w:sz w:val="20"/>
                <w:szCs w:val="20"/>
                <w:color w:val="auto"/>
              </w:rPr>
            </w:pPr>
            <w:r>
              <w:rPr>
                <w:rFonts w:ascii="Arial" w:cs="Arial" w:eastAsia="Arial" w:hAnsi="Arial"/>
                <w:sz w:val="18"/>
                <w:szCs w:val="18"/>
                <w:color w:val="auto"/>
              </w:rPr>
              <w:t>Plaintiffs,</w:t>
            </w:r>
          </w:p>
        </w:tc>
        <w:tc>
          <w:tcPr>
            <w:tcW w:w="720" w:type="dxa"/>
            <w:vAlign w:val="bottom"/>
            <w:tcBorders>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6"/>
        </w:trPr>
        <w:tc>
          <w:tcPr>
            <w:tcW w:w="4080" w:type="dxa"/>
            <w:vAlign w:val="bottom"/>
          </w:tcPr>
          <w:p>
            <w:pPr>
              <w:ind w:left="20"/>
              <w:spacing w:after="0"/>
              <w:rPr>
                <w:sz w:val="20"/>
                <w:szCs w:val="20"/>
                <w:color w:val="auto"/>
              </w:rPr>
            </w:pPr>
            <w:r>
              <w:rPr>
                <w:rFonts w:ascii="Arial" w:cs="Arial" w:eastAsia="Arial" w:hAnsi="Arial"/>
                <w:sz w:val="18"/>
                <w:szCs w:val="18"/>
                <w:color w:val="auto"/>
              </w:rPr>
              <w:t>vs.</w:t>
            </w:r>
          </w:p>
        </w:tc>
        <w:tc>
          <w:tcPr>
            <w:tcW w:w="720" w:type="dxa"/>
            <w:vAlign w:val="bottom"/>
            <w:tcBorders>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4080" w:type="dxa"/>
            <w:vAlign w:val="bottom"/>
          </w:tcPr>
          <w:p>
            <w:pPr>
              <w:ind w:left="20"/>
              <w:spacing w:after="0"/>
              <w:rPr>
                <w:sz w:val="20"/>
                <w:szCs w:val="20"/>
                <w:color w:val="auto"/>
              </w:rPr>
            </w:pPr>
            <w:r>
              <w:rPr>
                <w:rFonts w:ascii="Arial" w:cs="Arial" w:eastAsia="Arial" w:hAnsi="Arial"/>
                <w:sz w:val="18"/>
                <w:szCs w:val="18"/>
                <w:color w:val="auto"/>
              </w:rPr>
              <w:t>STERIGENICS U.S., LLC, et al,</w:t>
            </w:r>
          </w:p>
        </w:tc>
        <w:tc>
          <w:tcPr>
            <w:tcW w:w="720" w:type="dxa"/>
            <w:vAlign w:val="bottom"/>
            <w:tcBorders>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6"/>
        </w:trPr>
        <w:tc>
          <w:tcPr>
            <w:tcW w:w="4080" w:type="dxa"/>
            <w:vAlign w:val="bottom"/>
          </w:tcPr>
          <w:p>
            <w:pPr>
              <w:ind w:left="1700"/>
              <w:spacing w:after="0"/>
              <w:rPr>
                <w:sz w:val="20"/>
                <w:szCs w:val="20"/>
                <w:color w:val="auto"/>
              </w:rPr>
            </w:pPr>
            <w:r>
              <w:rPr>
                <w:rFonts w:ascii="Arial" w:cs="Arial" w:eastAsia="Arial" w:hAnsi="Arial"/>
                <w:sz w:val="18"/>
                <w:szCs w:val="18"/>
                <w:color w:val="auto"/>
              </w:rPr>
              <w:t>Defendants.</w:t>
            </w:r>
          </w:p>
        </w:tc>
        <w:tc>
          <w:tcPr>
            <w:tcW w:w="720" w:type="dxa"/>
            <w:vAlign w:val="bottom"/>
            <w:tcBorders>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
        </w:trPr>
        <w:tc>
          <w:tcPr>
            <w:tcW w:w="40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23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574"/>
        </w:trPr>
        <w:tc>
          <w:tcPr>
            <w:tcW w:w="408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b w:val="1"/>
                <w:bCs w:val="1"/>
                <w:color w:val="2F2F2F"/>
              </w:rPr>
              <w:t>STIPULATION TO DISMISS ACTION</w:t>
            </w:r>
          </w:p>
        </w:tc>
      </w:tr>
      <w:tr>
        <w:trPr>
          <w:trHeight w:val="20"/>
        </w:trPr>
        <w:tc>
          <w:tcPr>
            <w:tcW w:w="4080" w:type="dxa"/>
            <w:vAlign w:val="bottom"/>
          </w:tcPr>
          <w:p>
            <w:pPr>
              <w:spacing w:after="0" w:line="20" w:lineRule="exact"/>
              <w:rPr>
                <w:sz w:val="1"/>
                <w:szCs w:val="1"/>
                <w:color w:val="auto"/>
              </w:rPr>
            </w:pPr>
          </w:p>
        </w:tc>
        <w:tc>
          <w:tcPr>
            <w:tcW w:w="720" w:type="dxa"/>
            <w:vAlign w:val="bottom"/>
            <w:tcBorders>
              <w:right w:val="single" w:sz="8" w:color="2F2F2F"/>
            </w:tcBorders>
            <w:shd w:val="clear" w:color="auto" w:fill="2F2F2F"/>
          </w:tcPr>
          <w:p>
            <w:pPr>
              <w:spacing w:after="0" w:line="20" w:lineRule="exact"/>
              <w:rPr>
                <w:sz w:val="1"/>
                <w:szCs w:val="1"/>
                <w:color w:val="auto"/>
              </w:rPr>
            </w:pPr>
          </w:p>
        </w:tc>
        <w:tc>
          <w:tcPr>
            <w:tcW w:w="2360" w:type="dxa"/>
            <w:vAlign w:val="bottom"/>
            <w:shd w:val="clear" w:color="auto" w:fill="2F2F2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left="140" w:firstLine="659"/>
        <w:spacing w:after="0" w:line="509" w:lineRule="auto"/>
        <w:rPr>
          <w:sz w:val="20"/>
          <w:szCs w:val="20"/>
          <w:color w:val="auto"/>
        </w:rPr>
      </w:pPr>
      <w:r>
        <w:rPr>
          <w:rFonts w:ascii="Arial" w:cs="Arial" w:eastAsia="Arial" w:hAnsi="Arial"/>
          <w:sz w:val="18"/>
          <w:szCs w:val="18"/>
          <w:color w:val="2F2F2F"/>
        </w:rPr>
        <w:t>It is hereby stipulated and agreed by and between the parties to the above entitled action, through their respective attorneys, that this action be dismissed with prejudice and without costs to either party, all costs having been paid and all matters in controversy for which the action was brought having been fully settled. The court retains jurisdiction to enforce the settlement, except as provided in the Term Sheet and Settlement Agreement, and to adjudicate issues relating to the termination or removal of liens.</w:t>
      </w:r>
    </w:p>
    <w:p>
      <w:pPr>
        <w:sectPr>
          <w:pgSz w:w="11900" w:h="16838" w:orient="portrait"/>
          <w:cols w:equalWidth="0" w:num="1">
            <w:col w:w="10840"/>
          </w:cols>
          <w:pgMar w:left="320" w:top="1390" w:right="739" w:bottom="1440" w:gutter="0" w:footer="0" w:header="0"/>
        </w:sectPr>
      </w:pPr>
    </w:p>
    <w:bookmarkStart w:id="112" w:name="page113"/>
    <w:bookmarkEnd w:id="112"/>
    <w:tbl>
      <w:tblPr>
        <w:tblLayout w:type="fixed"/>
        <w:tblInd w:w="1960" w:type="dxa"/>
        <w:tblCellMar>
          <w:top w:w="0" w:type="dxa"/>
          <w:left w:w="0" w:type="dxa"/>
          <w:bottom w:w="0" w:type="dxa"/>
          <w:right w:w="0" w:type="dxa"/>
        </w:tblCellMar>
      </w:tblPr>
      <w:tr>
        <w:trPr>
          <w:trHeight w:val="230"/>
        </w:trPr>
        <w:tc>
          <w:tcPr>
            <w:tcW w:w="3920" w:type="dxa"/>
            <w:vAlign w:val="bottom"/>
            <w:gridSpan w:val="8"/>
          </w:tcPr>
          <w:p>
            <w:pPr>
              <w:ind w:left="20"/>
              <w:spacing w:after="0"/>
              <w:rPr>
                <w:sz w:val="20"/>
                <w:szCs w:val="20"/>
                <w:color w:val="auto"/>
              </w:rPr>
            </w:pPr>
            <w:r>
              <w:rPr>
                <w:rFonts w:ascii="Arial" w:cs="Arial" w:eastAsia="Arial" w:hAnsi="Arial"/>
                <w:sz w:val="18"/>
                <w:szCs w:val="18"/>
                <w:color w:val="auto"/>
              </w:rPr>
              <w:t>Date: 1/12/2023</w:t>
            </w:r>
          </w:p>
        </w:tc>
        <w:tc>
          <w:tcPr>
            <w:tcW w:w="310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41"/>
        </w:trPr>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37"/>
        </w:trPr>
        <w:tc>
          <w:tcPr>
            <w:tcW w:w="3920" w:type="dxa"/>
            <w:vAlign w:val="bottom"/>
            <w:gridSpan w:val="8"/>
          </w:tcPr>
          <w:p>
            <w:pPr>
              <w:ind w:left="20"/>
              <w:spacing w:after="0"/>
              <w:rPr>
                <w:sz w:val="20"/>
                <w:szCs w:val="20"/>
                <w:color w:val="auto"/>
              </w:rPr>
            </w:pPr>
            <w:r>
              <w:rPr>
                <w:rFonts w:ascii="Arial" w:cs="Arial" w:eastAsia="Arial" w:hAnsi="Arial"/>
                <w:sz w:val="18"/>
                <w:szCs w:val="18"/>
                <w:color w:val="auto"/>
              </w:rPr>
              <w:t>/s/ Patrick Salvi for the Kamudas</w:t>
            </w:r>
          </w:p>
        </w:tc>
        <w:tc>
          <w:tcPr>
            <w:tcW w:w="3100" w:type="dxa"/>
            <w:vAlign w:val="bottom"/>
          </w:tcPr>
          <w:p>
            <w:pPr>
              <w:spacing w:after="0"/>
              <w:rPr>
                <w:sz w:val="20"/>
                <w:szCs w:val="20"/>
                <w:color w:val="auto"/>
              </w:rPr>
            </w:pPr>
          </w:p>
        </w:tc>
      </w:tr>
      <w:tr>
        <w:trPr>
          <w:trHeight w:val="40"/>
        </w:trPr>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37"/>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6"/>
          </w:tcPr>
          <w:p>
            <w:pPr>
              <w:ind w:left="140"/>
              <w:spacing w:after="0"/>
              <w:rPr>
                <w:sz w:val="20"/>
                <w:szCs w:val="20"/>
                <w:color w:val="auto"/>
              </w:rPr>
            </w:pPr>
            <w:r>
              <w:rPr>
                <w:rFonts w:ascii="Arial" w:cs="Arial" w:eastAsia="Arial" w:hAnsi="Arial"/>
                <w:sz w:val="18"/>
                <w:szCs w:val="18"/>
                <w:color w:val="auto"/>
              </w:rPr>
              <w:t>Attorney for Plaintiff:</w:t>
            </w:r>
          </w:p>
        </w:tc>
        <w:tc>
          <w:tcPr>
            <w:tcW w:w="3100" w:type="dxa"/>
            <w:vAlign w:val="bottom"/>
          </w:tcPr>
          <w:p>
            <w:pPr>
              <w:ind w:left="680"/>
              <w:spacing w:after="0"/>
              <w:rPr>
                <w:sz w:val="20"/>
                <w:szCs w:val="20"/>
                <w:color w:val="auto"/>
              </w:rPr>
            </w:pPr>
            <w:r>
              <w:rPr>
                <w:rFonts w:ascii="Arial" w:cs="Arial" w:eastAsia="Arial" w:hAnsi="Arial"/>
                <w:sz w:val="18"/>
                <w:szCs w:val="18"/>
                <w:color w:val="auto"/>
              </w:rPr>
              <w:t>Attorney for Defendant:</w:t>
            </w:r>
          </w:p>
        </w:tc>
      </w:tr>
      <w:tr>
        <w:trPr>
          <w:trHeight w:val="499"/>
        </w:trPr>
        <w:tc>
          <w:tcPr>
            <w:tcW w:w="3920" w:type="dxa"/>
            <w:vAlign w:val="bottom"/>
            <w:gridSpan w:val="8"/>
          </w:tcPr>
          <w:p>
            <w:pPr>
              <w:ind w:left="20"/>
              <w:spacing w:after="0"/>
              <w:rPr>
                <w:sz w:val="20"/>
                <w:szCs w:val="20"/>
                <w:color w:val="auto"/>
              </w:rPr>
            </w:pPr>
            <w:r>
              <w:rPr>
                <w:rFonts w:ascii="Arial" w:cs="Arial" w:eastAsia="Arial" w:hAnsi="Arial"/>
                <w:sz w:val="18"/>
                <w:szCs w:val="18"/>
                <w:color w:val="auto"/>
              </w:rPr>
              <w:t>Att. No: 34560</w:t>
            </w:r>
          </w:p>
        </w:tc>
        <w:tc>
          <w:tcPr>
            <w:tcW w:w="3100" w:type="dxa"/>
            <w:vAlign w:val="bottom"/>
          </w:tcPr>
          <w:p>
            <w:pPr>
              <w:ind w:left="20"/>
              <w:spacing w:after="0"/>
              <w:rPr>
                <w:sz w:val="20"/>
                <w:szCs w:val="20"/>
                <w:color w:val="auto"/>
              </w:rPr>
            </w:pPr>
            <w:r>
              <w:rPr>
                <w:rFonts w:ascii="Arial" w:cs="Arial" w:eastAsia="Arial" w:hAnsi="Arial"/>
                <w:sz w:val="18"/>
                <w:szCs w:val="18"/>
                <w:color w:val="auto"/>
              </w:rPr>
              <w:t>Att. No:</w:t>
            </w:r>
          </w:p>
        </w:tc>
      </w:tr>
      <w:tr>
        <w:trPr>
          <w:trHeight w:val="20"/>
        </w:trPr>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3"/>
        </w:trPr>
        <w:tc>
          <w:tcPr>
            <w:tcW w:w="3920" w:type="dxa"/>
            <w:vAlign w:val="bottom"/>
            <w:gridSpan w:val="8"/>
          </w:tcPr>
          <w:p>
            <w:pPr>
              <w:ind w:left="20"/>
              <w:spacing w:after="0"/>
              <w:rPr>
                <w:sz w:val="20"/>
                <w:szCs w:val="20"/>
                <w:color w:val="auto"/>
              </w:rPr>
            </w:pPr>
            <w:r>
              <w:rPr>
                <w:rFonts w:ascii="Arial" w:cs="Arial" w:eastAsia="Arial" w:hAnsi="Arial"/>
                <w:sz w:val="18"/>
                <w:szCs w:val="18"/>
                <w:color w:val="auto"/>
              </w:rPr>
              <w:t>Address: 161 N. Clark St. #4700</w:t>
            </w:r>
          </w:p>
        </w:tc>
        <w:tc>
          <w:tcPr>
            <w:tcW w:w="310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0"/>
        </w:trPr>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920" w:type="dxa"/>
            <w:vAlign w:val="bottom"/>
            <w:gridSpan w:val="8"/>
          </w:tcPr>
          <w:p>
            <w:pPr>
              <w:ind w:left="20"/>
              <w:spacing w:after="0"/>
              <w:rPr>
                <w:sz w:val="20"/>
                <w:szCs w:val="20"/>
                <w:color w:val="auto"/>
              </w:rPr>
            </w:pPr>
            <w:r>
              <w:rPr>
                <w:rFonts w:ascii="Arial" w:cs="Arial" w:eastAsia="Arial" w:hAnsi="Arial"/>
                <w:sz w:val="18"/>
                <w:szCs w:val="18"/>
                <w:color w:val="auto"/>
              </w:rPr>
              <w:t>City/Zip: Chicago, IL 60093</w:t>
            </w:r>
          </w:p>
        </w:tc>
        <w:tc>
          <w:tcPr>
            <w:tcW w:w="3100" w:type="dxa"/>
            <w:vAlign w:val="bottom"/>
          </w:tcPr>
          <w:p>
            <w:pPr>
              <w:ind w:left="20"/>
              <w:spacing w:after="0"/>
              <w:rPr>
                <w:sz w:val="20"/>
                <w:szCs w:val="20"/>
                <w:color w:val="auto"/>
              </w:rPr>
            </w:pPr>
            <w:r>
              <w:rPr>
                <w:rFonts w:ascii="Arial" w:cs="Arial" w:eastAsia="Arial" w:hAnsi="Arial"/>
                <w:sz w:val="18"/>
                <w:szCs w:val="18"/>
                <w:color w:val="auto"/>
              </w:rPr>
              <w:t>City/Zip:</w:t>
            </w:r>
          </w:p>
        </w:tc>
      </w:tr>
      <w:tr>
        <w:trPr>
          <w:trHeight w:val="20"/>
        </w:trPr>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3"/>
        </w:trPr>
        <w:tc>
          <w:tcPr>
            <w:tcW w:w="3920" w:type="dxa"/>
            <w:vAlign w:val="bottom"/>
            <w:gridSpan w:val="8"/>
          </w:tcPr>
          <w:p>
            <w:pPr>
              <w:ind w:left="20"/>
              <w:spacing w:after="0"/>
              <w:rPr>
                <w:sz w:val="20"/>
                <w:szCs w:val="20"/>
                <w:color w:val="auto"/>
              </w:rPr>
            </w:pPr>
            <w:r>
              <w:rPr>
                <w:rFonts w:ascii="Arial" w:cs="Arial" w:eastAsia="Arial" w:hAnsi="Arial"/>
                <w:sz w:val="18"/>
                <w:szCs w:val="18"/>
                <w:color w:val="auto"/>
              </w:rPr>
              <w:t>Telephone: 312-372-1227</w:t>
            </w:r>
          </w:p>
        </w:tc>
        <w:tc>
          <w:tcPr>
            <w:tcW w:w="310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13131"/>
        </w:rPr>
        <w:t>ORDER</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color w:val="313131"/>
        </w:rPr>
        <w:t>This Court having examined the above Stipulation finds that this cause of action has been fully compromised and settled and the parties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313131"/>
        </w:rPr>
        <w:t>have stipulated and agreed to dismissal of the complaint with prejudice. The Court further finds that all costs have been paid.</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313131"/>
        </w:rPr>
        <w:t>IT IS THEREFORE ORDERED that the complaint is hereby dismissed with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27305</wp:posOffset>
            </wp:positionV>
            <wp:extent cx="25031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27305</wp:posOffset>
            </wp:positionV>
            <wp:extent cx="25031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61" w:lineRule="exact"/>
        <w:rPr>
          <w:sz w:val="20"/>
          <w:szCs w:val="20"/>
          <w:color w:val="auto"/>
        </w:rPr>
      </w:pPr>
    </w:p>
    <w:p>
      <w:pPr>
        <w:ind w:left="7160"/>
        <w:spacing w:after="0"/>
        <w:tabs>
          <w:tab w:leader="none" w:pos="9100" w:val="left"/>
        </w:tabs>
        <w:rPr>
          <w:sz w:val="20"/>
          <w:szCs w:val="20"/>
          <w:color w:val="auto"/>
        </w:rPr>
      </w:pPr>
      <w:r>
        <w:rPr>
          <w:rFonts w:ascii="Arial" w:cs="Arial" w:eastAsia="Arial" w:hAnsi="Arial"/>
          <w:sz w:val="20"/>
          <w:szCs w:val="20"/>
          <w:color w:val="auto"/>
        </w:rPr>
        <w:t>Judge</w:t>
      </w:r>
      <w:r>
        <w:rPr>
          <w:sz w:val="20"/>
          <w:szCs w:val="20"/>
          <w:color w:val="auto"/>
        </w:rPr>
        <w:tab/>
      </w:r>
      <w:r>
        <w:rPr>
          <w:rFonts w:ascii="Arial" w:cs="Arial" w:eastAsia="Arial" w:hAnsi="Arial"/>
          <w:sz w:val="20"/>
          <w:szCs w:val="20"/>
          <w:color w:val="auto"/>
        </w:rPr>
        <w:t>Judge's No.</w:t>
      </w:r>
    </w:p>
    <w:p>
      <w:pPr>
        <w:sectPr>
          <w:pgSz w:w="11900" w:h="16838" w:orient="portrait"/>
          <w:cols w:equalWidth="0" w:num="1">
            <w:col w:w="10700"/>
          </w:cols>
          <w:pgMar w:left="480" w:top="1030" w:right="719" w:bottom="1440" w:gutter="0" w:footer="0" w:header="0"/>
        </w:sectPr>
      </w:pPr>
    </w:p>
    <w:bookmarkStart w:id="113" w:name="page114"/>
    <w:bookmarkEnd w:id="113"/>
    <w:p>
      <w:pPr>
        <w:jc w:val="center"/>
        <w:ind w:right="-239"/>
        <w:spacing w:after="0"/>
        <w:rPr>
          <w:sz w:val="20"/>
          <w:szCs w:val="20"/>
          <w:color w:val="auto"/>
        </w:rPr>
      </w:pPr>
      <w:r>
        <w:rPr>
          <w:rFonts w:ascii="Arial" w:cs="Arial" w:eastAsia="Arial" w:hAnsi="Arial"/>
          <w:sz w:val="18"/>
          <w:szCs w:val="18"/>
          <w:b w:val="1"/>
          <w:bCs w:val="1"/>
          <w:u w:val="single" w:color="auto"/>
          <w:color w:val="343434"/>
        </w:rPr>
        <w:t>CERTIFICATE OF SERVICE</w:t>
      </w:r>
    </w:p>
    <w:p>
      <w:pPr>
        <w:spacing w:after="0" w:line="337" w:lineRule="exact"/>
        <w:rPr>
          <w:sz w:val="20"/>
          <w:szCs w:val="20"/>
          <w:color w:val="auto"/>
        </w:rPr>
      </w:pPr>
    </w:p>
    <w:p>
      <w:pPr>
        <w:ind w:left="840"/>
        <w:spacing w:after="0"/>
        <w:rPr>
          <w:sz w:val="20"/>
          <w:szCs w:val="20"/>
          <w:color w:val="auto"/>
        </w:rPr>
      </w:pPr>
      <w:r>
        <w:rPr>
          <w:rFonts w:ascii="Arial" w:cs="Arial" w:eastAsia="Arial" w:hAnsi="Arial"/>
          <w:sz w:val="16"/>
          <w:szCs w:val="16"/>
          <w:color w:val="343434"/>
        </w:rPr>
        <w:t>I, Eric S. Mattson, hereby certify that a copy of the foregoing STIPULATION TO DISMISS ACTION was served on all counsel of record by</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343434"/>
        </w:rPr>
        <w:t>service on Liaison Counsel Bryce Hensley and counsel for the Griffith Defendants via email on ___________</w:t>
      </w:r>
      <w:r>
        <w:rPr>
          <w:rFonts w:ascii="Arial" w:cs="Arial" w:eastAsia="Arial" w:hAnsi="Arial"/>
          <w:sz w:val="18"/>
          <w:szCs w:val="18"/>
          <w:color w:val="545454"/>
        </w:rPr>
        <w:t>,</w:t>
      </w:r>
      <w:r>
        <w:rPr>
          <w:rFonts w:ascii="Arial" w:cs="Arial" w:eastAsia="Arial" w:hAnsi="Arial"/>
          <w:sz w:val="18"/>
          <w:szCs w:val="18"/>
          <w:color w:val="343434"/>
        </w:rPr>
        <w:t xml:space="preserve"> 2023.</w:t>
      </w:r>
    </w:p>
    <w:p>
      <w:pPr>
        <w:sectPr>
          <w:pgSz w:w="11900" w:h="16838" w:orient="portrait"/>
          <w:cols w:equalWidth="0" w:num="1">
            <w:col w:w="11000"/>
          </w:cols>
          <w:pgMar w:left="320" w:top="139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Arial" w:cs="Arial" w:eastAsia="Arial" w:hAnsi="Arial"/>
          <w:sz w:val="18"/>
          <w:szCs w:val="18"/>
          <w:color w:val="343434"/>
        </w:rPr>
        <w:t>Bryce T. Hensley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343434"/>
        </w:rPr>
        <w:t>ROMANUCCI &amp; BLANDIN,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343434"/>
        </w:rPr>
        <w:t>321 N. Clark Street, Suite 900</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343434"/>
        </w:rPr>
        <w:t>Chicago, IL 60654</w:t>
      </w:r>
    </w:p>
    <w:p>
      <w:pPr>
        <w:spacing w:after="0" w:line="23" w:lineRule="exact"/>
        <w:rPr>
          <w:sz w:val="20"/>
          <w:szCs w:val="20"/>
          <w:color w:val="auto"/>
        </w:rPr>
      </w:pPr>
    </w:p>
    <w:p>
      <w:pPr>
        <w:ind w:left="700" w:hanging="426"/>
        <w:spacing w:after="0"/>
        <w:tabs>
          <w:tab w:leader="none" w:pos="700" w:val="left"/>
        </w:tabs>
        <w:numPr>
          <w:ilvl w:val="0"/>
          <w:numId w:val="157"/>
        </w:numPr>
        <w:rPr>
          <w:rFonts w:ascii="Arial" w:cs="Arial" w:eastAsia="Arial" w:hAnsi="Arial"/>
          <w:sz w:val="18"/>
          <w:szCs w:val="18"/>
          <w:color w:val="343434"/>
        </w:rPr>
      </w:pPr>
      <w:r>
        <w:rPr>
          <w:rFonts w:ascii="Arial" w:cs="Arial" w:eastAsia="Arial" w:hAnsi="Arial"/>
          <w:sz w:val="18"/>
          <w:szCs w:val="18"/>
          <w:color w:val="343434"/>
        </w:rPr>
        <w:t>458-1000</w:t>
      </w:r>
    </w:p>
    <w:p>
      <w:pPr>
        <w:spacing w:after="0" w:line="9" w:lineRule="exact"/>
        <w:rPr>
          <w:rFonts w:ascii="Arial" w:cs="Arial" w:eastAsia="Arial" w:hAnsi="Arial"/>
          <w:sz w:val="18"/>
          <w:szCs w:val="18"/>
          <w:color w:val="343434"/>
        </w:rPr>
      </w:pPr>
    </w:p>
    <w:p>
      <w:pPr>
        <w:ind w:left="280" w:right="2340" w:hanging="6"/>
        <w:spacing w:after="0" w:line="291" w:lineRule="auto"/>
        <w:tabs>
          <w:tab w:leader="none" w:pos="718" w:val="left"/>
        </w:tabs>
        <w:numPr>
          <w:ilvl w:val="0"/>
          <w:numId w:val="158"/>
        </w:numPr>
        <w:rPr>
          <w:rFonts w:ascii="Arial" w:cs="Arial" w:eastAsia="Arial" w:hAnsi="Arial"/>
          <w:sz w:val="16"/>
          <w:szCs w:val="16"/>
          <w:color w:val="343434"/>
        </w:rPr>
      </w:pPr>
      <w:r>
        <w:rPr>
          <w:rFonts w:ascii="Arial" w:cs="Arial" w:eastAsia="Arial" w:hAnsi="Arial"/>
          <w:sz w:val="16"/>
          <w:szCs w:val="16"/>
          <w:color w:val="343434"/>
        </w:rPr>
        <w:t>458-1004 aromanucci@rblaw.net</w:t>
      </w:r>
    </w:p>
    <w:p>
      <w:pPr>
        <w:spacing w:after="0" w:line="220" w:lineRule="auto"/>
        <w:rPr>
          <w:sz w:val="20"/>
          <w:szCs w:val="20"/>
          <w:color w:val="auto"/>
        </w:rPr>
      </w:pPr>
      <w:r>
        <w:rPr>
          <w:rFonts w:ascii="Arial" w:cs="Arial" w:eastAsia="Arial" w:hAnsi="Arial"/>
          <w:sz w:val="18"/>
          <w:szCs w:val="18"/>
          <w:color w:val="343434"/>
        </w:rPr>
        <w:t>bhensley@rblaw.net</w:t>
      </w:r>
    </w:p>
    <w:p>
      <w:pPr>
        <w:ind w:left="280"/>
        <w:spacing w:after="0"/>
        <w:rPr>
          <w:sz w:val="20"/>
          <w:szCs w:val="20"/>
          <w:color w:val="auto"/>
        </w:rPr>
      </w:pPr>
      <w:r>
        <w:rPr>
          <w:rFonts w:ascii="Arial" w:cs="Arial" w:eastAsia="Arial" w:hAnsi="Arial"/>
          <w:sz w:val="16"/>
          <w:szCs w:val="16"/>
          <w:i w:val="1"/>
          <w:iCs w:val="1"/>
          <w:color w:val="343434"/>
        </w:rPr>
        <w:t>Lead and Liaison Counsel for Plaintiffs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343434"/>
        </w:rPr>
        <w:t>SERVICE LIST</w:t>
      </w:r>
    </w:p>
    <w:p>
      <w:pPr>
        <w:spacing w:after="0" w:line="200" w:lineRule="exact"/>
        <w:rPr>
          <w:sz w:val="20"/>
          <w:szCs w:val="20"/>
          <w:color w:val="auto"/>
        </w:rPr>
      </w:pPr>
    </w:p>
    <w:p>
      <w:pPr>
        <w:spacing w:after="0" w:line="272" w:lineRule="exact"/>
        <w:rPr>
          <w:sz w:val="20"/>
          <w:szCs w:val="20"/>
          <w:color w:val="auto"/>
        </w:rPr>
      </w:pPr>
    </w:p>
    <w:p>
      <w:pPr>
        <w:ind w:left="1200"/>
        <w:spacing w:after="0"/>
        <w:rPr>
          <w:sz w:val="20"/>
          <w:szCs w:val="20"/>
          <w:color w:val="auto"/>
        </w:rPr>
      </w:pPr>
      <w:r>
        <w:rPr>
          <w:rFonts w:ascii="Arial" w:cs="Arial" w:eastAsia="Arial" w:hAnsi="Arial"/>
          <w:sz w:val="18"/>
          <w:szCs w:val="18"/>
          <w:color w:val="343434"/>
        </w:rPr>
        <w:t>Christopher B. Wilson Jonathan R.</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343434"/>
        </w:rPr>
        <w:t>Buck Kathleen A. Stetsko PERKINS</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343434"/>
        </w:rPr>
        <w:t>COIE LLP</w:t>
      </w:r>
    </w:p>
    <w:p>
      <w:pPr>
        <w:spacing w:after="0" w:line="9"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343434"/>
        </w:rPr>
        <w:t>110 N Upper Wacker Dr., Suite 3400 Chicago, IL 60603-</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343434"/>
        </w:rPr>
        <w:t>5559 CWilson@perkinscoie.com</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7"/>
          <w:szCs w:val="17"/>
          <w:color w:val="343434"/>
        </w:rPr>
        <w:t>JBuck@perkinscoie.com KStetsko@perkinscoie.com</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color w:val="343434"/>
        </w:rPr>
        <w:t>Willowbrooklit@perkinscoie.com</w:t>
      </w:r>
    </w:p>
    <w:p>
      <w:pPr>
        <w:jc w:val="center"/>
        <w:ind w:right="1860"/>
        <w:spacing w:after="0"/>
        <w:rPr>
          <w:sz w:val="20"/>
          <w:szCs w:val="20"/>
          <w:color w:val="auto"/>
        </w:rPr>
      </w:pPr>
      <w:r>
        <w:rPr>
          <w:rFonts w:ascii="Arial" w:cs="Arial" w:eastAsia="Arial" w:hAnsi="Arial"/>
          <w:sz w:val="18"/>
          <w:szCs w:val="18"/>
          <w:i w:val="1"/>
          <w:iCs w:val="1"/>
          <w:color w:val="343434"/>
        </w:rPr>
        <w:t>Counsel for Griffith Defendants</w:t>
      </w:r>
    </w:p>
    <w:p>
      <w:pPr>
        <w:sectPr>
          <w:pgSz w:w="11900" w:h="16838" w:orient="portrait"/>
          <w:cols w:equalWidth="0" w:num="2">
            <w:col w:w="4280" w:space="720"/>
            <w:col w:w="6000"/>
          </w:cols>
          <w:pgMar w:left="320" w:top="1390" w:right="579" w:bottom="1440" w:gutter="0" w:footer="0" w:header="0"/>
          <w:type w:val="continuous"/>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THE CIRCUIT COURT OF COOK COUNTY, ILLINOIS COUNTY DEPARTMENT, LAW</w:t>
      </w:r>
    </w:p>
    <w:p>
      <w:pPr>
        <w:jc w:val="center"/>
        <w:ind w:right="-299"/>
        <w:spacing w:after="0"/>
        <w:rPr>
          <w:sz w:val="20"/>
          <w:szCs w:val="20"/>
          <w:color w:val="auto"/>
        </w:rPr>
      </w:pPr>
      <w:r>
        <w:rPr>
          <w:rFonts w:ascii="Arial" w:cs="Arial" w:eastAsia="Arial" w:hAnsi="Arial"/>
          <w:sz w:val="18"/>
          <w:szCs w:val="18"/>
          <w:b w:val="1"/>
          <w:bCs w:val="1"/>
          <w:color w:val="auto"/>
        </w:rPr>
        <w:t>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167640</wp:posOffset>
            </wp:positionV>
            <wp:extent cx="3642995" cy="19888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642995" cy="19888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RE: WILLOWBROOK ETHYLENE OXIDE LITIGATION</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48"/>
        </w:trPr>
        <w:tc>
          <w:tcPr>
            <w:tcW w:w="4000" w:type="dxa"/>
            <w:vAlign w:val="bottom"/>
          </w:tcPr>
          <w:p>
            <w:pPr>
              <w:spacing w:after="0"/>
              <w:rPr>
                <w:sz w:val="20"/>
                <w:szCs w:val="20"/>
                <w:color w:val="auto"/>
              </w:rPr>
            </w:pPr>
            <w:r>
              <w:rPr>
                <w:rFonts w:ascii="Arial" w:cs="Arial" w:eastAsia="Arial" w:hAnsi="Arial"/>
                <w:sz w:val="18"/>
                <w:szCs w:val="18"/>
                <w:b w:val="1"/>
                <w:bCs w:val="1"/>
                <w:color w:val="auto"/>
              </w:rPr>
              <w:t>This Filing Applies to:</w:t>
            </w:r>
          </w:p>
        </w:tc>
        <w:tc>
          <w:tcPr>
            <w:tcW w:w="4120" w:type="dxa"/>
            <w:vAlign w:val="bottom"/>
          </w:tcPr>
          <w:p>
            <w:pPr>
              <w:ind w:left="2280"/>
              <w:spacing w:after="0"/>
              <w:rPr>
                <w:sz w:val="20"/>
                <w:szCs w:val="20"/>
                <w:color w:val="auto"/>
              </w:rPr>
            </w:pPr>
            <w:r>
              <w:rPr>
                <w:rFonts w:ascii="Arial" w:cs="Arial" w:eastAsia="Arial" w:hAnsi="Arial"/>
                <w:sz w:val="18"/>
                <w:szCs w:val="18"/>
                <w:b w:val="1"/>
                <w:bCs w:val="1"/>
                <w:color w:val="auto"/>
                <w:w w:val="89"/>
              </w:rPr>
              <w:t>Case No. 2018 L 010744</w:t>
            </w:r>
          </w:p>
        </w:tc>
      </w:tr>
    </w:tbl>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TERESA FORNEK,</w:t>
      </w:r>
    </w:p>
    <w:p>
      <w:pPr>
        <w:spacing w:after="0" w:line="21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Plaintiffs,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vs.</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STERIGENICS U.S., LLC, et al.,</w:t>
      </w:r>
    </w:p>
    <w:p>
      <w:pPr>
        <w:spacing w:after="0" w:line="21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Defendants.</w:t>
      </w: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STIPULATION TO DISMISS ACTION</w:t>
      </w:r>
    </w:p>
    <w:p>
      <w:pPr>
        <w:spacing w:after="0" w:line="337" w:lineRule="exact"/>
        <w:rPr>
          <w:sz w:val="20"/>
          <w:szCs w:val="20"/>
          <w:color w:val="auto"/>
        </w:rPr>
      </w:pPr>
    </w:p>
    <w:p>
      <w:pPr>
        <w:jc w:val="both"/>
        <w:ind w:firstLine="648"/>
        <w:spacing w:after="0" w:line="494" w:lineRule="auto"/>
        <w:rPr>
          <w:sz w:val="20"/>
          <w:szCs w:val="20"/>
          <w:color w:val="auto"/>
        </w:rPr>
      </w:pPr>
      <w:r>
        <w:rPr>
          <w:rFonts w:ascii="Arial" w:cs="Arial" w:eastAsia="Arial" w:hAnsi="Arial"/>
          <w:sz w:val="18"/>
          <w:szCs w:val="18"/>
          <w:color w:val="auto"/>
        </w:rPr>
        <w:t>It is hereby stipulated and agreed by and between the parties to the above entitled action, through their respective attorneys, that this action be dismissed with prejudice and without costs to either party, all costs having been paid and all matters in controversy for which the action was brought having been fully settled. The court retains jurisdiction to enforce the settlement, except as provided in the Term Sheet and Settlement Agreement, and to adjudicate issues relating to the termination or removal of liens.</w:t>
      </w:r>
    </w:p>
    <w:p>
      <w:pPr>
        <w:sectPr>
          <w:pgSz w:w="11900" w:h="16838" w:orient="portrait"/>
          <w:cols w:equalWidth="0" w:num="1">
            <w:col w:w="10660"/>
          </w:cols>
          <w:pgMar w:left="460" w:top="1440" w:right="779" w:bottom="1440" w:gutter="0" w:footer="0" w:header="0"/>
        </w:sectPr>
      </w:pPr>
    </w:p>
    <w:bookmarkStart w:id="115" w:name="page116"/>
    <w:bookmarkEnd w:id="115"/>
    <w:p>
      <w:pPr>
        <w:ind w:left="1820"/>
        <w:spacing w:after="0"/>
        <w:rPr>
          <w:sz w:val="20"/>
          <w:szCs w:val="20"/>
          <w:color w:val="auto"/>
        </w:rPr>
      </w:pPr>
      <w:r>
        <w:rPr>
          <w:rFonts w:ascii="Arial" w:cs="Arial" w:eastAsia="Arial" w:hAnsi="Arial"/>
          <w:sz w:val="18"/>
          <w:szCs w:val="18"/>
          <w:color w:val="auto"/>
        </w:rPr>
        <w:t>Date: 1/13/2023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40640</wp:posOffset>
            </wp:positionV>
            <wp:extent cx="23228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Brian</w:t>
      </w:r>
    </w:p>
    <w:p>
      <w:pPr>
        <w:ind w:left="1820"/>
        <w:spacing w:after="0"/>
        <w:rPr>
          <w:sz w:val="20"/>
          <w:szCs w:val="20"/>
          <w:color w:val="auto"/>
        </w:rPr>
      </w:pPr>
      <w:r>
        <w:rPr>
          <w:rFonts w:ascii="Arial" w:cs="Arial" w:eastAsia="Arial" w:hAnsi="Arial"/>
          <w:sz w:val="18"/>
          <w:szCs w:val="18"/>
          <w:color w:val="auto"/>
        </w:rPr>
        <w:t>LaCien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4445</wp:posOffset>
            </wp:positionV>
            <wp:extent cx="23228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4"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Attorney for Plaintiff:</w:t>
      </w:r>
    </w:p>
    <w:p>
      <w:pPr>
        <w:spacing w:after="0" w:line="37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Att. No: </w:t>
      </w:r>
      <w:r>
        <w:rPr>
          <w:rFonts w:ascii="Arial" w:cs="Arial" w:eastAsia="Arial" w:hAnsi="Arial"/>
          <w:sz w:val="18"/>
          <w:szCs w:val="18"/>
          <w:u w:val="single" w:color="auto"/>
          <w:color w:val="343436"/>
        </w:rPr>
        <w:t>64554</w:t>
      </w:r>
    </w:p>
    <w:p>
      <w:pPr>
        <w:spacing w:after="0" w:line="7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u w:val="single" w:color="auto"/>
          <w:color w:val="auto"/>
        </w:rPr>
        <w:t>7</w:t>
      </w:r>
      <w:r>
        <w:rPr>
          <w:rFonts w:ascii="Arial" w:cs="Arial" w:eastAsia="Arial" w:hAnsi="Arial"/>
          <w:sz w:val="18"/>
          <w:szCs w:val="18"/>
          <w:u w:val="single" w:color="auto"/>
          <w:color w:val="343436"/>
        </w:rPr>
        <w:t>0 W. Madi</w:t>
      </w:r>
      <w:r>
        <w:rPr>
          <w:rFonts w:ascii="Arial" w:cs="Arial" w:eastAsia="Arial" w:hAnsi="Arial"/>
          <w:sz w:val="18"/>
          <w:szCs w:val="18"/>
          <w:u w:val="single" w:color="auto"/>
          <w:color w:val="59595B"/>
        </w:rPr>
        <w:t>s</w:t>
      </w:r>
      <w:r>
        <w:rPr>
          <w:rFonts w:ascii="Arial" w:cs="Arial" w:eastAsia="Arial" w:hAnsi="Arial"/>
          <w:sz w:val="18"/>
          <w:szCs w:val="18"/>
          <w:u w:val="single" w:color="auto"/>
          <w:color w:val="343436"/>
        </w:rPr>
        <w:t>on St.</w:t>
      </w:r>
      <w:r>
        <w:rPr>
          <w:rFonts w:ascii="Arial" w:cs="Arial" w:eastAsia="Arial" w:hAnsi="Arial"/>
          <w:sz w:val="18"/>
          <w:szCs w:val="18"/>
          <w:u w:val="single" w:color="auto"/>
          <w:color w:val="59595B"/>
        </w:rPr>
        <w:t>, #</w:t>
      </w:r>
      <w:r>
        <w:rPr>
          <w:rFonts w:ascii="Arial" w:cs="Arial" w:eastAsia="Arial" w:hAnsi="Arial"/>
          <w:sz w:val="18"/>
          <w:szCs w:val="18"/>
          <w:u w:val="single" w:color="auto"/>
          <w:color w:val="343436"/>
        </w:rPr>
        <w:t>2250</w:t>
      </w:r>
    </w:p>
    <w:p>
      <w:pPr>
        <w:spacing w:after="0" w:line="7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City/Zip: </w:t>
      </w:r>
      <w:r>
        <w:rPr>
          <w:rFonts w:ascii="Arial" w:cs="Arial" w:eastAsia="Arial" w:hAnsi="Arial"/>
          <w:sz w:val="18"/>
          <w:szCs w:val="18"/>
          <w:u w:val="single" w:color="auto"/>
          <w:color w:val="494949"/>
        </w:rPr>
        <w:t>C</w:t>
      </w:r>
      <w:r>
        <w:rPr>
          <w:rFonts w:ascii="Arial" w:cs="Arial" w:eastAsia="Arial" w:hAnsi="Arial"/>
          <w:sz w:val="18"/>
          <w:szCs w:val="18"/>
          <w:u w:val="single" w:color="auto"/>
          <w:color w:val="1D1D1F"/>
        </w:rPr>
        <w:t>hicago</w:t>
      </w:r>
      <w:r>
        <w:rPr>
          <w:rFonts w:ascii="Arial" w:cs="Arial" w:eastAsia="Arial" w:hAnsi="Arial"/>
          <w:sz w:val="18"/>
          <w:szCs w:val="18"/>
          <w:u w:val="single" w:color="auto"/>
          <w:color w:val="59595B"/>
        </w:rPr>
        <w:t>,</w:t>
      </w:r>
      <w:r>
        <w:rPr>
          <w:rFonts w:ascii="Arial" w:cs="Arial" w:eastAsia="Arial" w:hAnsi="Arial"/>
          <w:sz w:val="18"/>
          <w:szCs w:val="18"/>
          <w:color w:val="auto"/>
        </w:rPr>
        <w:t xml:space="preserve"> </w:t>
      </w:r>
      <w:r>
        <w:rPr>
          <w:rFonts w:ascii="Arial" w:cs="Arial" w:eastAsia="Arial" w:hAnsi="Arial"/>
          <w:sz w:val="18"/>
          <w:szCs w:val="18"/>
          <w:u w:val="single" w:color="auto"/>
          <w:color w:val="1D1D1F"/>
        </w:rPr>
        <w:t>IL</w:t>
      </w:r>
      <w:r>
        <w:rPr>
          <w:rFonts w:ascii="Arial" w:cs="Arial" w:eastAsia="Arial" w:hAnsi="Arial"/>
          <w:sz w:val="18"/>
          <w:szCs w:val="18"/>
          <w:color w:val="auto"/>
        </w:rPr>
        <w:t xml:space="preserve"> </w:t>
      </w:r>
      <w:r>
        <w:rPr>
          <w:rFonts w:ascii="Arial" w:cs="Arial" w:eastAsia="Arial" w:hAnsi="Arial"/>
          <w:sz w:val="18"/>
          <w:szCs w:val="18"/>
          <w:u w:val="single" w:color="auto"/>
          <w:color w:val="343436"/>
        </w:rPr>
        <w:t>60602</w:t>
      </w:r>
    </w:p>
    <w:p>
      <w:pPr>
        <w:spacing w:after="0" w:line="7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Telephone: </w:t>
      </w:r>
      <w:r>
        <w:rPr>
          <w:rFonts w:ascii="Arial" w:cs="Arial" w:eastAsia="Arial" w:hAnsi="Arial"/>
          <w:sz w:val="18"/>
          <w:szCs w:val="18"/>
          <w:u w:val="single" w:color="auto"/>
          <w:color w:val="343436"/>
        </w:rPr>
        <w:t>(312) 509-8900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1D1D1F"/>
        </w:rPr>
        <w:t>ORDER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314960</wp:posOffset>
            </wp:positionV>
            <wp:extent cx="19888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40640</wp:posOffset>
            </wp:positionV>
            <wp:extent cx="19888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Attorney for Defendant: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Att. No: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City/Zip: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1302" w:lineRule="exact"/>
        <w:rPr>
          <w:sz w:val="20"/>
          <w:szCs w:val="20"/>
          <w:color w:val="auto"/>
        </w:rPr>
      </w:pPr>
    </w:p>
    <w:p>
      <w:pPr>
        <w:sectPr>
          <w:pgSz w:w="11900" w:h="16838" w:orient="portrait"/>
          <w:cols w:equalWidth="0" w:num="2">
            <w:col w:w="5680" w:space="140"/>
            <w:col w:w="5000"/>
          </w:cols>
          <w:pgMar w:left="580" w:top="1421" w:right="499" w:bottom="1440" w:gutter="0" w:footer="0" w:header="0"/>
        </w:sectPr>
      </w:pPr>
    </w:p>
    <w:p>
      <w:pPr>
        <w:spacing w:after="0" w:line="110" w:lineRule="exact"/>
        <w:rPr>
          <w:sz w:val="20"/>
          <w:szCs w:val="20"/>
          <w:color w:val="auto"/>
        </w:rPr>
      </w:pPr>
    </w:p>
    <w:p>
      <w:pPr>
        <w:ind w:left="640"/>
        <w:spacing w:after="0"/>
        <w:rPr>
          <w:sz w:val="20"/>
          <w:szCs w:val="20"/>
          <w:color w:val="auto"/>
        </w:rPr>
      </w:pPr>
      <w:r>
        <w:rPr>
          <w:rFonts w:ascii="Arial" w:cs="Arial" w:eastAsia="Arial" w:hAnsi="Arial"/>
          <w:sz w:val="16"/>
          <w:szCs w:val="16"/>
          <w:color w:val="343436"/>
        </w:rPr>
        <w:t xml:space="preserve">This </w:t>
      </w:r>
      <w:r>
        <w:rPr>
          <w:rFonts w:ascii="Arial" w:cs="Arial" w:eastAsia="Arial" w:hAnsi="Arial"/>
          <w:sz w:val="16"/>
          <w:szCs w:val="16"/>
          <w:color w:val="494949"/>
        </w:rPr>
        <w:t>Co</w:t>
      </w:r>
      <w:r>
        <w:rPr>
          <w:rFonts w:ascii="Arial" w:cs="Arial" w:eastAsia="Arial" w:hAnsi="Arial"/>
          <w:sz w:val="16"/>
          <w:szCs w:val="16"/>
          <w:color w:val="1D1D1F"/>
        </w:rPr>
        <w:t>urt havin</w:t>
      </w:r>
      <w:r>
        <w:rPr>
          <w:rFonts w:ascii="Arial" w:cs="Arial" w:eastAsia="Arial" w:hAnsi="Arial"/>
          <w:sz w:val="16"/>
          <w:szCs w:val="16"/>
          <w:color w:val="494949"/>
        </w:rPr>
        <w:t>g exam</w:t>
      </w:r>
      <w:r>
        <w:rPr>
          <w:rFonts w:ascii="Arial" w:cs="Arial" w:eastAsia="Arial" w:hAnsi="Arial"/>
          <w:sz w:val="16"/>
          <w:szCs w:val="16"/>
          <w:color w:val="1D1D1F"/>
        </w:rPr>
        <w:t>ined th</w:t>
      </w:r>
      <w:r>
        <w:rPr>
          <w:rFonts w:ascii="Arial" w:cs="Arial" w:eastAsia="Arial" w:hAnsi="Arial"/>
          <w:sz w:val="16"/>
          <w:szCs w:val="16"/>
          <w:color w:val="494949"/>
        </w:rPr>
        <w:t>e</w:t>
      </w:r>
      <w:r>
        <w:rPr>
          <w:rFonts w:ascii="Arial" w:cs="Arial" w:eastAsia="Arial" w:hAnsi="Arial"/>
          <w:sz w:val="16"/>
          <w:szCs w:val="16"/>
          <w:color w:val="343436"/>
        </w:rPr>
        <w:t xml:space="preserve"> above Stipulation finds that </w:t>
      </w:r>
      <w:r>
        <w:rPr>
          <w:rFonts w:ascii="Arial" w:cs="Arial" w:eastAsia="Arial" w:hAnsi="Arial"/>
          <w:sz w:val="16"/>
          <w:szCs w:val="16"/>
          <w:color w:val="1D1D1F"/>
        </w:rPr>
        <w:t>this</w:t>
      </w:r>
      <w:r>
        <w:rPr>
          <w:rFonts w:ascii="Arial" w:cs="Arial" w:eastAsia="Arial" w:hAnsi="Arial"/>
          <w:sz w:val="16"/>
          <w:szCs w:val="16"/>
          <w:color w:val="343436"/>
        </w:rPr>
        <w:t xml:space="preserve"> cause of action </w:t>
      </w:r>
      <w:r>
        <w:rPr>
          <w:rFonts w:ascii="Arial" w:cs="Arial" w:eastAsia="Arial" w:hAnsi="Arial"/>
          <w:sz w:val="16"/>
          <w:szCs w:val="16"/>
          <w:color w:val="1D1D1F"/>
        </w:rPr>
        <w:t>ha</w:t>
      </w:r>
      <w:r>
        <w:rPr>
          <w:rFonts w:ascii="Arial" w:cs="Arial" w:eastAsia="Arial" w:hAnsi="Arial"/>
          <w:sz w:val="16"/>
          <w:szCs w:val="16"/>
          <w:color w:val="494949"/>
        </w:rPr>
        <w:t>s</w:t>
      </w:r>
      <w:r>
        <w:rPr>
          <w:rFonts w:ascii="Arial" w:cs="Arial" w:eastAsia="Arial" w:hAnsi="Arial"/>
          <w:sz w:val="16"/>
          <w:szCs w:val="16"/>
          <w:color w:val="343436"/>
        </w:rPr>
        <w:t xml:space="preserve"> been fully </w:t>
      </w:r>
      <w:r>
        <w:rPr>
          <w:rFonts w:ascii="Arial" w:cs="Arial" w:eastAsia="Arial" w:hAnsi="Arial"/>
          <w:sz w:val="16"/>
          <w:szCs w:val="16"/>
          <w:color w:val="494949"/>
        </w:rPr>
        <w:t>compro</w:t>
      </w:r>
      <w:r>
        <w:rPr>
          <w:rFonts w:ascii="Arial" w:cs="Arial" w:eastAsia="Arial" w:hAnsi="Arial"/>
          <w:sz w:val="16"/>
          <w:szCs w:val="16"/>
          <w:color w:val="1D1D1F"/>
        </w:rPr>
        <w:t>mi</w:t>
      </w:r>
      <w:r>
        <w:rPr>
          <w:rFonts w:ascii="Arial" w:cs="Arial" w:eastAsia="Arial" w:hAnsi="Arial"/>
          <w:sz w:val="16"/>
          <w:szCs w:val="16"/>
          <w:color w:val="494949"/>
        </w:rPr>
        <w:t>sed</w:t>
      </w:r>
      <w:r>
        <w:rPr>
          <w:rFonts w:ascii="Arial" w:cs="Arial" w:eastAsia="Arial" w:hAnsi="Arial"/>
          <w:sz w:val="16"/>
          <w:szCs w:val="16"/>
          <w:color w:val="343436"/>
        </w:rPr>
        <w:t xml:space="preserve"> and </w:t>
      </w:r>
      <w:r>
        <w:rPr>
          <w:rFonts w:ascii="Arial" w:cs="Arial" w:eastAsia="Arial" w:hAnsi="Arial"/>
          <w:sz w:val="16"/>
          <w:szCs w:val="16"/>
          <w:color w:val="494949"/>
        </w:rPr>
        <w:t>sett</w:t>
      </w:r>
      <w:r>
        <w:rPr>
          <w:rFonts w:ascii="Arial" w:cs="Arial" w:eastAsia="Arial" w:hAnsi="Arial"/>
          <w:sz w:val="16"/>
          <w:szCs w:val="16"/>
          <w:color w:val="1D1D1F"/>
        </w:rPr>
        <w:t>led</w:t>
      </w:r>
      <w:r>
        <w:rPr>
          <w:rFonts w:ascii="Arial" w:cs="Arial" w:eastAsia="Arial" w:hAnsi="Arial"/>
          <w:sz w:val="16"/>
          <w:szCs w:val="16"/>
          <w:color w:val="343436"/>
        </w:rPr>
        <w:t xml:space="preserve"> and </w:t>
      </w:r>
      <w:r>
        <w:rPr>
          <w:rFonts w:ascii="Arial" w:cs="Arial" w:eastAsia="Arial" w:hAnsi="Arial"/>
          <w:sz w:val="16"/>
          <w:szCs w:val="16"/>
          <w:color w:val="1D1D1F"/>
        </w:rPr>
        <w:t>th</w:t>
      </w:r>
      <w:r>
        <w:rPr>
          <w:rFonts w:ascii="Arial" w:cs="Arial" w:eastAsia="Arial" w:hAnsi="Arial"/>
          <w:sz w:val="16"/>
          <w:szCs w:val="16"/>
          <w:color w:val="494949"/>
        </w:rPr>
        <w:t>e</w:t>
      </w:r>
      <w:r>
        <w:rPr>
          <w:rFonts w:ascii="Arial" w:cs="Arial" w:eastAsia="Arial" w:hAnsi="Arial"/>
          <w:sz w:val="16"/>
          <w:szCs w:val="16"/>
          <w:color w:val="343436"/>
        </w:rPr>
        <w:t xml:space="preserve"> </w:t>
      </w:r>
      <w:r>
        <w:rPr>
          <w:rFonts w:ascii="Arial" w:cs="Arial" w:eastAsia="Arial" w:hAnsi="Arial"/>
          <w:sz w:val="16"/>
          <w:szCs w:val="16"/>
          <w:color w:val="1D1D1F"/>
        </w:rPr>
        <w:t>partie</w:t>
      </w:r>
      <w:r>
        <w:rPr>
          <w:rFonts w:ascii="Arial" w:cs="Arial" w:eastAsia="Arial" w:hAnsi="Arial"/>
          <w:sz w:val="16"/>
          <w:szCs w:val="16"/>
          <w:color w:val="494949"/>
        </w:rPr>
        <w:t>s</w:t>
      </w:r>
      <w:r>
        <w:rPr>
          <w:rFonts w:ascii="Arial" w:cs="Arial" w:eastAsia="Arial" w:hAnsi="Arial"/>
          <w:sz w:val="16"/>
          <w:szCs w:val="16"/>
          <w:color w:val="343436"/>
        </w:rPr>
        <w:t xml:space="preserve"> have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343436"/>
        </w:rPr>
        <w:t xml:space="preserve">stipulated and agreed </w:t>
      </w:r>
      <w:r>
        <w:rPr>
          <w:rFonts w:ascii="Arial" w:cs="Arial" w:eastAsia="Arial" w:hAnsi="Arial"/>
          <w:sz w:val="18"/>
          <w:szCs w:val="18"/>
          <w:color w:val="1D1D1F"/>
        </w:rPr>
        <w:t>to</w:t>
      </w:r>
      <w:r>
        <w:rPr>
          <w:rFonts w:ascii="Arial" w:cs="Arial" w:eastAsia="Arial" w:hAnsi="Arial"/>
          <w:sz w:val="18"/>
          <w:szCs w:val="18"/>
          <w:color w:val="343436"/>
        </w:rPr>
        <w:t xml:space="preserve"> dismissal of </w:t>
      </w:r>
      <w:r>
        <w:rPr>
          <w:rFonts w:ascii="Arial" w:cs="Arial" w:eastAsia="Arial" w:hAnsi="Arial"/>
          <w:sz w:val="18"/>
          <w:szCs w:val="18"/>
          <w:color w:val="1D1D1F"/>
        </w:rPr>
        <w:t>th</w:t>
      </w:r>
      <w:r>
        <w:rPr>
          <w:rFonts w:ascii="Arial" w:cs="Arial" w:eastAsia="Arial" w:hAnsi="Arial"/>
          <w:sz w:val="18"/>
          <w:szCs w:val="18"/>
          <w:color w:val="494949"/>
        </w:rPr>
        <w:t>e</w:t>
      </w:r>
      <w:r>
        <w:rPr>
          <w:rFonts w:ascii="Arial" w:cs="Arial" w:eastAsia="Arial" w:hAnsi="Arial"/>
          <w:sz w:val="18"/>
          <w:szCs w:val="18"/>
          <w:color w:val="343436"/>
        </w:rPr>
        <w:t xml:space="preserve"> complaint with prejudice. The </w:t>
      </w:r>
      <w:r>
        <w:rPr>
          <w:rFonts w:ascii="Arial" w:cs="Arial" w:eastAsia="Arial" w:hAnsi="Arial"/>
          <w:sz w:val="18"/>
          <w:szCs w:val="18"/>
          <w:color w:val="494949"/>
        </w:rPr>
        <w:t>Co</w:t>
      </w:r>
      <w:r>
        <w:rPr>
          <w:rFonts w:ascii="Arial" w:cs="Arial" w:eastAsia="Arial" w:hAnsi="Arial"/>
          <w:sz w:val="18"/>
          <w:szCs w:val="18"/>
          <w:color w:val="1D1D1F"/>
        </w:rPr>
        <w:t>urt</w:t>
      </w:r>
      <w:r>
        <w:rPr>
          <w:rFonts w:ascii="Arial" w:cs="Arial" w:eastAsia="Arial" w:hAnsi="Arial"/>
          <w:sz w:val="18"/>
          <w:szCs w:val="18"/>
          <w:color w:val="343436"/>
        </w:rPr>
        <w:t xml:space="preserve"> further </w:t>
      </w:r>
      <w:r>
        <w:rPr>
          <w:rFonts w:ascii="Arial" w:cs="Arial" w:eastAsia="Arial" w:hAnsi="Arial"/>
          <w:sz w:val="18"/>
          <w:szCs w:val="18"/>
          <w:color w:val="1D1D1F"/>
        </w:rPr>
        <w:t>find</w:t>
      </w:r>
      <w:r>
        <w:rPr>
          <w:rFonts w:ascii="Arial" w:cs="Arial" w:eastAsia="Arial" w:hAnsi="Arial"/>
          <w:sz w:val="18"/>
          <w:szCs w:val="18"/>
          <w:color w:val="494949"/>
        </w:rPr>
        <w:t>s</w:t>
      </w:r>
      <w:r>
        <w:rPr>
          <w:rFonts w:ascii="Arial" w:cs="Arial" w:eastAsia="Arial" w:hAnsi="Arial"/>
          <w:sz w:val="18"/>
          <w:szCs w:val="18"/>
          <w:color w:val="343436"/>
        </w:rPr>
        <w:t xml:space="preserve"> that all costs </w:t>
      </w:r>
      <w:r>
        <w:rPr>
          <w:rFonts w:ascii="Arial" w:cs="Arial" w:eastAsia="Arial" w:hAnsi="Arial"/>
          <w:sz w:val="18"/>
          <w:szCs w:val="18"/>
          <w:color w:val="1D1D1F"/>
        </w:rPr>
        <w:t>have been</w:t>
      </w:r>
      <w:r>
        <w:rPr>
          <w:rFonts w:ascii="Arial" w:cs="Arial" w:eastAsia="Arial" w:hAnsi="Arial"/>
          <w:sz w:val="18"/>
          <w:szCs w:val="18"/>
          <w:color w:val="343436"/>
        </w:rPr>
        <w:t xml:space="preserve"> paid.</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1D1D1F"/>
        </w:rPr>
        <w:t xml:space="preserve">IT IS THEREFORE </w:t>
      </w:r>
      <w:r>
        <w:rPr>
          <w:rFonts w:ascii="Arial" w:cs="Arial" w:eastAsia="Arial" w:hAnsi="Arial"/>
          <w:sz w:val="18"/>
          <w:szCs w:val="18"/>
          <w:color w:val="343436"/>
        </w:rPr>
        <w:t>ORDERED that</w:t>
      </w:r>
      <w:r>
        <w:rPr>
          <w:rFonts w:ascii="Arial" w:cs="Arial" w:eastAsia="Arial" w:hAnsi="Arial"/>
          <w:sz w:val="18"/>
          <w:szCs w:val="18"/>
          <w:color w:val="1D1D1F"/>
        </w:rPr>
        <w:t xml:space="preserve"> the </w:t>
      </w:r>
      <w:r>
        <w:rPr>
          <w:rFonts w:ascii="Arial" w:cs="Arial" w:eastAsia="Arial" w:hAnsi="Arial"/>
          <w:sz w:val="18"/>
          <w:szCs w:val="18"/>
          <w:color w:val="343436"/>
        </w:rPr>
        <w:t>complaint</w:t>
      </w:r>
      <w:r>
        <w:rPr>
          <w:rFonts w:ascii="Arial" w:cs="Arial" w:eastAsia="Arial" w:hAnsi="Arial"/>
          <w:sz w:val="18"/>
          <w:szCs w:val="18"/>
          <w:color w:val="1D1D1F"/>
        </w:rPr>
        <w:t xml:space="preserve"> i</w:t>
      </w:r>
      <w:r>
        <w:rPr>
          <w:rFonts w:ascii="Arial" w:cs="Arial" w:eastAsia="Arial" w:hAnsi="Arial"/>
          <w:sz w:val="18"/>
          <w:szCs w:val="18"/>
          <w:color w:val="494949"/>
        </w:rPr>
        <w:t>s</w:t>
      </w:r>
      <w:r>
        <w:rPr>
          <w:rFonts w:ascii="Arial" w:cs="Arial" w:eastAsia="Arial" w:hAnsi="Arial"/>
          <w:sz w:val="18"/>
          <w:szCs w:val="18"/>
          <w:color w:val="1D1D1F"/>
        </w:rPr>
        <w:t xml:space="preserve"> </w:t>
      </w:r>
      <w:r>
        <w:rPr>
          <w:rFonts w:ascii="Arial" w:cs="Arial" w:eastAsia="Arial" w:hAnsi="Arial"/>
          <w:sz w:val="18"/>
          <w:szCs w:val="18"/>
          <w:color w:val="343436"/>
        </w:rPr>
        <w:t>hereby</w:t>
      </w:r>
      <w:r>
        <w:rPr>
          <w:rFonts w:ascii="Arial" w:cs="Arial" w:eastAsia="Arial" w:hAnsi="Arial"/>
          <w:sz w:val="18"/>
          <w:szCs w:val="18"/>
          <w:color w:val="1D1D1F"/>
        </w:rPr>
        <w:t xml:space="preserve"> dismis</w:t>
      </w:r>
      <w:r>
        <w:rPr>
          <w:rFonts w:ascii="Arial" w:cs="Arial" w:eastAsia="Arial" w:hAnsi="Arial"/>
          <w:sz w:val="18"/>
          <w:szCs w:val="18"/>
          <w:color w:val="494949"/>
        </w:rPr>
        <w:t>sed</w:t>
      </w:r>
      <w:r>
        <w:rPr>
          <w:rFonts w:ascii="Arial" w:cs="Arial" w:eastAsia="Arial" w:hAnsi="Arial"/>
          <w:sz w:val="18"/>
          <w:szCs w:val="18"/>
          <w:color w:val="1D1D1F"/>
        </w:rPr>
        <w:t xml:space="preserve"> </w:t>
      </w:r>
      <w:r>
        <w:rPr>
          <w:rFonts w:ascii="Arial" w:cs="Arial" w:eastAsia="Arial" w:hAnsi="Arial"/>
          <w:sz w:val="18"/>
          <w:szCs w:val="18"/>
          <w:color w:val="343436"/>
        </w:rPr>
        <w:t>with prejudice.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27305</wp:posOffset>
            </wp:positionV>
            <wp:extent cx="25374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4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27305</wp:posOffset>
            </wp:positionV>
            <wp:extent cx="25374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61" w:lineRule="exact"/>
        <w:rPr>
          <w:sz w:val="20"/>
          <w:szCs w:val="20"/>
          <w:color w:val="auto"/>
        </w:rPr>
      </w:pPr>
    </w:p>
    <w:p>
      <w:pPr>
        <w:ind w:left="7000"/>
        <w:spacing w:after="0"/>
        <w:tabs>
          <w:tab w:leader="none" w:pos="8980" w:val="left"/>
        </w:tabs>
        <w:rPr>
          <w:sz w:val="20"/>
          <w:szCs w:val="20"/>
          <w:color w:val="auto"/>
        </w:rPr>
      </w:pPr>
      <w:r>
        <w:rPr>
          <w:rFonts w:ascii="Arial" w:cs="Arial" w:eastAsia="Arial" w:hAnsi="Arial"/>
          <w:sz w:val="20"/>
          <w:szCs w:val="20"/>
          <w:color w:val="auto"/>
        </w:rPr>
        <w:t>Judge</w:t>
      </w:r>
      <w:r>
        <w:rPr>
          <w:sz w:val="20"/>
          <w:szCs w:val="20"/>
          <w:color w:val="auto"/>
        </w:rPr>
        <w:tab/>
      </w:r>
      <w:r>
        <w:rPr>
          <w:rFonts w:ascii="Arial" w:cs="Arial" w:eastAsia="Arial" w:hAnsi="Arial"/>
          <w:sz w:val="20"/>
          <w:szCs w:val="20"/>
          <w:color w:val="auto"/>
        </w:rPr>
        <w:t>Judge's No.</w:t>
      </w:r>
    </w:p>
    <w:p>
      <w:pPr>
        <w:sectPr>
          <w:pgSz w:w="11900" w:h="16838" w:orient="portrait"/>
          <w:cols w:equalWidth="0" w:num="1">
            <w:col w:w="10820"/>
          </w:cols>
          <w:pgMar w:left="580" w:top="1421" w:right="499" w:bottom="1440" w:gutter="0" w:footer="0" w:header="0"/>
          <w:type w:val="continuous"/>
        </w:sectPr>
      </w:pPr>
    </w:p>
    <w:bookmarkStart w:id="116" w:name="page117"/>
    <w:bookmarkEnd w:id="116"/>
    <w:p>
      <w:pPr>
        <w:jc w:val="center"/>
        <w:ind w:right="-419"/>
        <w:spacing w:after="0"/>
        <w:rPr>
          <w:sz w:val="20"/>
          <w:szCs w:val="20"/>
          <w:color w:val="auto"/>
        </w:rPr>
      </w:pPr>
      <w:r>
        <w:rPr>
          <w:rFonts w:ascii="Arial" w:cs="Arial" w:eastAsia="Arial" w:hAnsi="Arial"/>
          <w:sz w:val="18"/>
          <w:szCs w:val="18"/>
          <w:b w:val="1"/>
          <w:bCs w:val="1"/>
          <w:u w:val="single" w:color="auto"/>
          <w:color w:val="auto"/>
        </w:rPr>
        <w:t>CERTIFICATE OF SERVICE</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 Eric S. Mattson, hereby certify that a copy of the foregoing STIPULATION TO DISMISS ACTION was served on all counsel of record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service on Liaison Counsel Bryce Hensley and counsel for the Griffith Defendants via email on _______________, 2023.</w:t>
      </w:r>
    </w:p>
    <w:p>
      <w:pPr>
        <w:spacing w:after="0" w:line="34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5220" w:type="dxa"/>
            <w:vAlign w:val="bottom"/>
          </w:tcPr>
          <w:p>
            <w:pPr>
              <w:ind w:left="800"/>
              <w:spacing w:after="0"/>
              <w:rPr>
                <w:sz w:val="20"/>
                <w:szCs w:val="20"/>
                <w:color w:val="auto"/>
              </w:rPr>
            </w:pPr>
            <w:r>
              <w:rPr>
                <w:rFonts w:ascii="Arial" w:cs="Arial" w:eastAsia="Arial" w:hAnsi="Arial"/>
                <w:sz w:val="18"/>
                <w:szCs w:val="18"/>
                <w:b w:val="1"/>
                <w:bCs w:val="1"/>
                <w:color w:val="auto"/>
              </w:rPr>
              <w:t>SERVICE LIST</w:t>
            </w:r>
          </w:p>
        </w:tc>
        <w:tc>
          <w:tcPr>
            <w:tcW w:w="0" w:type="dxa"/>
            <w:vAlign w:val="bottom"/>
          </w:tcPr>
          <w:p>
            <w:pPr>
              <w:spacing w:after="0"/>
              <w:rPr>
                <w:sz w:val="1"/>
                <w:szCs w:val="1"/>
                <w:color w:val="auto"/>
              </w:rPr>
            </w:pPr>
          </w:p>
        </w:tc>
      </w:tr>
      <w:tr>
        <w:trPr>
          <w:trHeight w:val="688"/>
        </w:trPr>
        <w:tc>
          <w:tcPr>
            <w:tcW w:w="3960" w:type="dxa"/>
            <w:vAlign w:val="bottom"/>
          </w:tcPr>
          <w:p>
            <w:pPr>
              <w:spacing w:after="0"/>
              <w:rPr>
                <w:sz w:val="20"/>
                <w:szCs w:val="20"/>
                <w:color w:val="auto"/>
              </w:rPr>
            </w:pPr>
            <w:r>
              <w:rPr>
                <w:rFonts w:ascii="Arial" w:cs="Arial" w:eastAsia="Arial" w:hAnsi="Arial"/>
                <w:sz w:val="18"/>
                <w:szCs w:val="18"/>
                <w:color w:val="auto"/>
              </w:rPr>
              <w:t>Bryce T. Hensley</w:t>
            </w:r>
          </w:p>
        </w:tc>
        <w:tc>
          <w:tcPr>
            <w:tcW w:w="5220" w:type="dxa"/>
            <w:vAlign w:val="bottom"/>
          </w:tcPr>
          <w:p>
            <w:pPr>
              <w:ind w:left="1300"/>
              <w:spacing w:after="0"/>
              <w:rPr>
                <w:sz w:val="20"/>
                <w:szCs w:val="20"/>
                <w:color w:val="auto"/>
              </w:rPr>
            </w:pPr>
            <w:r>
              <w:rPr>
                <w:rFonts w:ascii="Arial" w:cs="Arial" w:eastAsia="Arial" w:hAnsi="Arial"/>
                <w:sz w:val="18"/>
                <w:szCs w:val="18"/>
                <w:color w:val="auto"/>
              </w:rPr>
              <w:t>Christopher B. Wilson Jonathan R. Buck</w:t>
            </w:r>
          </w:p>
        </w:tc>
        <w:tc>
          <w:tcPr>
            <w:tcW w:w="0" w:type="dxa"/>
            <w:vAlign w:val="bottom"/>
          </w:tcPr>
          <w:p>
            <w:pPr>
              <w:spacing w:after="0"/>
              <w:rPr>
                <w:sz w:val="1"/>
                <w:szCs w:val="1"/>
                <w:color w:val="auto"/>
              </w:rPr>
            </w:pPr>
          </w:p>
        </w:tc>
      </w:tr>
      <w:tr>
        <w:trPr>
          <w:trHeight w:val="190"/>
        </w:trPr>
        <w:tc>
          <w:tcPr>
            <w:tcW w:w="3960" w:type="dxa"/>
            <w:vAlign w:val="bottom"/>
          </w:tcPr>
          <w:p>
            <w:pPr>
              <w:spacing w:after="0" w:line="190" w:lineRule="exact"/>
              <w:rPr>
                <w:sz w:val="20"/>
                <w:szCs w:val="20"/>
                <w:color w:val="auto"/>
              </w:rPr>
            </w:pPr>
            <w:r>
              <w:rPr>
                <w:rFonts w:ascii="Arial" w:cs="Arial" w:eastAsia="Arial" w:hAnsi="Arial"/>
                <w:sz w:val="18"/>
                <w:szCs w:val="18"/>
                <w:color w:val="auto"/>
              </w:rPr>
              <w:t>ROMANUCCI &amp; BLANDIN, LLC</w:t>
            </w:r>
          </w:p>
        </w:tc>
        <w:tc>
          <w:tcPr>
            <w:tcW w:w="5220" w:type="dxa"/>
            <w:vAlign w:val="bottom"/>
          </w:tcPr>
          <w:p>
            <w:pPr>
              <w:ind w:left="1300"/>
              <w:spacing w:after="0" w:line="190" w:lineRule="exact"/>
              <w:rPr>
                <w:sz w:val="20"/>
                <w:szCs w:val="20"/>
                <w:color w:val="auto"/>
              </w:rPr>
            </w:pPr>
            <w:r>
              <w:rPr>
                <w:rFonts w:ascii="Arial" w:cs="Arial" w:eastAsia="Arial" w:hAnsi="Arial"/>
                <w:sz w:val="18"/>
                <w:szCs w:val="18"/>
                <w:color w:val="auto"/>
              </w:rPr>
              <w:t>Kathleen A. Stetsko PERKINS COIE LLP</w:t>
            </w:r>
          </w:p>
        </w:tc>
        <w:tc>
          <w:tcPr>
            <w:tcW w:w="0" w:type="dxa"/>
            <w:vAlign w:val="bottom"/>
          </w:tcPr>
          <w:p>
            <w:pPr>
              <w:spacing w:after="0"/>
              <w:rPr>
                <w:sz w:val="1"/>
                <w:szCs w:val="1"/>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321 N. Clark Street, Suite 900</w:t>
            </w:r>
          </w:p>
        </w:tc>
        <w:tc>
          <w:tcPr>
            <w:tcW w:w="5220" w:type="dxa"/>
            <w:vAlign w:val="bottom"/>
          </w:tcPr>
          <w:p>
            <w:pPr>
              <w:ind w:left="1300"/>
              <w:spacing w:after="0" w:line="189" w:lineRule="exact"/>
              <w:rPr>
                <w:sz w:val="20"/>
                <w:szCs w:val="20"/>
                <w:color w:val="auto"/>
              </w:rPr>
            </w:pPr>
            <w:r>
              <w:rPr>
                <w:rFonts w:ascii="Arial" w:cs="Arial" w:eastAsia="Arial" w:hAnsi="Arial"/>
                <w:sz w:val="18"/>
                <w:szCs w:val="18"/>
                <w:color w:val="auto"/>
              </w:rPr>
              <w:t>110 N Upper Wacker Dr., Suite 3400 Chicago, IL</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Chicago, IL 60654</w:t>
            </w:r>
          </w:p>
        </w:tc>
        <w:tc>
          <w:tcPr>
            <w:tcW w:w="5220" w:type="dxa"/>
            <w:vAlign w:val="bottom"/>
          </w:tcPr>
          <w:p>
            <w:pPr>
              <w:ind w:left="1300"/>
              <w:spacing w:after="0"/>
              <w:rPr>
                <w:sz w:val="20"/>
                <w:szCs w:val="20"/>
                <w:color w:val="auto"/>
              </w:rPr>
            </w:pPr>
            <w:r>
              <w:rPr>
                <w:rFonts w:ascii="Arial" w:cs="Arial" w:eastAsia="Arial" w:hAnsi="Arial"/>
                <w:sz w:val="18"/>
                <w:szCs w:val="18"/>
                <w:color w:val="auto"/>
              </w:rPr>
              <w:t>60603-5559 CWilson@perkinscoie.com</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3"/>
                <w:szCs w:val="13"/>
                <w:color w:val="auto"/>
              </w:rPr>
              <w:t>(312) 458-1000</w:t>
            </w:r>
          </w:p>
        </w:tc>
        <w:tc>
          <w:tcPr>
            <w:tcW w:w="5220" w:type="dxa"/>
            <w:vAlign w:val="bottom"/>
            <w:vMerge w:val="restart"/>
          </w:tcPr>
          <w:p>
            <w:pPr>
              <w:ind w:left="1300"/>
              <w:spacing w:after="0"/>
              <w:rPr>
                <w:sz w:val="20"/>
                <w:szCs w:val="20"/>
                <w:color w:val="auto"/>
              </w:rPr>
            </w:pPr>
            <w:r>
              <w:rPr>
                <w:rFonts w:ascii="Arial" w:cs="Arial" w:eastAsia="Arial" w:hAnsi="Arial"/>
                <w:sz w:val="18"/>
                <w:szCs w:val="18"/>
                <w:color w:val="auto"/>
                <w:w w:val="92"/>
              </w:rPr>
              <w:t>JBuck@perkinscoie.com KStetsko@perkinscoie.com</w:t>
            </w:r>
          </w:p>
        </w:tc>
        <w:tc>
          <w:tcPr>
            <w:tcW w:w="0" w:type="dxa"/>
            <w:vAlign w:val="bottom"/>
          </w:tcPr>
          <w:p>
            <w:pPr>
              <w:spacing w:after="0"/>
              <w:rPr>
                <w:sz w:val="1"/>
                <w:szCs w:val="1"/>
                <w:color w:val="auto"/>
              </w:rPr>
            </w:pPr>
          </w:p>
        </w:tc>
      </w:tr>
      <w:tr>
        <w:trPr>
          <w:trHeight w:val="176"/>
        </w:trPr>
        <w:tc>
          <w:tcPr>
            <w:tcW w:w="3960" w:type="dxa"/>
            <w:vAlign w:val="bottom"/>
          </w:tcPr>
          <w:p>
            <w:pPr>
              <w:spacing w:after="0" w:line="176" w:lineRule="exact"/>
              <w:rPr>
                <w:sz w:val="20"/>
                <w:szCs w:val="20"/>
                <w:color w:val="auto"/>
              </w:rPr>
            </w:pPr>
            <w:r>
              <w:rPr>
                <w:rFonts w:ascii="Arial" w:cs="Arial" w:eastAsia="Arial" w:hAnsi="Arial"/>
                <w:sz w:val="18"/>
                <w:szCs w:val="18"/>
                <w:color w:val="auto"/>
              </w:rPr>
              <w:t>(312) 458-1004</w:t>
            </w:r>
          </w:p>
        </w:tc>
        <w:tc>
          <w:tcPr>
            <w:tcW w:w="5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aromanucci@rblaw.net bhensley@rblaw.net</w:t>
            </w:r>
          </w:p>
        </w:tc>
        <w:tc>
          <w:tcPr>
            <w:tcW w:w="5220" w:type="dxa"/>
            <w:vAlign w:val="bottom"/>
          </w:tcPr>
          <w:p>
            <w:pPr>
              <w:ind w:left="1300"/>
              <w:spacing w:after="0" w:line="189" w:lineRule="exact"/>
              <w:rPr>
                <w:sz w:val="20"/>
                <w:szCs w:val="20"/>
                <w:color w:val="auto"/>
              </w:rPr>
            </w:pPr>
            <w:r>
              <w:rPr>
                <w:rFonts w:ascii="Arial" w:cs="Arial" w:eastAsia="Arial" w:hAnsi="Arial"/>
                <w:sz w:val="18"/>
                <w:szCs w:val="18"/>
                <w:color w:val="auto"/>
                <w:w w:val="94"/>
              </w:rPr>
              <w:t xml:space="preserve">Willowbrooklit@perkinscoie.com </w:t>
            </w:r>
            <w:r>
              <w:rPr>
                <w:rFonts w:ascii="Arial" w:cs="Arial" w:eastAsia="Arial" w:hAnsi="Arial"/>
                <w:sz w:val="18"/>
                <w:szCs w:val="18"/>
                <w:i w:val="1"/>
                <w:iCs w:val="1"/>
                <w:color w:val="auto"/>
                <w:w w:val="94"/>
              </w:rPr>
              <w:t>Counsel for Griffith</w:t>
            </w:r>
          </w:p>
        </w:tc>
        <w:tc>
          <w:tcPr>
            <w:tcW w:w="0" w:type="dxa"/>
            <w:vAlign w:val="bottom"/>
          </w:tcPr>
          <w:p>
            <w:pPr>
              <w:spacing w:after="0"/>
              <w:rPr>
                <w:sz w:val="1"/>
                <w:szCs w:val="1"/>
                <w:color w:val="auto"/>
              </w:rPr>
            </w:pPr>
          </w:p>
        </w:tc>
      </w:tr>
      <w:tr>
        <w:trPr>
          <w:trHeight w:val="284"/>
        </w:trPr>
        <w:tc>
          <w:tcPr>
            <w:tcW w:w="3960" w:type="dxa"/>
            <w:vAlign w:val="bottom"/>
          </w:tcPr>
          <w:p>
            <w:pPr>
              <w:spacing w:after="0"/>
              <w:rPr>
                <w:sz w:val="20"/>
                <w:szCs w:val="20"/>
                <w:color w:val="auto"/>
              </w:rPr>
            </w:pPr>
            <w:r>
              <w:rPr>
                <w:rFonts w:ascii="Arial" w:cs="Arial" w:eastAsia="Arial" w:hAnsi="Arial"/>
                <w:sz w:val="18"/>
                <w:szCs w:val="18"/>
                <w:i w:val="1"/>
                <w:iCs w:val="1"/>
                <w:color w:val="auto"/>
              </w:rPr>
              <w:t>Lead and Liaison Counsel for Plaintiffs</w:t>
            </w:r>
          </w:p>
        </w:tc>
        <w:tc>
          <w:tcPr>
            <w:tcW w:w="5220" w:type="dxa"/>
            <w:vAlign w:val="bottom"/>
          </w:tcPr>
          <w:p>
            <w:pPr>
              <w:ind w:left="1300"/>
              <w:spacing w:after="0"/>
              <w:rPr>
                <w:sz w:val="20"/>
                <w:szCs w:val="20"/>
                <w:color w:val="auto"/>
              </w:rPr>
            </w:pPr>
            <w:r>
              <w:rPr>
                <w:rFonts w:ascii="Arial" w:cs="Arial" w:eastAsia="Arial" w:hAnsi="Arial"/>
                <w:sz w:val="18"/>
                <w:szCs w:val="18"/>
                <w:i w:val="1"/>
                <w:iCs w:val="1"/>
                <w:color w:val="auto"/>
              </w:rPr>
              <w:t>Defendants</w:t>
            </w:r>
          </w:p>
        </w:tc>
        <w:tc>
          <w:tcPr>
            <w:tcW w:w="0" w:type="dxa"/>
            <w:vAlign w:val="bottom"/>
          </w:tcPr>
          <w:p>
            <w:pPr>
              <w:spacing w:after="0"/>
              <w:rPr>
                <w:sz w:val="1"/>
                <w:szCs w:val="1"/>
                <w:color w:val="auto"/>
              </w:rPr>
            </w:pPr>
          </w:p>
        </w:tc>
      </w:tr>
    </w:tbl>
    <w:p>
      <w:pPr>
        <w:sectPr>
          <w:pgSz w:w="11900" w:h="16838" w:orient="portrait"/>
          <w:cols w:equalWidth="0" w:num="1">
            <w:col w:w="10580"/>
          </w:cols>
          <w:pgMar w:left="440" w:top="1404" w:right="879" w:bottom="1440" w:gutter="0" w:footer="0" w:header="0"/>
        </w:sectPr>
      </w:pPr>
    </w:p>
    <w:bookmarkStart w:id="117" w:name="page118"/>
    <w:bookmarkEnd w:id="117"/>
    <w:p>
      <w:pPr>
        <w:ind w:left="1000"/>
        <w:spacing w:after="0"/>
        <w:rPr>
          <w:sz w:val="20"/>
          <w:szCs w:val="20"/>
          <w:color w:val="auto"/>
        </w:rPr>
      </w:pPr>
      <w:r>
        <w:rPr>
          <w:rFonts w:ascii="Arial" w:cs="Arial" w:eastAsia="Arial" w:hAnsi="Arial"/>
          <w:sz w:val="18"/>
          <w:szCs w:val="18"/>
          <w:b w:val="1"/>
          <w:bCs w:val="1"/>
          <w:color w:val="auto"/>
        </w:rPr>
        <w:t>IN THE CIRCUIT COURT OF COOK COUNTY, ILLINOIS COUNTY DEPARTMENT, LAW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3617595" cy="2125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617595" cy="21259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RE: WILLOWBROOK ETHYLENE OXIDE LITIGATION</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94"/>
        </w:trPr>
        <w:tc>
          <w:tcPr>
            <w:tcW w:w="4160" w:type="dxa"/>
            <w:vAlign w:val="bottom"/>
          </w:tcPr>
          <w:p>
            <w:pPr>
              <w:spacing w:after="0"/>
              <w:rPr>
                <w:sz w:val="20"/>
                <w:szCs w:val="20"/>
                <w:color w:val="auto"/>
              </w:rPr>
            </w:pPr>
            <w:r>
              <w:rPr>
                <w:rFonts w:ascii="Arial" w:cs="Arial" w:eastAsia="Arial" w:hAnsi="Arial"/>
                <w:sz w:val="22"/>
                <w:szCs w:val="22"/>
                <w:b w:val="1"/>
                <w:bCs w:val="1"/>
                <w:color w:val="auto"/>
              </w:rPr>
              <w:t>This Filing Applies to:</w:t>
            </w:r>
          </w:p>
        </w:tc>
        <w:tc>
          <w:tcPr>
            <w:tcW w:w="4280" w:type="dxa"/>
            <w:vAlign w:val="bottom"/>
          </w:tcPr>
          <w:p>
            <w:pPr>
              <w:ind w:left="2080"/>
              <w:spacing w:after="0"/>
              <w:rPr>
                <w:sz w:val="20"/>
                <w:szCs w:val="20"/>
                <w:color w:val="auto"/>
              </w:rPr>
            </w:pPr>
            <w:r>
              <w:rPr>
                <w:rFonts w:ascii="Arial" w:cs="Arial" w:eastAsia="Arial" w:hAnsi="Arial"/>
                <w:sz w:val="22"/>
                <w:szCs w:val="22"/>
                <w:b w:val="1"/>
                <w:bCs w:val="1"/>
                <w:color w:val="auto"/>
                <w:w w:val="87"/>
              </w:rPr>
              <w:t>Case No. 2018 L 011939</w:t>
            </w:r>
          </w:p>
        </w:tc>
      </w:tr>
    </w:tbl>
    <w:p>
      <w:pPr>
        <w:spacing w:after="0" w:line="1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HEATHER SCHUMACHER, et al.,</w:t>
      </w:r>
    </w:p>
    <w:p>
      <w:pPr>
        <w:spacing w:after="0" w:line="20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Plaintiffs,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vs.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STERIGENICS U.S., LLC, et al.,</w:t>
      </w:r>
    </w:p>
    <w:p>
      <w:pPr>
        <w:spacing w:after="0" w:line="20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Defendants.</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STIPULATION TO DISMISS ACTION</w:t>
      </w:r>
    </w:p>
    <w:p>
      <w:pPr>
        <w:spacing w:after="0" w:line="337" w:lineRule="exact"/>
        <w:rPr>
          <w:sz w:val="20"/>
          <w:szCs w:val="20"/>
          <w:color w:val="auto"/>
        </w:rPr>
      </w:pPr>
    </w:p>
    <w:p>
      <w:pPr>
        <w:jc w:val="both"/>
        <w:ind w:firstLine="647"/>
        <w:spacing w:after="0" w:line="494" w:lineRule="auto"/>
        <w:rPr>
          <w:sz w:val="20"/>
          <w:szCs w:val="20"/>
          <w:color w:val="auto"/>
        </w:rPr>
      </w:pPr>
      <w:r>
        <w:rPr>
          <w:rFonts w:ascii="Arial" w:cs="Arial" w:eastAsia="Arial" w:hAnsi="Arial"/>
          <w:sz w:val="18"/>
          <w:szCs w:val="18"/>
          <w:color w:val="auto"/>
        </w:rPr>
        <w:t>It is hereby stipulated and agreed by and between the parties to the above entitled action, through their respective attorneys, that this action be dismissed with prejudice and without costs to either party, all costs having been paid and all matters in controversy for which the action was brought having been fully settled. The court retains jurisdiction to enforce the settlement, except as provided in the Term Sheet and Settlement Agreement, and to adjudicate issues relating to the termination or removal of liens.</w:t>
      </w:r>
    </w:p>
    <w:p>
      <w:pPr>
        <w:sectPr>
          <w:pgSz w:w="11900" w:h="16838" w:orient="portrait"/>
          <w:cols w:equalWidth="0" w:num="1">
            <w:col w:w="10600"/>
          </w:cols>
          <w:pgMar w:left="440" w:top="1404" w:right="859" w:bottom="1440" w:gutter="0" w:footer="0" w:header="0"/>
        </w:sectPr>
      </w:pPr>
    </w:p>
    <w:bookmarkStart w:id="118" w:name="page119"/>
    <w:bookmarkEnd w:id="118"/>
    <w:p>
      <w:pPr>
        <w:spacing w:after="0" w:line="238" w:lineRule="exact"/>
        <w:rPr>
          <w:sz w:val="20"/>
          <w:szCs w:val="20"/>
          <w:color w:val="auto"/>
        </w:rPr>
      </w:pPr>
    </w:p>
    <w:tbl>
      <w:tblPr>
        <w:tblLayout w:type="fixed"/>
        <w:tblInd w:w="2940" w:type="dxa"/>
        <w:tblCellMar>
          <w:top w:w="0" w:type="dxa"/>
          <w:left w:w="0" w:type="dxa"/>
          <w:bottom w:w="0" w:type="dxa"/>
          <w:right w:w="0" w:type="dxa"/>
        </w:tblCellMar>
      </w:tblPr>
      <w:tr>
        <w:trPr>
          <w:trHeight w:val="230"/>
        </w:trPr>
        <w:tc>
          <w:tcPr>
            <w:tcW w:w="2720" w:type="dxa"/>
            <w:vAlign w:val="bottom"/>
            <w:gridSpan w:val="9"/>
          </w:tcPr>
          <w:p>
            <w:pPr>
              <w:ind w:left="20"/>
              <w:spacing w:after="0"/>
              <w:rPr>
                <w:sz w:val="20"/>
                <w:szCs w:val="20"/>
                <w:color w:val="auto"/>
              </w:rPr>
            </w:pPr>
            <w:r>
              <w:rPr>
                <w:rFonts w:ascii="Arial" w:cs="Arial" w:eastAsia="Arial" w:hAnsi="Arial"/>
                <w:sz w:val="18"/>
                <w:szCs w:val="18"/>
                <w:color w:val="auto"/>
              </w:rPr>
              <w:t>Date: 1/12/2023</w:t>
            </w:r>
          </w:p>
        </w:tc>
        <w:tc>
          <w:tcPr>
            <w:tcW w:w="2140" w:type="dxa"/>
            <w:vAlign w:val="bottom"/>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gridSpan w:val="8"/>
          </w:tcPr>
          <w:p>
            <w:pPr>
              <w:jc w:val="center"/>
              <w:ind w:right="260"/>
              <w:spacing w:after="0"/>
              <w:rPr>
                <w:sz w:val="20"/>
                <w:szCs w:val="20"/>
                <w:color w:val="auto"/>
              </w:rPr>
            </w:pPr>
            <w:r>
              <w:rPr>
                <w:rFonts w:ascii="Arial" w:cs="Arial" w:eastAsia="Arial" w:hAnsi="Arial"/>
                <w:sz w:val="18"/>
                <w:szCs w:val="18"/>
                <w:color w:val="auto"/>
                <w:w w:val="93"/>
              </w:rPr>
              <w:t>/s/ Antonio Romanucci</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gridSpan w:val="8"/>
          </w:tcPr>
          <w:p>
            <w:pPr>
              <w:jc w:val="center"/>
              <w:ind w:right="260"/>
              <w:spacing w:after="0"/>
              <w:rPr>
                <w:sz w:val="20"/>
                <w:szCs w:val="20"/>
                <w:color w:val="auto"/>
              </w:rPr>
            </w:pPr>
            <w:r>
              <w:rPr>
                <w:rFonts w:ascii="Arial" w:cs="Arial" w:eastAsia="Arial" w:hAnsi="Arial"/>
                <w:sz w:val="18"/>
                <w:szCs w:val="18"/>
                <w:color w:val="auto"/>
                <w:w w:val="96"/>
              </w:rPr>
              <w:t>Attorney for Plaintiff</w:t>
            </w:r>
          </w:p>
        </w:tc>
        <w:tc>
          <w:tcPr>
            <w:tcW w:w="2140" w:type="dxa"/>
            <w:vAlign w:val="bottom"/>
          </w:tcPr>
          <w:p>
            <w:pPr>
              <w:ind w:left="220"/>
              <w:spacing w:after="0"/>
              <w:rPr>
                <w:sz w:val="20"/>
                <w:szCs w:val="20"/>
                <w:color w:val="auto"/>
              </w:rPr>
            </w:pPr>
            <w:r>
              <w:rPr>
                <w:rFonts w:ascii="Arial" w:cs="Arial" w:eastAsia="Arial" w:hAnsi="Arial"/>
                <w:sz w:val="18"/>
                <w:szCs w:val="18"/>
                <w:color w:val="auto"/>
              </w:rPr>
              <w:t>Attorney for Defendant</w:t>
            </w:r>
          </w:p>
        </w:tc>
        <w:tc>
          <w:tcPr>
            <w:tcW w:w="0" w:type="dxa"/>
            <w:vAlign w:val="bottom"/>
          </w:tcPr>
          <w:p>
            <w:pPr>
              <w:spacing w:after="0"/>
              <w:rPr>
                <w:sz w:val="1"/>
                <w:szCs w:val="1"/>
                <w:color w:val="auto"/>
              </w:rPr>
            </w:pPr>
          </w:p>
        </w:tc>
      </w:tr>
      <w:tr>
        <w:trPr>
          <w:trHeight w:val="499"/>
        </w:trPr>
        <w:tc>
          <w:tcPr>
            <w:tcW w:w="2720" w:type="dxa"/>
            <w:vAlign w:val="bottom"/>
            <w:gridSpan w:val="9"/>
          </w:tcPr>
          <w:p>
            <w:pPr>
              <w:ind w:left="20"/>
              <w:spacing w:after="0"/>
              <w:rPr>
                <w:sz w:val="20"/>
                <w:szCs w:val="20"/>
                <w:color w:val="auto"/>
              </w:rPr>
            </w:pPr>
            <w:r>
              <w:rPr>
                <w:rFonts w:ascii="Arial" w:cs="Arial" w:eastAsia="Arial" w:hAnsi="Arial"/>
                <w:sz w:val="18"/>
                <w:szCs w:val="18"/>
                <w:color w:val="auto"/>
              </w:rPr>
              <w:t>Att. No: 35875</w:t>
            </w:r>
          </w:p>
        </w:tc>
        <w:tc>
          <w:tcPr>
            <w:tcW w:w="2140" w:type="dxa"/>
            <w:vAlign w:val="bottom"/>
          </w:tcPr>
          <w:p>
            <w:pPr>
              <w:ind w:left="20"/>
              <w:spacing w:after="0"/>
              <w:rPr>
                <w:sz w:val="20"/>
                <w:szCs w:val="20"/>
                <w:color w:val="auto"/>
              </w:rPr>
            </w:pPr>
            <w:r>
              <w:rPr>
                <w:rFonts w:ascii="Arial" w:cs="Arial" w:eastAsia="Arial" w:hAnsi="Arial"/>
                <w:sz w:val="18"/>
                <w:szCs w:val="18"/>
                <w:color w:val="auto"/>
              </w:rPr>
              <w:t>Att. No: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9"/>
          </w:tcPr>
          <w:p>
            <w:pPr>
              <w:ind w:left="20"/>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color w:val="343436"/>
              </w:rPr>
              <w:t>321 N. Clark Street,</w:t>
            </w:r>
          </w:p>
        </w:tc>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156"/>
        </w:trPr>
        <w:tc>
          <w:tcPr>
            <w:tcW w:w="720" w:type="dxa"/>
            <w:vAlign w:val="bottom"/>
            <w:gridSpan w:val="2"/>
          </w:tcPr>
          <w:p>
            <w:pPr>
              <w:ind w:left="20"/>
              <w:spacing w:after="0" w:line="156" w:lineRule="exact"/>
              <w:rPr>
                <w:sz w:val="20"/>
                <w:szCs w:val="20"/>
                <w:color w:val="auto"/>
              </w:rPr>
            </w:pPr>
            <w:r>
              <w:rPr>
                <w:rFonts w:ascii="Arial" w:cs="Arial" w:eastAsia="Arial" w:hAnsi="Arial"/>
                <w:sz w:val="18"/>
                <w:szCs w:val="18"/>
                <w:color w:val="343436"/>
                <w:w w:val="86"/>
              </w:rPr>
              <w:t>Suite 900</w:t>
            </w:r>
          </w:p>
        </w:tc>
        <w:tc>
          <w:tcPr>
            <w:tcW w:w="140" w:type="dxa"/>
            <w:vAlign w:val="bottom"/>
            <w:tcBorders>
              <w:top w:val="single" w:sz="8" w:color="343436"/>
            </w:tcBorders>
          </w:tcPr>
          <w:p>
            <w:pPr>
              <w:spacing w:after="0"/>
              <w:rPr>
                <w:sz w:val="13"/>
                <w:szCs w:val="13"/>
                <w:color w:val="auto"/>
              </w:rPr>
            </w:pPr>
          </w:p>
        </w:tc>
        <w:tc>
          <w:tcPr>
            <w:tcW w:w="720" w:type="dxa"/>
            <w:vAlign w:val="bottom"/>
            <w:tcBorders>
              <w:top w:val="single" w:sz="8" w:color="343436"/>
            </w:tcBorders>
            <w:gridSpan w:val="2"/>
          </w:tcPr>
          <w:p>
            <w:pPr>
              <w:spacing w:after="0"/>
              <w:rPr>
                <w:sz w:val="13"/>
                <w:szCs w:val="13"/>
                <w:color w:val="auto"/>
              </w:rPr>
            </w:pPr>
          </w:p>
        </w:tc>
        <w:tc>
          <w:tcPr>
            <w:tcW w:w="300" w:type="dxa"/>
            <w:vAlign w:val="bottom"/>
            <w:tcBorders>
              <w:top w:val="single" w:sz="8" w:color="343436"/>
            </w:tcBorders>
          </w:tcPr>
          <w:p>
            <w:pPr>
              <w:spacing w:after="0"/>
              <w:rPr>
                <w:sz w:val="13"/>
                <w:szCs w:val="13"/>
                <w:color w:val="auto"/>
              </w:rPr>
            </w:pPr>
          </w:p>
        </w:tc>
        <w:tc>
          <w:tcPr>
            <w:tcW w:w="260" w:type="dxa"/>
            <w:vAlign w:val="bottom"/>
            <w:tcBorders>
              <w:top w:val="single" w:sz="8" w:color="343436"/>
            </w:tcBorders>
          </w:tcPr>
          <w:p>
            <w:pPr>
              <w:spacing w:after="0"/>
              <w:rPr>
                <w:sz w:val="13"/>
                <w:szCs w:val="13"/>
                <w:color w:val="auto"/>
              </w:rPr>
            </w:pPr>
          </w:p>
        </w:tc>
        <w:tc>
          <w:tcPr>
            <w:tcW w:w="580" w:type="dxa"/>
            <w:vAlign w:val="bottom"/>
            <w:gridSpan w:val="2"/>
          </w:tcPr>
          <w:p>
            <w:pPr>
              <w:spacing w:after="0"/>
              <w:rPr>
                <w:sz w:val="13"/>
                <w:szCs w:val="13"/>
                <w:color w:val="auto"/>
              </w:rPr>
            </w:pPr>
          </w:p>
        </w:tc>
        <w:tc>
          <w:tcPr>
            <w:tcW w:w="2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343436"/>
            </w:tcBorders>
            <w:shd w:val="clear" w:color="auto" w:fill="34343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20" w:type="dxa"/>
            <w:vAlign w:val="bottom"/>
            <w:gridSpan w:val="9"/>
          </w:tcPr>
          <w:p>
            <w:pPr>
              <w:ind w:left="20"/>
              <w:spacing w:after="0"/>
              <w:rPr>
                <w:sz w:val="20"/>
                <w:szCs w:val="20"/>
                <w:color w:val="auto"/>
              </w:rPr>
            </w:pPr>
            <w:r>
              <w:rPr>
                <w:rFonts w:ascii="Arial" w:cs="Arial" w:eastAsia="Arial" w:hAnsi="Arial"/>
                <w:sz w:val="18"/>
                <w:szCs w:val="18"/>
                <w:color w:val="auto"/>
              </w:rPr>
              <w:t>City/Zip: Chicago, IL</w:t>
            </w:r>
          </w:p>
        </w:tc>
        <w:tc>
          <w:tcPr>
            <w:tcW w:w="2140" w:type="dxa"/>
            <w:vAlign w:val="bottom"/>
          </w:tcPr>
          <w:p>
            <w:pPr>
              <w:ind w:left="20"/>
              <w:spacing w:after="0"/>
              <w:rPr>
                <w:sz w:val="20"/>
                <w:szCs w:val="20"/>
                <w:color w:val="auto"/>
              </w:rPr>
            </w:pPr>
            <w:r>
              <w:rPr>
                <w:rFonts w:ascii="Arial" w:cs="Arial" w:eastAsia="Arial" w:hAnsi="Arial"/>
                <w:sz w:val="18"/>
                <w:szCs w:val="18"/>
                <w:color w:val="auto"/>
              </w:rPr>
              <w:t>City/Zip:</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20" w:type="dxa"/>
            <w:vAlign w:val="bottom"/>
            <w:gridSpan w:val="9"/>
          </w:tcPr>
          <w:p>
            <w:pPr>
              <w:ind w:left="20"/>
              <w:spacing w:after="0"/>
              <w:rPr>
                <w:sz w:val="20"/>
                <w:szCs w:val="20"/>
                <w:color w:val="auto"/>
              </w:rPr>
            </w:pPr>
            <w:r>
              <w:rPr>
                <w:rFonts w:ascii="Arial" w:cs="Arial" w:eastAsia="Arial" w:hAnsi="Arial"/>
                <w:sz w:val="18"/>
                <w:szCs w:val="18"/>
                <w:color w:val="auto"/>
              </w:rPr>
              <w:t>Telephone: 312-458-1000</w:t>
            </w:r>
          </w:p>
        </w:tc>
        <w:tc>
          <w:tcPr>
            <w:tcW w:w="2140" w:type="dxa"/>
            <w:vAlign w:val="bottom"/>
          </w:tcPr>
          <w:p>
            <w:pPr>
              <w:ind w:left="20"/>
              <w:spacing w:after="0"/>
              <w:rPr>
                <w:sz w:val="20"/>
                <w:szCs w:val="20"/>
                <w:color w:val="auto"/>
              </w:rPr>
            </w:pPr>
            <w:r>
              <w:rPr>
                <w:rFonts w:ascii="Arial" w:cs="Arial" w:eastAsia="Arial" w:hAnsi="Arial"/>
                <w:sz w:val="18"/>
                <w:szCs w:val="18"/>
                <w:color w:val="auto"/>
              </w:rPr>
              <w:t>Telephone: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1D1D1F"/>
        </w:rPr>
        <w:t>ORDER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6"/>
          <w:szCs w:val="16"/>
          <w:color w:val="343436"/>
        </w:rPr>
        <w:t xml:space="preserve">This </w:t>
      </w:r>
      <w:r>
        <w:rPr>
          <w:rFonts w:ascii="Arial" w:cs="Arial" w:eastAsia="Arial" w:hAnsi="Arial"/>
          <w:sz w:val="16"/>
          <w:szCs w:val="16"/>
          <w:color w:val="494949"/>
        </w:rPr>
        <w:t>Co</w:t>
      </w:r>
      <w:r>
        <w:rPr>
          <w:rFonts w:ascii="Arial" w:cs="Arial" w:eastAsia="Arial" w:hAnsi="Arial"/>
          <w:sz w:val="16"/>
          <w:szCs w:val="16"/>
          <w:color w:val="1D1D1F"/>
        </w:rPr>
        <w:t>urt havin</w:t>
      </w:r>
      <w:r>
        <w:rPr>
          <w:rFonts w:ascii="Arial" w:cs="Arial" w:eastAsia="Arial" w:hAnsi="Arial"/>
          <w:sz w:val="16"/>
          <w:szCs w:val="16"/>
          <w:color w:val="494949"/>
        </w:rPr>
        <w:t>g exam</w:t>
      </w:r>
      <w:r>
        <w:rPr>
          <w:rFonts w:ascii="Arial" w:cs="Arial" w:eastAsia="Arial" w:hAnsi="Arial"/>
          <w:sz w:val="16"/>
          <w:szCs w:val="16"/>
          <w:color w:val="1D1D1F"/>
        </w:rPr>
        <w:t>ined th</w:t>
      </w:r>
      <w:r>
        <w:rPr>
          <w:rFonts w:ascii="Arial" w:cs="Arial" w:eastAsia="Arial" w:hAnsi="Arial"/>
          <w:sz w:val="16"/>
          <w:szCs w:val="16"/>
          <w:color w:val="494949"/>
        </w:rPr>
        <w:t>e</w:t>
      </w:r>
      <w:r>
        <w:rPr>
          <w:rFonts w:ascii="Arial" w:cs="Arial" w:eastAsia="Arial" w:hAnsi="Arial"/>
          <w:sz w:val="16"/>
          <w:szCs w:val="16"/>
          <w:color w:val="343436"/>
        </w:rPr>
        <w:t xml:space="preserve"> above Stipulation finds that </w:t>
      </w:r>
      <w:r>
        <w:rPr>
          <w:rFonts w:ascii="Arial" w:cs="Arial" w:eastAsia="Arial" w:hAnsi="Arial"/>
          <w:sz w:val="16"/>
          <w:szCs w:val="16"/>
          <w:color w:val="1D1D1F"/>
        </w:rPr>
        <w:t>this</w:t>
      </w:r>
      <w:r>
        <w:rPr>
          <w:rFonts w:ascii="Arial" w:cs="Arial" w:eastAsia="Arial" w:hAnsi="Arial"/>
          <w:sz w:val="16"/>
          <w:szCs w:val="16"/>
          <w:color w:val="343436"/>
        </w:rPr>
        <w:t xml:space="preserve"> cause of action </w:t>
      </w:r>
      <w:r>
        <w:rPr>
          <w:rFonts w:ascii="Arial" w:cs="Arial" w:eastAsia="Arial" w:hAnsi="Arial"/>
          <w:sz w:val="16"/>
          <w:szCs w:val="16"/>
          <w:color w:val="1D1D1F"/>
        </w:rPr>
        <w:t>ha</w:t>
      </w:r>
      <w:r>
        <w:rPr>
          <w:rFonts w:ascii="Arial" w:cs="Arial" w:eastAsia="Arial" w:hAnsi="Arial"/>
          <w:sz w:val="16"/>
          <w:szCs w:val="16"/>
          <w:color w:val="494949"/>
        </w:rPr>
        <w:t>s</w:t>
      </w:r>
      <w:r>
        <w:rPr>
          <w:rFonts w:ascii="Arial" w:cs="Arial" w:eastAsia="Arial" w:hAnsi="Arial"/>
          <w:sz w:val="16"/>
          <w:szCs w:val="16"/>
          <w:color w:val="343436"/>
        </w:rPr>
        <w:t xml:space="preserve"> been fully </w:t>
      </w:r>
      <w:r>
        <w:rPr>
          <w:rFonts w:ascii="Arial" w:cs="Arial" w:eastAsia="Arial" w:hAnsi="Arial"/>
          <w:sz w:val="16"/>
          <w:szCs w:val="16"/>
          <w:color w:val="494949"/>
        </w:rPr>
        <w:t>compro</w:t>
      </w:r>
      <w:r>
        <w:rPr>
          <w:rFonts w:ascii="Arial" w:cs="Arial" w:eastAsia="Arial" w:hAnsi="Arial"/>
          <w:sz w:val="16"/>
          <w:szCs w:val="16"/>
          <w:color w:val="1D1D1F"/>
        </w:rPr>
        <w:t>mi</w:t>
      </w:r>
      <w:r>
        <w:rPr>
          <w:rFonts w:ascii="Arial" w:cs="Arial" w:eastAsia="Arial" w:hAnsi="Arial"/>
          <w:sz w:val="16"/>
          <w:szCs w:val="16"/>
          <w:color w:val="494949"/>
        </w:rPr>
        <w:t>sed</w:t>
      </w:r>
      <w:r>
        <w:rPr>
          <w:rFonts w:ascii="Arial" w:cs="Arial" w:eastAsia="Arial" w:hAnsi="Arial"/>
          <w:sz w:val="16"/>
          <w:szCs w:val="16"/>
          <w:color w:val="343436"/>
        </w:rPr>
        <w:t xml:space="preserve"> and </w:t>
      </w:r>
      <w:r>
        <w:rPr>
          <w:rFonts w:ascii="Arial" w:cs="Arial" w:eastAsia="Arial" w:hAnsi="Arial"/>
          <w:sz w:val="16"/>
          <w:szCs w:val="16"/>
          <w:color w:val="494949"/>
        </w:rPr>
        <w:t>sett</w:t>
      </w:r>
      <w:r>
        <w:rPr>
          <w:rFonts w:ascii="Arial" w:cs="Arial" w:eastAsia="Arial" w:hAnsi="Arial"/>
          <w:sz w:val="16"/>
          <w:szCs w:val="16"/>
          <w:color w:val="1D1D1F"/>
        </w:rPr>
        <w:t>led</w:t>
      </w:r>
      <w:r>
        <w:rPr>
          <w:rFonts w:ascii="Arial" w:cs="Arial" w:eastAsia="Arial" w:hAnsi="Arial"/>
          <w:sz w:val="16"/>
          <w:szCs w:val="16"/>
          <w:color w:val="343436"/>
        </w:rPr>
        <w:t xml:space="preserve"> and </w:t>
      </w:r>
      <w:r>
        <w:rPr>
          <w:rFonts w:ascii="Arial" w:cs="Arial" w:eastAsia="Arial" w:hAnsi="Arial"/>
          <w:sz w:val="16"/>
          <w:szCs w:val="16"/>
          <w:color w:val="1D1D1F"/>
        </w:rPr>
        <w:t>th</w:t>
      </w:r>
      <w:r>
        <w:rPr>
          <w:rFonts w:ascii="Arial" w:cs="Arial" w:eastAsia="Arial" w:hAnsi="Arial"/>
          <w:sz w:val="16"/>
          <w:szCs w:val="16"/>
          <w:color w:val="494949"/>
        </w:rPr>
        <w:t>e</w:t>
      </w:r>
      <w:r>
        <w:rPr>
          <w:rFonts w:ascii="Arial" w:cs="Arial" w:eastAsia="Arial" w:hAnsi="Arial"/>
          <w:sz w:val="16"/>
          <w:szCs w:val="16"/>
          <w:color w:val="343436"/>
        </w:rPr>
        <w:t xml:space="preserve"> </w:t>
      </w:r>
      <w:r>
        <w:rPr>
          <w:rFonts w:ascii="Arial" w:cs="Arial" w:eastAsia="Arial" w:hAnsi="Arial"/>
          <w:sz w:val="16"/>
          <w:szCs w:val="16"/>
          <w:color w:val="1D1D1F"/>
        </w:rPr>
        <w:t>partie</w:t>
      </w:r>
      <w:r>
        <w:rPr>
          <w:rFonts w:ascii="Arial" w:cs="Arial" w:eastAsia="Arial" w:hAnsi="Arial"/>
          <w:sz w:val="16"/>
          <w:szCs w:val="16"/>
          <w:color w:val="494949"/>
        </w:rPr>
        <w:t>s</w:t>
      </w:r>
      <w:r>
        <w:rPr>
          <w:rFonts w:ascii="Arial" w:cs="Arial" w:eastAsia="Arial" w:hAnsi="Arial"/>
          <w:sz w:val="16"/>
          <w:szCs w:val="16"/>
          <w:color w:val="343436"/>
        </w:rPr>
        <w:t xml:space="preserve"> have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343436"/>
        </w:rPr>
        <w:t xml:space="preserve">stipulated and agreed </w:t>
      </w:r>
      <w:r>
        <w:rPr>
          <w:rFonts w:ascii="Arial" w:cs="Arial" w:eastAsia="Arial" w:hAnsi="Arial"/>
          <w:sz w:val="18"/>
          <w:szCs w:val="18"/>
          <w:color w:val="1D1D1F"/>
        </w:rPr>
        <w:t>to</w:t>
      </w:r>
      <w:r>
        <w:rPr>
          <w:rFonts w:ascii="Arial" w:cs="Arial" w:eastAsia="Arial" w:hAnsi="Arial"/>
          <w:sz w:val="18"/>
          <w:szCs w:val="18"/>
          <w:color w:val="343436"/>
        </w:rPr>
        <w:t xml:space="preserve"> dismissal of </w:t>
      </w:r>
      <w:r>
        <w:rPr>
          <w:rFonts w:ascii="Arial" w:cs="Arial" w:eastAsia="Arial" w:hAnsi="Arial"/>
          <w:sz w:val="18"/>
          <w:szCs w:val="18"/>
          <w:color w:val="1D1D1F"/>
        </w:rPr>
        <w:t>th</w:t>
      </w:r>
      <w:r>
        <w:rPr>
          <w:rFonts w:ascii="Arial" w:cs="Arial" w:eastAsia="Arial" w:hAnsi="Arial"/>
          <w:sz w:val="18"/>
          <w:szCs w:val="18"/>
          <w:color w:val="494949"/>
        </w:rPr>
        <w:t>e</w:t>
      </w:r>
      <w:r>
        <w:rPr>
          <w:rFonts w:ascii="Arial" w:cs="Arial" w:eastAsia="Arial" w:hAnsi="Arial"/>
          <w:sz w:val="18"/>
          <w:szCs w:val="18"/>
          <w:color w:val="343436"/>
        </w:rPr>
        <w:t xml:space="preserve"> complaint with prejudice. The </w:t>
      </w:r>
      <w:r>
        <w:rPr>
          <w:rFonts w:ascii="Arial" w:cs="Arial" w:eastAsia="Arial" w:hAnsi="Arial"/>
          <w:sz w:val="18"/>
          <w:szCs w:val="18"/>
          <w:color w:val="494949"/>
        </w:rPr>
        <w:t>Co</w:t>
      </w:r>
      <w:r>
        <w:rPr>
          <w:rFonts w:ascii="Arial" w:cs="Arial" w:eastAsia="Arial" w:hAnsi="Arial"/>
          <w:sz w:val="18"/>
          <w:szCs w:val="18"/>
          <w:color w:val="1D1D1F"/>
        </w:rPr>
        <w:t>urt</w:t>
      </w:r>
      <w:r>
        <w:rPr>
          <w:rFonts w:ascii="Arial" w:cs="Arial" w:eastAsia="Arial" w:hAnsi="Arial"/>
          <w:sz w:val="18"/>
          <w:szCs w:val="18"/>
          <w:color w:val="343436"/>
        </w:rPr>
        <w:t xml:space="preserve"> further </w:t>
      </w:r>
      <w:r>
        <w:rPr>
          <w:rFonts w:ascii="Arial" w:cs="Arial" w:eastAsia="Arial" w:hAnsi="Arial"/>
          <w:sz w:val="18"/>
          <w:szCs w:val="18"/>
          <w:color w:val="1D1D1F"/>
        </w:rPr>
        <w:t>find</w:t>
      </w:r>
      <w:r>
        <w:rPr>
          <w:rFonts w:ascii="Arial" w:cs="Arial" w:eastAsia="Arial" w:hAnsi="Arial"/>
          <w:sz w:val="18"/>
          <w:szCs w:val="18"/>
          <w:color w:val="494949"/>
        </w:rPr>
        <w:t>s</w:t>
      </w:r>
      <w:r>
        <w:rPr>
          <w:rFonts w:ascii="Arial" w:cs="Arial" w:eastAsia="Arial" w:hAnsi="Arial"/>
          <w:sz w:val="18"/>
          <w:szCs w:val="18"/>
          <w:color w:val="343436"/>
        </w:rPr>
        <w:t xml:space="preserve"> that all costs </w:t>
      </w:r>
      <w:r>
        <w:rPr>
          <w:rFonts w:ascii="Arial" w:cs="Arial" w:eastAsia="Arial" w:hAnsi="Arial"/>
          <w:sz w:val="18"/>
          <w:szCs w:val="18"/>
          <w:color w:val="1D1D1F"/>
        </w:rPr>
        <w:t>have been</w:t>
      </w:r>
      <w:r>
        <w:rPr>
          <w:rFonts w:ascii="Arial" w:cs="Arial" w:eastAsia="Arial" w:hAnsi="Arial"/>
          <w:sz w:val="18"/>
          <w:szCs w:val="18"/>
          <w:color w:val="343436"/>
        </w:rPr>
        <w:t xml:space="preserve"> paid.</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1D1D1F"/>
        </w:rPr>
        <w:t xml:space="preserve">IT IS THEREFORE </w:t>
      </w:r>
      <w:r>
        <w:rPr>
          <w:rFonts w:ascii="Arial" w:cs="Arial" w:eastAsia="Arial" w:hAnsi="Arial"/>
          <w:sz w:val="18"/>
          <w:szCs w:val="18"/>
          <w:color w:val="343436"/>
        </w:rPr>
        <w:t>ORDERED that</w:t>
      </w:r>
      <w:r>
        <w:rPr>
          <w:rFonts w:ascii="Arial" w:cs="Arial" w:eastAsia="Arial" w:hAnsi="Arial"/>
          <w:sz w:val="18"/>
          <w:szCs w:val="18"/>
          <w:color w:val="1D1D1F"/>
        </w:rPr>
        <w:t xml:space="preserve"> the </w:t>
      </w:r>
      <w:r>
        <w:rPr>
          <w:rFonts w:ascii="Arial" w:cs="Arial" w:eastAsia="Arial" w:hAnsi="Arial"/>
          <w:sz w:val="18"/>
          <w:szCs w:val="18"/>
          <w:color w:val="343436"/>
        </w:rPr>
        <w:t>complaint</w:t>
      </w:r>
      <w:r>
        <w:rPr>
          <w:rFonts w:ascii="Arial" w:cs="Arial" w:eastAsia="Arial" w:hAnsi="Arial"/>
          <w:sz w:val="18"/>
          <w:szCs w:val="18"/>
          <w:color w:val="1D1D1F"/>
        </w:rPr>
        <w:t xml:space="preserve"> i</w:t>
      </w:r>
      <w:r>
        <w:rPr>
          <w:rFonts w:ascii="Arial" w:cs="Arial" w:eastAsia="Arial" w:hAnsi="Arial"/>
          <w:sz w:val="18"/>
          <w:szCs w:val="18"/>
          <w:color w:val="494949"/>
        </w:rPr>
        <w:t>s</w:t>
      </w:r>
      <w:r>
        <w:rPr>
          <w:rFonts w:ascii="Arial" w:cs="Arial" w:eastAsia="Arial" w:hAnsi="Arial"/>
          <w:sz w:val="18"/>
          <w:szCs w:val="18"/>
          <w:color w:val="1D1D1F"/>
        </w:rPr>
        <w:t xml:space="preserve"> </w:t>
      </w:r>
      <w:r>
        <w:rPr>
          <w:rFonts w:ascii="Arial" w:cs="Arial" w:eastAsia="Arial" w:hAnsi="Arial"/>
          <w:sz w:val="18"/>
          <w:szCs w:val="18"/>
          <w:color w:val="343436"/>
        </w:rPr>
        <w:t>hereby</w:t>
      </w:r>
      <w:r>
        <w:rPr>
          <w:rFonts w:ascii="Arial" w:cs="Arial" w:eastAsia="Arial" w:hAnsi="Arial"/>
          <w:sz w:val="18"/>
          <w:szCs w:val="18"/>
          <w:color w:val="1D1D1F"/>
        </w:rPr>
        <w:t xml:space="preserve"> dismis</w:t>
      </w:r>
      <w:r>
        <w:rPr>
          <w:rFonts w:ascii="Arial" w:cs="Arial" w:eastAsia="Arial" w:hAnsi="Arial"/>
          <w:sz w:val="18"/>
          <w:szCs w:val="18"/>
          <w:color w:val="494949"/>
        </w:rPr>
        <w:t>sed</w:t>
      </w:r>
      <w:r>
        <w:rPr>
          <w:rFonts w:ascii="Arial" w:cs="Arial" w:eastAsia="Arial" w:hAnsi="Arial"/>
          <w:sz w:val="18"/>
          <w:szCs w:val="18"/>
          <w:color w:val="1D1D1F"/>
        </w:rPr>
        <w:t xml:space="preserve"> </w:t>
      </w:r>
      <w:r>
        <w:rPr>
          <w:rFonts w:ascii="Arial" w:cs="Arial" w:eastAsia="Arial" w:hAnsi="Arial"/>
          <w:sz w:val="18"/>
          <w:szCs w:val="18"/>
          <w:color w:val="343436"/>
        </w:rPr>
        <w:t>with prejudice.</w:t>
      </w:r>
    </w:p>
    <w:p>
      <w:pPr>
        <w:spacing w:after="0" w:line="200" w:lineRule="exact"/>
        <w:rPr>
          <w:sz w:val="20"/>
          <w:szCs w:val="20"/>
          <w:color w:val="auto"/>
        </w:rPr>
      </w:pPr>
    </w:p>
    <w:p>
      <w:pPr>
        <w:spacing w:after="0" w:line="333"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27305</wp:posOffset>
            </wp:positionV>
            <wp:extent cx="25374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4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27305</wp:posOffset>
            </wp:positionV>
            <wp:extent cx="25374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61" w:lineRule="exact"/>
        <w:rPr>
          <w:sz w:val="20"/>
          <w:szCs w:val="20"/>
          <w:color w:val="auto"/>
        </w:rPr>
      </w:pPr>
    </w:p>
    <w:p>
      <w:pPr>
        <w:ind w:left="7200"/>
        <w:spacing w:after="0"/>
        <w:tabs>
          <w:tab w:leader="none" w:pos="8980" w:val="left"/>
        </w:tabs>
        <w:rPr>
          <w:sz w:val="20"/>
          <w:szCs w:val="20"/>
          <w:color w:val="auto"/>
        </w:rPr>
      </w:pPr>
      <w:r>
        <w:rPr>
          <w:rFonts w:ascii="Arial" w:cs="Arial" w:eastAsia="Arial" w:hAnsi="Arial"/>
          <w:sz w:val="20"/>
          <w:szCs w:val="20"/>
          <w:color w:val="auto"/>
        </w:rPr>
        <w:t>Judge</w:t>
      </w:r>
      <w:r>
        <w:rPr>
          <w:sz w:val="20"/>
          <w:szCs w:val="20"/>
          <w:color w:val="auto"/>
        </w:rPr>
        <w:tab/>
      </w:r>
      <w:r>
        <w:rPr>
          <w:rFonts w:ascii="Arial" w:cs="Arial" w:eastAsia="Arial" w:hAnsi="Arial"/>
          <w:sz w:val="20"/>
          <w:szCs w:val="20"/>
          <w:color w:val="auto"/>
        </w:rPr>
        <w:t>Judge's No.</w:t>
      </w:r>
    </w:p>
    <w:p>
      <w:pPr>
        <w:sectPr>
          <w:pgSz w:w="11900" w:h="16838" w:orient="portrait"/>
          <w:cols w:equalWidth="0" w:num="1">
            <w:col w:w="10820"/>
          </w:cols>
          <w:pgMar w:left="580" w:top="1440" w:right="499" w:bottom="1440" w:gutter="0" w:footer="0" w:header="0"/>
        </w:sectPr>
      </w:pPr>
    </w:p>
    <w:bookmarkStart w:id="119" w:name="page120"/>
    <w:bookmarkEnd w:id="119"/>
    <w:p>
      <w:pPr>
        <w:ind w:left="4440"/>
        <w:spacing w:after="0"/>
        <w:rPr>
          <w:sz w:val="20"/>
          <w:szCs w:val="20"/>
          <w:color w:val="auto"/>
        </w:rPr>
      </w:pPr>
      <w:r>
        <w:rPr>
          <w:rFonts w:ascii="Arial" w:cs="Arial" w:eastAsia="Arial" w:hAnsi="Arial"/>
          <w:sz w:val="18"/>
          <w:szCs w:val="18"/>
          <w:b w:val="1"/>
          <w:bCs w:val="1"/>
          <w:u w:val="single" w:color="auto"/>
          <w:color w:val="auto"/>
        </w:rPr>
        <w:t>CERTIFICATE OF SERVICE</w:t>
      </w:r>
    </w:p>
    <w:p>
      <w:pPr>
        <w:spacing w:after="0" w:line="200" w:lineRule="exact"/>
        <w:rPr>
          <w:sz w:val="20"/>
          <w:szCs w:val="20"/>
          <w:color w:val="auto"/>
        </w:rPr>
      </w:pPr>
    </w:p>
    <w:p>
      <w:pPr>
        <w:spacing w:after="0" w:line="2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 Eric S. Mattson, hereby certify that a copy of the foregoing STIPULATION TO DISMISS ACTION was served on all counsel of record</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service on Liaison Counsel Bryce Hensley and counsel for the Griffith Defendants via email on _______________, 2023.</w:t>
      </w:r>
    </w:p>
    <w:p>
      <w:pPr>
        <w:sectPr>
          <w:pgSz w:w="11900" w:h="16838" w:orient="portrait"/>
          <w:cols w:equalWidth="0" w:num="1">
            <w:col w:w="10700"/>
          </w:cols>
          <w:pgMar w:left="320" w:top="1417"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Bryce T. Hensley</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ROMANUCCI &amp; BLANDIN, LLC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321 N. Clark Street, Suite 900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640" w:hanging="427"/>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458-1000</w:t>
      </w:r>
    </w:p>
    <w:p>
      <w:pPr>
        <w:spacing w:after="0" w:line="9" w:lineRule="exact"/>
        <w:rPr>
          <w:rFonts w:ascii="Arial" w:cs="Arial" w:eastAsia="Arial" w:hAnsi="Arial"/>
          <w:sz w:val="18"/>
          <w:szCs w:val="18"/>
          <w:color w:val="auto"/>
        </w:rPr>
      </w:pPr>
    </w:p>
    <w:p>
      <w:pPr>
        <w:ind w:left="220" w:right="2400" w:hanging="7"/>
        <w:spacing w:after="0" w:line="274" w:lineRule="auto"/>
        <w:tabs>
          <w:tab w:leader="none" w:pos="65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458-1004 aromanucci@rblaw.net</w:t>
      </w:r>
    </w:p>
    <w:p>
      <w:pPr>
        <w:spacing w:after="0" w:line="219" w:lineRule="auto"/>
        <w:rPr>
          <w:sz w:val="20"/>
          <w:szCs w:val="20"/>
          <w:color w:val="auto"/>
        </w:rPr>
      </w:pPr>
      <w:r>
        <w:rPr>
          <w:rFonts w:ascii="Arial" w:cs="Arial" w:eastAsia="Arial" w:hAnsi="Arial"/>
          <w:sz w:val="18"/>
          <w:szCs w:val="18"/>
          <w:color w:val="auto"/>
        </w:rPr>
        <w:t>bhensley@rblaw.net</w:t>
      </w:r>
    </w:p>
    <w:p>
      <w:pPr>
        <w:ind w:left="220"/>
        <w:spacing w:after="0"/>
        <w:rPr>
          <w:sz w:val="20"/>
          <w:szCs w:val="20"/>
          <w:color w:val="auto"/>
        </w:rPr>
      </w:pPr>
      <w:r>
        <w:rPr>
          <w:rFonts w:ascii="Arial" w:cs="Arial" w:eastAsia="Arial" w:hAnsi="Arial"/>
          <w:sz w:val="16"/>
          <w:szCs w:val="16"/>
          <w:i w:val="1"/>
          <w:iCs w:val="1"/>
          <w:color w:val="auto"/>
        </w:rPr>
        <w:t>Lead and Liaison Counsel for Plaintiffs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LIST</w:t>
      </w:r>
    </w:p>
    <w:p>
      <w:pPr>
        <w:spacing w:after="0" w:line="200" w:lineRule="exact"/>
        <w:rPr>
          <w:sz w:val="20"/>
          <w:szCs w:val="20"/>
          <w:color w:val="auto"/>
        </w:rPr>
      </w:pP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Christopher B. Wilson Jonathan 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Buck Kathleen A. Stetsko PERKINS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COIE LLP</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110 N Upper Wacker Dr., Suite 3400 Chicago, IL</w:t>
      </w:r>
    </w:p>
    <w:p>
      <w:pPr>
        <w:spacing w:after="0" w:line="9" w:lineRule="exact"/>
        <w:rPr>
          <w:sz w:val="20"/>
          <w:szCs w:val="20"/>
          <w:color w:val="auto"/>
        </w:rPr>
      </w:pPr>
    </w:p>
    <w:p>
      <w:pPr>
        <w:ind w:left="1160" w:right="620"/>
        <w:spacing w:after="0" w:line="295" w:lineRule="auto"/>
        <w:rPr>
          <w:sz w:val="20"/>
          <w:szCs w:val="20"/>
          <w:color w:val="auto"/>
        </w:rPr>
      </w:pPr>
      <w:r>
        <w:rPr>
          <w:rFonts w:ascii="Arial" w:cs="Arial" w:eastAsia="Arial" w:hAnsi="Arial"/>
          <w:sz w:val="16"/>
          <w:szCs w:val="16"/>
          <w:color w:val="auto"/>
        </w:rPr>
        <w:t xml:space="preserve">60603-5559 CWilson@perkinscoie.com JBuck@perkinscoie.com KStetsko@perkinscoie.com Willowbrooklit@perkinscoie.com </w:t>
      </w:r>
      <w:r>
        <w:rPr>
          <w:rFonts w:ascii="Arial" w:cs="Arial" w:eastAsia="Arial" w:hAnsi="Arial"/>
          <w:sz w:val="16"/>
          <w:szCs w:val="16"/>
          <w:i w:val="1"/>
          <w:iCs w:val="1"/>
          <w:color w:val="auto"/>
        </w:rPr>
        <w:t>Counsel for Griffith</w:t>
      </w:r>
      <w:r>
        <w:rPr>
          <w:rFonts w:ascii="Arial" w:cs="Arial" w:eastAsia="Arial" w:hAnsi="Arial"/>
          <w:sz w:val="16"/>
          <w:szCs w:val="16"/>
          <w:color w:val="auto"/>
        </w:rPr>
        <w:t xml:space="preserve"> </w:t>
      </w:r>
      <w:r>
        <w:rPr>
          <w:rFonts w:ascii="Arial" w:cs="Arial" w:eastAsia="Arial" w:hAnsi="Arial"/>
          <w:sz w:val="16"/>
          <w:szCs w:val="16"/>
          <w:i w:val="1"/>
          <w:iCs w:val="1"/>
          <w:color w:val="auto"/>
        </w:rPr>
        <w:t>Defendants</w:t>
      </w:r>
    </w:p>
    <w:p>
      <w:pPr>
        <w:sectPr>
          <w:pgSz w:w="11900" w:h="16838" w:orient="portrait"/>
          <w:cols w:equalWidth="0" w:num="2">
            <w:col w:w="4280" w:space="720"/>
            <w:col w:w="5700"/>
          </w:cols>
          <w:pgMar w:left="320" w:top="1417" w:right="87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10.3</w:t>
      </w:r>
    </w:p>
    <w:p>
      <w:pPr>
        <w:spacing w:after="0" w:line="355" w:lineRule="exact"/>
        <w:rPr>
          <w:sz w:val="20"/>
          <w:szCs w:val="20"/>
          <w:color w:val="auto"/>
        </w:rPr>
      </w:pPr>
    </w:p>
    <w:p>
      <w:pPr>
        <w:jc w:val="both"/>
        <w:ind w:right="980" w:firstLine="53"/>
        <w:spacing w:after="0" w:line="347" w:lineRule="auto"/>
        <w:rPr>
          <w:sz w:val="20"/>
          <w:szCs w:val="20"/>
          <w:color w:val="auto"/>
        </w:rPr>
      </w:pPr>
      <w:r>
        <w:rPr>
          <w:rFonts w:ascii="Arial" w:cs="Arial" w:eastAsia="Arial" w:hAnsi="Arial"/>
          <w:sz w:val="16"/>
          <w:szCs w:val="16"/>
          <w:b w:val="1"/>
          <w:bCs w:val="1"/>
          <w:color w:val="auto"/>
        </w:rPr>
        <w:t>[Certain portions of this exhibit have been redacted pursuant to Item 601(b)(10)(iv) of Regulation S-K and marked with asterisks. The omitted information is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u w:val="single" w:color="auto"/>
          <w:color w:val="auto"/>
        </w:rPr>
        <w:t>WILLOWBROOK GROUP SETTLEMENT AGREEMENT</w:t>
      </w:r>
    </w:p>
    <w:p>
      <w:pPr>
        <w:spacing w:after="0" w:line="220"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between and among</w:t>
      </w:r>
    </w:p>
    <w:p>
      <w:pPr>
        <w:spacing w:after="0" w:line="341"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Plaintiffs’ Executive Committee (as defined herein) and</w:t>
      </w:r>
    </w:p>
    <w:p>
      <w:pPr>
        <w:spacing w:after="0" w:line="206"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Sotera Health (as defined herein) and</w:t>
      </w:r>
    </w:p>
    <w:p>
      <w:pPr>
        <w:spacing w:after="0" w:line="98"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Sterigenics US (as defined herein)</w:t>
      </w:r>
    </w:p>
    <w:p>
      <w:pPr>
        <w:sectPr>
          <w:pgSz w:w="11900" w:h="16838" w:orient="portrait"/>
          <w:cols w:equalWidth="0" w:num="1">
            <w:col w:w="10260"/>
          </w:cols>
          <w:pgMar w:left="1300" w:top="104"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48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728"/>
        </w:trPr>
        <w:tc>
          <w:tcPr>
            <w:tcW w:w="960" w:type="dxa"/>
            <w:vAlign w:val="bottom"/>
          </w:tcPr>
          <w:p>
            <w:pPr>
              <w:spacing w:after="0"/>
              <w:rPr>
                <w:sz w:val="20"/>
                <w:szCs w:val="20"/>
                <w:color w:val="auto"/>
              </w:rPr>
            </w:pPr>
            <w:r>
              <w:rPr>
                <w:rFonts w:ascii="Arial" w:cs="Arial" w:eastAsia="Arial" w:hAnsi="Arial"/>
                <w:sz w:val="18"/>
                <w:szCs w:val="18"/>
                <w:color w:val="auto"/>
              </w:rPr>
              <w:t>RECITALS</w:t>
            </w:r>
          </w:p>
        </w:tc>
        <w:tc>
          <w:tcPr>
            <w:tcW w:w="7480" w:type="dxa"/>
            <w:vAlign w:val="bottom"/>
          </w:tcPr>
          <w:p>
            <w:pPr>
              <w:spacing w:after="0"/>
              <w:rPr>
                <w:sz w:val="24"/>
                <w:szCs w:val="24"/>
                <w:color w:val="auto"/>
              </w:rPr>
            </w:pPr>
          </w:p>
        </w:tc>
        <w:tc>
          <w:tcPr>
            <w:tcW w:w="1920" w:type="dxa"/>
            <w:vAlign w:val="bottom"/>
          </w:tcPr>
          <w:p>
            <w:pPr>
              <w:ind w:left="1740"/>
              <w:spacing w:after="0"/>
              <w:rPr>
                <w:sz w:val="20"/>
                <w:szCs w:val="20"/>
                <w:color w:val="auto"/>
              </w:rPr>
            </w:pPr>
            <w:r>
              <w:rPr>
                <w:rFonts w:ascii="Arial" w:cs="Arial" w:eastAsia="Arial" w:hAnsi="Arial"/>
                <w:sz w:val="18"/>
                <w:szCs w:val="18"/>
                <w:color w:val="auto"/>
              </w:rPr>
              <w:t>1</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w:t>
            </w:r>
          </w:p>
        </w:tc>
        <w:tc>
          <w:tcPr>
            <w:tcW w:w="74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920" w:type="dxa"/>
            <w:vAlign w:val="bottom"/>
          </w:tcPr>
          <w:p>
            <w:pPr>
              <w:ind w:left="1740"/>
              <w:spacing w:after="0"/>
              <w:rPr>
                <w:sz w:val="20"/>
                <w:szCs w:val="20"/>
                <w:color w:val="auto"/>
              </w:rPr>
            </w:pPr>
            <w:r>
              <w:rPr>
                <w:rFonts w:ascii="Arial" w:cs="Arial" w:eastAsia="Arial" w:hAnsi="Arial"/>
                <w:sz w:val="18"/>
                <w:szCs w:val="18"/>
                <w:color w:val="auto"/>
              </w:rPr>
              <w:t>1</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2</w:t>
            </w:r>
          </w:p>
        </w:tc>
        <w:tc>
          <w:tcPr>
            <w:tcW w:w="7480" w:type="dxa"/>
            <w:vAlign w:val="bottom"/>
          </w:tcPr>
          <w:p>
            <w:pPr>
              <w:ind w:left="100"/>
              <w:spacing w:after="0"/>
              <w:rPr>
                <w:sz w:val="20"/>
                <w:szCs w:val="20"/>
                <w:color w:val="auto"/>
              </w:rPr>
            </w:pPr>
            <w:r>
              <w:rPr>
                <w:rFonts w:ascii="Arial" w:cs="Arial" w:eastAsia="Arial" w:hAnsi="Arial"/>
                <w:sz w:val="18"/>
                <w:szCs w:val="18"/>
                <w:color w:val="auto"/>
              </w:rPr>
              <w:t>SETTLEMENT PROGRAM</w:t>
            </w:r>
          </w:p>
        </w:tc>
        <w:tc>
          <w:tcPr>
            <w:tcW w:w="1920" w:type="dxa"/>
            <w:vAlign w:val="bottom"/>
          </w:tcPr>
          <w:p>
            <w:pPr>
              <w:ind w:left="1740"/>
              <w:spacing w:after="0"/>
              <w:rPr>
                <w:sz w:val="20"/>
                <w:szCs w:val="20"/>
                <w:color w:val="auto"/>
              </w:rPr>
            </w:pPr>
            <w:r>
              <w:rPr>
                <w:rFonts w:ascii="Arial" w:cs="Arial" w:eastAsia="Arial" w:hAnsi="Arial"/>
                <w:sz w:val="18"/>
                <w:szCs w:val="18"/>
                <w:color w:val="auto"/>
              </w:rPr>
              <w:t>5</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3</w:t>
            </w:r>
          </w:p>
        </w:tc>
        <w:tc>
          <w:tcPr>
            <w:tcW w:w="7480" w:type="dxa"/>
            <w:vAlign w:val="bottom"/>
          </w:tcPr>
          <w:p>
            <w:pPr>
              <w:ind w:left="100"/>
              <w:spacing w:after="0"/>
              <w:rPr>
                <w:sz w:val="20"/>
                <w:szCs w:val="20"/>
                <w:color w:val="auto"/>
              </w:rPr>
            </w:pPr>
            <w:r>
              <w:rPr>
                <w:rFonts w:ascii="Arial" w:cs="Arial" w:eastAsia="Arial" w:hAnsi="Arial"/>
                <w:sz w:val="18"/>
                <w:szCs w:val="18"/>
                <w:color w:val="auto"/>
              </w:rPr>
              <w:t>CLAIMANT PARTICIPATION</w:t>
            </w:r>
          </w:p>
        </w:tc>
        <w:tc>
          <w:tcPr>
            <w:tcW w:w="1920" w:type="dxa"/>
            <w:vAlign w:val="bottom"/>
          </w:tcPr>
          <w:p>
            <w:pPr>
              <w:ind w:left="1740"/>
              <w:spacing w:after="0"/>
              <w:rPr>
                <w:sz w:val="20"/>
                <w:szCs w:val="20"/>
                <w:color w:val="auto"/>
              </w:rPr>
            </w:pPr>
            <w:r>
              <w:rPr>
                <w:rFonts w:ascii="Arial" w:cs="Arial" w:eastAsia="Arial" w:hAnsi="Arial"/>
                <w:sz w:val="18"/>
                <w:szCs w:val="18"/>
                <w:color w:val="auto"/>
              </w:rPr>
              <w:t>5</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4</w:t>
            </w:r>
          </w:p>
        </w:tc>
        <w:tc>
          <w:tcPr>
            <w:tcW w:w="7480" w:type="dxa"/>
            <w:vAlign w:val="bottom"/>
          </w:tcPr>
          <w:p>
            <w:pPr>
              <w:ind w:left="100"/>
              <w:spacing w:after="0"/>
              <w:rPr>
                <w:sz w:val="20"/>
                <w:szCs w:val="20"/>
                <w:color w:val="auto"/>
              </w:rPr>
            </w:pPr>
            <w:r>
              <w:rPr>
                <w:rFonts w:ascii="Arial" w:cs="Arial" w:eastAsia="Arial" w:hAnsi="Arial"/>
                <w:sz w:val="18"/>
                <w:szCs w:val="18"/>
                <w:color w:val="auto"/>
              </w:rPr>
              <w:t>PARTICIPATION BENCHMARKS</w:t>
            </w:r>
          </w:p>
        </w:tc>
        <w:tc>
          <w:tcPr>
            <w:tcW w:w="1920" w:type="dxa"/>
            <w:vAlign w:val="bottom"/>
          </w:tcPr>
          <w:p>
            <w:pPr>
              <w:ind w:left="1740"/>
              <w:spacing w:after="0"/>
              <w:rPr>
                <w:sz w:val="20"/>
                <w:szCs w:val="20"/>
                <w:color w:val="auto"/>
              </w:rPr>
            </w:pPr>
            <w:r>
              <w:rPr>
                <w:rFonts w:ascii="Arial" w:cs="Arial" w:eastAsia="Arial" w:hAnsi="Arial"/>
                <w:sz w:val="18"/>
                <w:szCs w:val="18"/>
                <w:color w:val="auto"/>
              </w:rPr>
              <w:t>6</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5</w:t>
            </w:r>
          </w:p>
        </w:tc>
        <w:tc>
          <w:tcPr>
            <w:tcW w:w="7480" w:type="dxa"/>
            <w:vAlign w:val="bottom"/>
          </w:tcPr>
          <w:p>
            <w:pPr>
              <w:ind w:left="100"/>
              <w:spacing w:after="0"/>
              <w:rPr>
                <w:sz w:val="20"/>
                <w:szCs w:val="20"/>
                <w:color w:val="auto"/>
              </w:rPr>
            </w:pPr>
            <w:r>
              <w:rPr>
                <w:rFonts w:ascii="Arial" w:cs="Arial" w:eastAsia="Arial" w:hAnsi="Arial"/>
                <w:sz w:val="18"/>
                <w:szCs w:val="18"/>
                <w:color w:val="auto"/>
              </w:rPr>
              <w:t>CONSEQUENCES OF EXERCISE OF WALK AWAY RIGHT</w:t>
            </w:r>
          </w:p>
        </w:tc>
        <w:tc>
          <w:tcPr>
            <w:tcW w:w="1920" w:type="dxa"/>
            <w:vAlign w:val="bottom"/>
          </w:tcPr>
          <w:p>
            <w:pPr>
              <w:ind w:left="1740"/>
              <w:spacing w:after="0"/>
              <w:rPr>
                <w:sz w:val="20"/>
                <w:szCs w:val="20"/>
                <w:color w:val="auto"/>
              </w:rPr>
            </w:pPr>
            <w:r>
              <w:rPr>
                <w:rFonts w:ascii="Arial" w:cs="Arial" w:eastAsia="Arial" w:hAnsi="Arial"/>
                <w:sz w:val="18"/>
                <w:szCs w:val="18"/>
                <w:color w:val="auto"/>
              </w:rPr>
              <w:t>7</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6</w:t>
            </w:r>
          </w:p>
        </w:tc>
        <w:tc>
          <w:tcPr>
            <w:tcW w:w="7480" w:type="dxa"/>
            <w:vAlign w:val="bottom"/>
          </w:tcPr>
          <w:p>
            <w:pPr>
              <w:ind w:left="100"/>
              <w:spacing w:after="0"/>
              <w:rPr>
                <w:sz w:val="20"/>
                <w:szCs w:val="20"/>
                <w:color w:val="auto"/>
              </w:rPr>
            </w:pPr>
            <w:r>
              <w:rPr>
                <w:rFonts w:ascii="Arial" w:cs="Arial" w:eastAsia="Arial" w:hAnsi="Arial"/>
                <w:sz w:val="18"/>
                <w:szCs w:val="18"/>
                <w:color w:val="auto"/>
              </w:rPr>
              <w:t>SETTLING DEFENDANTS’ FUNDING OBLIGATIONS</w:t>
            </w:r>
          </w:p>
        </w:tc>
        <w:tc>
          <w:tcPr>
            <w:tcW w:w="1920" w:type="dxa"/>
            <w:vAlign w:val="bottom"/>
          </w:tcPr>
          <w:p>
            <w:pPr>
              <w:ind w:left="1740"/>
              <w:spacing w:after="0"/>
              <w:rPr>
                <w:sz w:val="20"/>
                <w:szCs w:val="20"/>
                <w:color w:val="auto"/>
              </w:rPr>
            </w:pPr>
            <w:r>
              <w:rPr>
                <w:rFonts w:ascii="Arial" w:cs="Arial" w:eastAsia="Arial" w:hAnsi="Arial"/>
                <w:sz w:val="18"/>
                <w:szCs w:val="18"/>
                <w:color w:val="auto"/>
              </w:rPr>
              <w:t>7</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7</w:t>
            </w:r>
          </w:p>
        </w:tc>
        <w:tc>
          <w:tcPr>
            <w:tcW w:w="7480" w:type="dxa"/>
            <w:vAlign w:val="bottom"/>
          </w:tcPr>
          <w:p>
            <w:pPr>
              <w:ind w:left="100"/>
              <w:spacing w:after="0"/>
              <w:rPr>
                <w:sz w:val="20"/>
                <w:szCs w:val="20"/>
                <w:color w:val="auto"/>
              </w:rPr>
            </w:pPr>
            <w:r>
              <w:rPr>
                <w:rFonts w:ascii="Arial" w:cs="Arial" w:eastAsia="Arial" w:hAnsi="Arial"/>
                <w:sz w:val="18"/>
                <w:szCs w:val="18"/>
                <w:color w:val="auto"/>
              </w:rPr>
              <w:t>QUALIFIED SETTLEMENT FUND</w:t>
            </w:r>
          </w:p>
        </w:tc>
        <w:tc>
          <w:tcPr>
            <w:tcW w:w="1920" w:type="dxa"/>
            <w:vAlign w:val="bottom"/>
          </w:tcPr>
          <w:p>
            <w:pPr>
              <w:ind w:left="1740"/>
              <w:spacing w:after="0"/>
              <w:rPr>
                <w:sz w:val="20"/>
                <w:szCs w:val="20"/>
                <w:color w:val="auto"/>
              </w:rPr>
            </w:pPr>
            <w:r>
              <w:rPr>
                <w:rFonts w:ascii="Arial" w:cs="Arial" w:eastAsia="Arial" w:hAnsi="Arial"/>
                <w:sz w:val="18"/>
                <w:szCs w:val="18"/>
                <w:color w:val="auto"/>
              </w:rPr>
              <w:t>8</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8</w:t>
            </w:r>
          </w:p>
        </w:tc>
        <w:tc>
          <w:tcPr>
            <w:tcW w:w="7480" w:type="dxa"/>
            <w:vAlign w:val="bottom"/>
          </w:tcPr>
          <w:p>
            <w:pPr>
              <w:ind w:left="100"/>
              <w:spacing w:after="0"/>
              <w:rPr>
                <w:sz w:val="20"/>
                <w:szCs w:val="20"/>
                <w:color w:val="auto"/>
              </w:rPr>
            </w:pPr>
            <w:r>
              <w:rPr>
                <w:rFonts w:ascii="Arial" w:cs="Arial" w:eastAsia="Arial" w:hAnsi="Arial"/>
                <w:sz w:val="18"/>
                <w:szCs w:val="18"/>
                <w:color w:val="auto"/>
              </w:rPr>
              <w:t>CLAIMS ADMINISTRATION</w:t>
            </w:r>
          </w:p>
        </w:tc>
        <w:tc>
          <w:tcPr>
            <w:tcW w:w="1920" w:type="dxa"/>
            <w:vAlign w:val="bottom"/>
          </w:tcPr>
          <w:p>
            <w:pPr>
              <w:ind w:left="1740"/>
              <w:spacing w:after="0"/>
              <w:rPr>
                <w:sz w:val="20"/>
                <w:szCs w:val="20"/>
                <w:color w:val="auto"/>
              </w:rPr>
            </w:pPr>
            <w:r>
              <w:rPr>
                <w:rFonts w:ascii="Arial" w:cs="Arial" w:eastAsia="Arial" w:hAnsi="Arial"/>
                <w:sz w:val="18"/>
                <w:szCs w:val="18"/>
                <w:color w:val="auto"/>
              </w:rPr>
              <w:t>9</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9</w:t>
            </w:r>
          </w:p>
        </w:tc>
        <w:tc>
          <w:tcPr>
            <w:tcW w:w="7480" w:type="dxa"/>
            <w:vAlign w:val="bottom"/>
          </w:tcPr>
          <w:p>
            <w:pPr>
              <w:ind w:left="100"/>
              <w:spacing w:after="0"/>
              <w:rPr>
                <w:sz w:val="20"/>
                <w:szCs w:val="20"/>
                <w:color w:val="auto"/>
              </w:rPr>
            </w:pPr>
            <w:r>
              <w:rPr>
                <w:rFonts w:ascii="Arial" w:cs="Arial" w:eastAsia="Arial" w:hAnsi="Arial"/>
                <w:sz w:val="18"/>
                <w:szCs w:val="18"/>
                <w:color w:val="auto"/>
              </w:rPr>
              <w:t>PENDING LITIGATION</w:t>
            </w:r>
          </w:p>
        </w:tc>
        <w:tc>
          <w:tcPr>
            <w:tcW w:w="1920" w:type="dxa"/>
            <w:vAlign w:val="bottom"/>
          </w:tcPr>
          <w:p>
            <w:pPr>
              <w:ind w:left="1740"/>
              <w:spacing w:after="0"/>
              <w:rPr>
                <w:sz w:val="20"/>
                <w:szCs w:val="20"/>
                <w:color w:val="auto"/>
              </w:rPr>
            </w:pPr>
            <w:r>
              <w:rPr>
                <w:rFonts w:ascii="Arial" w:cs="Arial" w:eastAsia="Arial" w:hAnsi="Arial"/>
                <w:sz w:val="18"/>
                <w:szCs w:val="18"/>
                <w:color w:val="auto"/>
                <w:w w:val="79"/>
              </w:rPr>
              <w:t>10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w:t>
            </w:r>
          </w:p>
        </w:tc>
        <w:tc>
          <w:tcPr>
            <w:tcW w:w="7480" w:type="dxa"/>
            <w:vAlign w:val="bottom"/>
          </w:tcPr>
          <w:p>
            <w:pPr>
              <w:ind w:left="100"/>
              <w:spacing w:after="0"/>
              <w:rPr>
                <w:sz w:val="20"/>
                <w:szCs w:val="20"/>
                <w:color w:val="auto"/>
              </w:rPr>
            </w:pPr>
            <w:r>
              <w:rPr>
                <w:rFonts w:ascii="Arial" w:cs="Arial" w:eastAsia="Arial" w:hAnsi="Arial"/>
                <w:sz w:val="18"/>
                <w:szCs w:val="18"/>
                <w:color w:val="auto"/>
              </w:rPr>
              <w:t>SUBROGATION CLAIMS, LIENS, AND OTHER THIRD-PARTY CLAIMS</w:t>
            </w:r>
          </w:p>
        </w:tc>
        <w:tc>
          <w:tcPr>
            <w:tcW w:w="1920" w:type="dxa"/>
            <w:vAlign w:val="bottom"/>
          </w:tcPr>
          <w:p>
            <w:pPr>
              <w:ind w:left="1740"/>
              <w:spacing w:after="0"/>
              <w:rPr>
                <w:sz w:val="20"/>
                <w:szCs w:val="20"/>
                <w:color w:val="auto"/>
              </w:rPr>
            </w:pPr>
            <w:r>
              <w:rPr>
                <w:rFonts w:ascii="Arial" w:cs="Arial" w:eastAsia="Arial" w:hAnsi="Arial"/>
                <w:sz w:val="18"/>
                <w:szCs w:val="18"/>
                <w:color w:val="auto"/>
                <w:w w:val="79"/>
              </w:rPr>
              <w:t>10</w:t>
            </w: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11</w:t>
            </w:r>
          </w:p>
        </w:tc>
        <w:tc>
          <w:tcPr>
            <w:tcW w:w="7480" w:type="dxa"/>
            <w:vAlign w:val="bottom"/>
          </w:tcPr>
          <w:p>
            <w:pPr>
              <w:ind w:left="100"/>
              <w:spacing w:after="0"/>
              <w:rPr>
                <w:sz w:val="20"/>
                <w:szCs w:val="20"/>
                <w:color w:val="auto"/>
              </w:rPr>
            </w:pPr>
            <w:r>
              <w:rPr>
                <w:rFonts w:ascii="Arial" w:cs="Arial" w:eastAsia="Arial" w:hAnsi="Arial"/>
                <w:sz w:val="18"/>
                <w:szCs w:val="18"/>
                <w:color w:val="auto"/>
              </w:rPr>
              <w:t>CONFIDENTIALITY; PUBLIC STATEMENTS</w:t>
            </w:r>
          </w:p>
        </w:tc>
        <w:tc>
          <w:tcPr>
            <w:tcW w:w="1920" w:type="dxa"/>
            <w:vAlign w:val="bottom"/>
          </w:tcPr>
          <w:p>
            <w:pPr>
              <w:ind w:left="1740"/>
              <w:spacing w:after="0"/>
              <w:rPr>
                <w:sz w:val="20"/>
                <w:szCs w:val="20"/>
                <w:color w:val="auto"/>
              </w:rPr>
            </w:pPr>
            <w:r>
              <w:rPr>
                <w:rFonts w:ascii="Arial" w:cs="Arial" w:eastAsia="Arial" w:hAnsi="Arial"/>
                <w:sz w:val="18"/>
                <w:szCs w:val="18"/>
                <w:color w:val="auto"/>
                <w:w w:val="79"/>
              </w:rPr>
              <w:t>11</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12</w:t>
            </w:r>
          </w:p>
        </w:tc>
        <w:tc>
          <w:tcPr>
            <w:tcW w:w="748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1920" w:type="dxa"/>
            <w:vAlign w:val="bottom"/>
          </w:tcPr>
          <w:p>
            <w:pPr>
              <w:ind w:left="1740"/>
              <w:spacing w:after="0"/>
              <w:rPr>
                <w:sz w:val="20"/>
                <w:szCs w:val="20"/>
                <w:color w:val="auto"/>
              </w:rPr>
            </w:pPr>
            <w:r>
              <w:rPr>
                <w:rFonts w:ascii="Arial" w:cs="Arial" w:eastAsia="Arial" w:hAnsi="Arial"/>
                <w:sz w:val="18"/>
                <w:szCs w:val="18"/>
                <w:color w:val="auto"/>
                <w:w w:val="79"/>
              </w:rPr>
              <w:t>12</w:t>
            </w:r>
          </w:p>
        </w:tc>
      </w:tr>
    </w:tbl>
    <w:p>
      <w:pPr>
        <w:sectPr>
          <w:pgSz w:w="11900" w:h="16838" w:orient="portrait"/>
          <w:cols w:equalWidth="0" w:num="1">
            <w:col w:w="10360"/>
          </w:cols>
          <w:pgMar w:left="340" w:top="1404" w:right="1199" w:bottom="1440" w:gutter="0" w:footer="0" w:header="0"/>
        </w:sectPr>
      </w:pPr>
    </w:p>
    <w:bookmarkStart w:id="122" w:name="page123"/>
    <w:bookmarkEnd w:id="122"/>
    <w:p>
      <w:pPr>
        <w:spacing w:after="0" w:line="200" w:lineRule="exact"/>
        <w:rPr>
          <w:sz w:val="20"/>
          <w:szCs w:val="20"/>
          <w:color w:val="auto"/>
        </w:rPr>
      </w:pPr>
    </w:p>
    <w:p>
      <w:pPr>
        <w:spacing w:after="0" w:line="264" w:lineRule="exact"/>
        <w:rPr>
          <w:sz w:val="20"/>
          <w:szCs w:val="20"/>
          <w:color w:val="auto"/>
        </w:rPr>
      </w:pPr>
    </w:p>
    <w:p>
      <w:pPr>
        <w:jc w:val="right"/>
        <w:ind w:right="2899"/>
        <w:spacing w:after="0"/>
        <w:rPr>
          <w:sz w:val="20"/>
          <w:szCs w:val="20"/>
          <w:color w:val="auto"/>
        </w:rPr>
      </w:pPr>
      <w:r>
        <w:rPr>
          <w:rFonts w:ascii="Arial" w:cs="Arial" w:eastAsia="Arial" w:hAnsi="Arial"/>
          <w:sz w:val="18"/>
          <w:szCs w:val="18"/>
          <w:b w:val="1"/>
          <w:bCs w:val="1"/>
          <w:u w:val="single" w:color="auto"/>
          <w:color w:val="auto"/>
        </w:rPr>
        <w:t>LIST OF EXHIBITS AND APPENDICES</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Opt In Form</w:t>
      </w:r>
    </w:p>
    <w:p>
      <w:pPr>
        <w:spacing w:after="0" w:line="63"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Declaration of Counsel</w:t>
      </w:r>
    </w:p>
    <w:p>
      <w:pPr>
        <w:spacing w:after="0" w:line="63"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Release by Participating Claimants</w:t>
      </w:r>
    </w:p>
    <w:p>
      <w:pPr>
        <w:spacing w:after="0" w:line="6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Escrow Agreement</w:t>
      </w:r>
    </w:p>
    <w:p>
      <w:pPr>
        <w:spacing w:after="0" w:line="63"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Claimant Fact Sheet</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Mental Health Addendum</w:t>
      </w:r>
    </w:p>
    <w:p>
      <w:pPr>
        <w:spacing w:after="0" w:line="6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Joinder for Non-PEC Firms</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Appendix A:</w:t>
      </w:r>
      <w:r>
        <w:rPr>
          <w:sz w:val="20"/>
          <w:szCs w:val="20"/>
          <w:color w:val="auto"/>
        </w:rPr>
        <w:tab/>
      </w:r>
      <w:r>
        <w:rPr>
          <w:rFonts w:ascii="Arial" w:cs="Arial" w:eastAsia="Arial" w:hAnsi="Arial"/>
          <w:sz w:val="17"/>
          <w:szCs w:val="17"/>
          <w:color w:val="auto"/>
        </w:rPr>
        <w:t>List of Plaintiffs</w:t>
      </w:r>
    </w:p>
    <w:p>
      <w:pPr>
        <w:spacing w:after="0" w:line="63" w:lineRule="exact"/>
        <w:rPr>
          <w:sz w:val="20"/>
          <w:szCs w:val="20"/>
          <w:color w:val="auto"/>
        </w:rPr>
      </w:pPr>
    </w:p>
    <w:p>
      <w:pPr>
        <w:ind w:left="20"/>
        <w:spacing w:after="0"/>
        <w:tabs>
          <w:tab w:leader="none" w:pos="1100" w:val="left"/>
          <w:tab w:leader="none" w:pos="4800" w:val="left"/>
        </w:tabs>
        <w:rPr>
          <w:sz w:val="20"/>
          <w:szCs w:val="20"/>
          <w:color w:val="auto"/>
        </w:rPr>
      </w:pPr>
      <w:r>
        <w:rPr>
          <w:rFonts w:ascii="Arial" w:cs="Arial" w:eastAsia="Arial" w:hAnsi="Arial"/>
          <w:sz w:val="18"/>
          <w:szCs w:val="18"/>
          <w:color w:val="auto"/>
        </w:rPr>
        <w:t>Appendix B:</w:t>
        <w:tab/>
        <w:t>List of Clients with Unfiled Claims Appendix C:</w:t>
      </w:r>
      <w:r>
        <w:rPr>
          <w:sz w:val="20"/>
          <w:szCs w:val="20"/>
          <w:color w:val="auto"/>
        </w:rPr>
        <w:tab/>
      </w:r>
      <w:r>
        <w:rPr>
          <w:rFonts w:ascii="Arial" w:cs="Arial" w:eastAsia="Arial" w:hAnsi="Arial"/>
          <w:sz w:val="17"/>
          <w:szCs w:val="17"/>
          <w:color w:val="auto"/>
        </w:rPr>
        <w:t>List of Trial Plaintiffs</w:t>
      </w:r>
    </w:p>
    <w:p>
      <w:pPr>
        <w:spacing w:after="0" w:line="6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Appendix D:</w:t>
      </w:r>
      <w:r>
        <w:rPr>
          <w:sz w:val="20"/>
          <w:szCs w:val="20"/>
          <w:color w:val="auto"/>
        </w:rPr>
        <w:tab/>
      </w:r>
      <w:r>
        <w:rPr>
          <w:rFonts w:ascii="Arial" w:cs="Arial" w:eastAsia="Arial" w:hAnsi="Arial"/>
          <w:sz w:val="16"/>
          <w:szCs w:val="16"/>
          <w:color w:val="auto"/>
        </w:rPr>
        <w:t>List of Non-PEC Firms</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Appendix E:</w:t>
      </w:r>
      <w:r>
        <w:rPr>
          <w:sz w:val="20"/>
          <w:szCs w:val="20"/>
          <w:color w:val="auto"/>
        </w:rPr>
        <w:tab/>
      </w:r>
      <w:r>
        <w:rPr>
          <w:rFonts w:ascii="Arial" w:cs="Arial" w:eastAsia="Arial" w:hAnsi="Arial"/>
          <w:sz w:val="17"/>
          <w:szCs w:val="17"/>
          <w:color w:val="auto"/>
        </w:rPr>
        <w:t>List of Other Facility Claims</w:t>
      </w:r>
    </w:p>
    <w:p>
      <w:pPr>
        <w:sectPr>
          <w:pgSz w:w="11900" w:h="16838" w:orient="portrait"/>
          <w:cols w:equalWidth="0" w:num="1">
            <w:col w:w="9399"/>
          </w:cols>
          <w:pgMar w:left="1060" w:top="1440" w:right="1440" w:bottom="1440" w:gutter="0" w:footer="0" w:header="0"/>
        </w:sectPr>
      </w:pPr>
    </w:p>
    <w:bookmarkStart w:id="123" w:name="page124"/>
    <w:bookmarkEnd w:id="123"/>
    <w:p>
      <w:pPr>
        <w:jc w:val="center"/>
        <w:ind w:right="-143"/>
        <w:spacing w:after="0"/>
        <w:rPr>
          <w:sz w:val="20"/>
          <w:szCs w:val="20"/>
          <w:color w:val="auto"/>
        </w:rPr>
      </w:pPr>
      <w:r>
        <w:rPr>
          <w:rFonts w:ascii="Arial" w:cs="Arial" w:eastAsia="Arial" w:hAnsi="Arial"/>
          <w:sz w:val="18"/>
          <w:szCs w:val="18"/>
          <w:b w:val="1"/>
          <w:bCs w:val="1"/>
          <w:u w:val="single" w:color="auto"/>
          <w:color w:val="auto"/>
        </w:rPr>
        <w:t>WILLOWBROOK GROUP SETTLEMENT AGREEMENT</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17"/>
          <w:szCs w:val="17"/>
          <w:color w:val="auto"/>
        </w:rPr>
        <w:t xml:space="preserve">This WILLOWBROOK GROUP SETTLEMENT AGREEMENT (the </w:t>
      </w:r>
      <w:r>
        <w:rPr>
          <w:rFonts w:ascii="Arial" w:cs="Arial" w:eastAsia="Arial" w:hAnsi="Arial"/>
          <w:sz w:val="17"/>
          <w:szCs w:val="17"/>
          <w:u w:val="single" w:color="auto"/>
          <w:color w:val="auto"/>
        </w:rPr>
        <w:t>“Agreemen</w:t>
      </w:r>
      <w:r>
        <w:rPr>
          <w:rFonts w:ascii="Arial" w:cs="Arial" w:eastAsia="Arial" w:hAnsi="Arial"/>
          <w:sz w:val="17"/>
          <w:szCs w:val="17"/>
          <w:color w:val="auto"/>
        </w:rPr>
        <w:t>t”) is made as of March 28, 2023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w:t>
      </w:r>
    </w:p>
    <w:p>
      <w:pPr>
        <w:spacing w:after="0" w:line="10" w:lineRule="exact"/>
        <w:rPr>
          <w:sz w:val="20"/>
          <w:szCs w:val="20"/>
          <w:color w:val="auto"/>
        </w:rPr>
      </w:pPr>
    </w:p>
    <w:p>
      <w:pPr>
        <w:ind w:left="4" w:right="20"/>
        <w:spacing w:after="0" w:line="231" w:lineRule="auto"/>
        <w:rPr>
          <w:sz w:val="20"/>
          <w:szCs w:val="20"/>
          <w:color w:val="auto"/>
        </w:rPr>
      </w:pPr>
      <w:r>
        <w:rPr>
          <w:rFonts w:ascii="Arial" w:cs="Arial" w:eastAsia="Arial" w:hAnsi="Arial"/>
          <w:sz w:val="17"/>
          <w:szCs w:val="17"/>
          <w:color w:val="auto"/>
        </w:rPr>
        <w:t>and among: (i) Sotera Health LLC, a Delaware limited liability company (“</w:t>
      </w:r>
      <w:r>
        <w:rPr>
          <w:rFonts w:ascii="Arial" w:cs="Arial" w:eastAsia="Arial" w:hAnsi="Arial"/>
          <w:sz w:val="17"/>
          <w:szCs w:val="17"/>
          <w:u w:val="single" w:color="auto"/>
          <w:color w:val="auto"/>
        </w:rPr>
        <w:t>Sotera Health</w:t>
      </w:r>
      <w:r>
        <w:rPr>
          <w:rFonts w:ascii="Arial" w:cs="Arial" w:eastAsia="Arial" w:hAnsi="Arial"/>
          <w:sz w:val="17"/>
          <w:szCs w:val="17"/>
          <w:color w:val="auto"/>
        </w:rPr>
        <w:t>”); (ii) Sterigenics U.S., LLC, a Delaware limited liability company (“</w:t>
      </w:r>
      <w:r>
        <w:rPr>
          <w:rFonts w:ascii="Arial" w:cs="Arial" w:eastAsia="Arial" w:hAnsi="Arial"/>
          <w:sz w:val="17"/>
          <w:szCs w:val="17"/>
          <w:u w:val="single" w:color="auto"/>
          <w:color w:val="auto"/>
        </w:rPr>
        <w:t>Sterigenics US</w:t>
      </w:r>
      <w:r>
        <w:rPr>
          <w:rFonts w:ascii="Arial" w:cs="Arial" w:eastAsia="Arial" w:hAnsi="Arial"/>
          <w:sz w:val="17"/>
          <w:szCs w:val="17"/>
          <w:color w:val="auto"/>
        </w:rPr>
        <w:t>” and, together with Sotera Health, the “</w:t>
      </w:r>
      <w:r>
        <w:rPr>
          <w:rFonts w:ascii="Arial" w:cs="Arial" w:eastAsia="Arial" w:hAnsi="Arial"/>
          <w:sz w:val="17"/>
          <w:szCs w:val="17"/>
          <w:u w:val="single" w:color="auto"/>
          <w:color w:val="auto"/>
        </w:rPr>
        <w:t>Settling Defendants</w:t>
      </w:r>
      <w:r>
        <w:rPr>
          <w:rFonts w:ascii="Arial" w:cs="Arial" w:eastAsia="Arial" w:hAnsi="Arial"/>
          <w:sz w:val="17"/>
          <w:szCs w:val="17"/>
          <w:color w:val="auto"/>
        </w:rPr>
        <w:t>”); and (iii) Plaintiffs’ Executive Committee (as defined herein). Each of Plaintiffs’ Executive Committee members, Sotera Health, and Sterigenics US is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are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280"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116" w:right="140" w:firstLine="192"/>
        <w:spacing w:after="0" w:line="227" w:lineRule="auto"/>
        <w:tabs>
          <w:tab w:leader="none" w:pos="482"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Parties are entering into this Agreement to resolve any lawsuits, disputes, and/or claims, whether filed or unfiled, that have been, or may in the future be, asserted against the Settling Defendants or any other Released Parties (as defined herein) regarding (i) injuries arising from, relating to, or in connection with the alleged use or emissions of ethylene oxide from Sterigenics US’s or any Released Party’s operations in or around Willowbrook, Illinois (the “</w:t>
      </w:r>
      <w:r>
        <w:rPr>
          <w:rFonts w:ascii="Arial" w:cs="Arial" w:eastAsia="Arial" w:hAnsi="Arial"/>
          <w:sz w:val="17"/>
          <w:szCs w:val="17"/>
          <w:u w:val="single" w:color="auto"/>
          <w:color w:val="auto"/>
        </w:rPr>
        <w:t>Event</w:t>
      </w:r>
      <w:r>
        <w:rPr>
          <w:rFonts w:ascii="Arial" w:cs="Arial" w:eastAsia="Arial" w:hAnsi="Arial"/>
          <w:sz w:val="17"/>
          <w:szCs w:val="17"/>
          <w:color w:val="auto"/>
        </w:rPr>
        <w:t>”), (ii) any conduct arising from, relating to, or in connection with litigation concerning the Event, and (iii) any transfer of assets to or from any Released Party to any other entity or person ((i), (ii), and (iii) individually, the “</w:t>
      </w:r>
      <w:r>
        <w:rPr>
          <w:rFonts w:ascii="Arial" w:cs="Arial" w:eastAsia="Arial" w:hAnsi="Arial"/>
          <w:sz w:val="17"/>
          <w:szCs w:val="17"/>
          <w:u w:val="single" w:color="auto"/>
          <w:color w:val="auto"/>
        </w:rPr>
        <w:t>Claim</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Claims</w:t>
      </w:r>
      <w:r>
        <w:rPr>
          <w:rFonts w:ascii="Arial" w:cs="Arial" w:eastAsia="Arial" w:hAnsi="Arial"/>
          <w:sz w:val="17"/>
          <w:szCs w:val="17"/>
          <w:color w:val="auto"/>
        </w:rPr>
        <w:t>”). For the avoidance of doubt, Event-related Claims include (without limitation) injuries—arising from, relating to, or in connection with the alleged use or emissions of ethylene oxide from Sterigenics US’s Willowbrook facility—that may develop in the future, whether the alleged injury relates to an entirely new diagnosis or a recurrence of an earlier medical diagnosis. Event-related Claims do not include claims regarding injuries that are unrelated or not alleged to be related to ethylene oxide exposure in or around Willowbrook, Illinois (e.g., a claim arising from a vehicle accident between a Released Party and an employee driving a vehicle belonging to a Settling Defendant).</w:t>
      </w:r>
    </w:p>
    <w:p>
      <w:pPr>
        <w:spacing w:after="0" w:line="203" w:lineRule="exact"/>
        <w:rPr>
          <w:rFonts w:ascii="Arial" w:cs="Arial" w:eastAsia="Arial" w:hAnsi="Arial"/>
          <w:sz w:val="17"/>
          <w:szCs w:val="17"/>
          <w:color w:val="auto"/>
        </w:rPr>
      </w:pPr>
    </w:p>
    <w:p>
      <w:pPr>
        <w:jc w:val="both"/>
        <w:ind w:left="-116" w:right="160" w:firstLine="192"/>
        <w:spacing w:after="0" w:line="223" w:lineRule="auto"/>
        <w:tabs>
          <w:tab w:leader="none" w:pos="41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Settling Defendants deny any liability or wrongdoing and assert that they have meritorious defenses to the Claims. This Agreement will not be construed as evidence of or as an admission by Settling Defendants of any fault, liability, wrongdoing, or damages whatsoever. While denying any liability or wrongdoing, Settling Defendants wish to resolve the Claims in order to achieve closure and finality and to avoid the costs, expense, time, efforts, disruption, and uncertainty inherent in litigation.</w:t>
      </w:r>
    </w:p>
    <w:p>
      <w:pPr>
        <w:spacing w:after="0" w:line="20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WHEREFORE, the Parties, by and through counsel, hereby agree as follows:</w:t>
      </w:r>
    </w:p>
    <w:p>
      <w:pPr>
        <w:spacing w:after="0" w:line="221" w:lineRule="exact"/>
        <w:rPr>
          <w:sz w:val="20"/>
          <w:szCs w:val="20"/>
          <w:color w:val="auto"/>
        </w:rPr>
      </w:pPr>
    </w:p>
    <w:p>
      <w:pPr>
        <w:ind w:left="644" w:hanging="644"/>
        <w:spacing w:after="0"/>
        <w:tabs>
          <w:tab w:leader="none" w:pos="6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6"/>
          <w:szCs w:val="16"/>
          <w:color w:val="auto"/>
        </w:rPr>
        <w:t>For purposes of this Agreement, the following terms (designated by initial capitalization) shall have the meanings set forth in this section.</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terms, also designated by initial capitalization, may be defined elsewhere in the Agreement.</w:t>
      </w:r>
    </w:p>
    <w:p>
      <w:pPr>
        <w:spacing w:after="0" w:line="205"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5"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or “</w:t>
      </w:r>
      <w:r>
        <w:rPr>
          <w:rFonts w:ascii="Arial" w:cs="Arial" w:eastAsia="Arial" w:hAnsi="Arial"/>
          <w:sz w:val="16"/>
          <w:szCs w:val="16"/>
          <w:u w:val="single" w:color="auto"/>
          <w:color w:val="auto"/>
        </w:rPr>
        <w:t>Actions</w:t>
      </w:r>
      <w:r>
        <w:rPr>
          <w:rFonts w:ascii="Arial" w:cs="Arial" w:eastAsia="Arial" w:hAnsi="Arial"/>
          <w:sz w:val="16"/>
          <w:szCs w:val="16"/>
          <w:color w:val="auto"/>
        </w:rPr>
        <w:t>” means any filed legal action or proceeding asserting Claims.</w:t>
      </w:r>
    </w:p>
    <w:p>
      <w:pPr>
        <w:spacing w:after="0" w:line="279" w:lineRule="exact"/>
        <w:rPr>
          <w:sz w:val="20"/>
          <w:szCs w:val="20"/>
          <w:color w:val="auto"/>
        </w:rPr>
      </w:pPr>
    </w:p>
    <w:p>
      <w:pPr>
        <w:jc w:val="both"/>
        <w:ind w:left="4" w:right="160" w:firstLine="648"/>
        <w:spacing w:after="0" w:line="250"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Settlement Agreement, including any and all Exhibits and Appendices, as it may be amended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in accordance with its terms.</w:t>
      </w:r>
    </w:p>
    <w:p>
      <w:pPr>
        <w:spacing w:after="0" w:line="190" w:lineRule="exact"/>
        <w:rPr>
          <w:sz w:val="20"/>
          <w:szCs w:val="20"/>
          <w:color w:val="auto"/>
        </w:rPr>
      </w:pPr>
    </w:p>
    <w:p>
      <w:pPr>
        <w:jc w:val="both"/>
        <w:ind w:left="4" w:right="160" w:firstLine="648"/>
        <w:spacing w:after="0" w:line="243"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color w:val="auto"/>
        </w:rPr>
        <w:t>“</w:t>
      </w:r>
      <w:r>
        <w:rPr>
          <w:rFonts w:ascii="Arial" w:cs="Arial" w:eastAsia="Arial" w:hAnsi="Arial"/>
          <w:sz w:val="16"/>
          <w:szCs w:val="16"/>
          <w:u w:val="single" w:color="auto"/>
          <w:color w:val="auto"/>
        </w:rPr>
        <w:t>Allocation Notification Date</w:t>
      </w:r>
      <w:r>
        <w:rPr>
          <w:rFonts w:ascii="Arial" w:cs="Arial" w:eastAsia="Arial" w:hAnsi="Arial"/>
          <w:sz w:val="16"/>
          <w:szCs w:val="16"/>
          <w:color w:val="auto"/>
        </w:rPr>
        <w:t>” means the date when the first Claimant (as defined herein) receives notice of his or her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allocation amount, along with other disclosures, including any required by Illinois Rule of Professional Conduct 1.8(g), pursuant to the Settlement Program (as defined herein). PEC agrees to notify the Settling Defendants of the Allocation Notification Date within one Business Day</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thereof.</w:t>
      </w:r>
    </w:p>
    <w:p>
      <w:pPr>
        <w:spacing w:after="0" w:line="194"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day when banks are closed or authorized to be closed in Chicago,</w:t>
      </w:r>
    </w:p>
    <w:p>
      <w:pPr>
        <w:ind w:left="4"/>
        <w:spacing w:after="0"/>
        <w:rPr>
          <w:sz w:val="20"/>
          <w:szCs w:val="20"/>
          <w:color w:val="auto"/>
        </w:rPr>
      </w:pPr>
      <w:r>
        <w:rPr>
          <w:rFonts w:ascii="Arial" w:cs="Arial" w:eastAsia="Arial" w:hAnsi="Arial"/>
          <w:sz w:val="18"/>
          <w:szCs w:val="18"/>
          <w:color w:val="auto"/>
        </w:rPr>
        <w:t>Illinois.</w:t>
      </w:r>
    </w:p>
    <w:p>
      <w:pPr>
        <w:spacing w:after="0" w:line="205"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or “</w:t>
      </w:r>
      <w:r>
        <w:rPr>
          <w:rFonts w:ascii="Arial" w:cs="Arial" w:eastAsia="Arial" w:hAnsi="Arial"/>
          <w:sz w:val="16"/>
          <w:szCs w:val="16"/>
          <w:u w:val="single" w:color="auto"/>
          <w:color w:val="auto"/>
        </w:rPr>
        <w:t>Claims</w:t>
      </w:r>
      <w:r>
        <w:rPr>
          <w:rFonts w:ascii="Arial" w:cs="Arial" w:eastAsia="Arial" w:hAnsi="Arial"/>
          <w:sz w:val="16"/>
          <w:szCs w:val="16"/>
          <w:color w:val="auto"/>
        </w:rPr>
        <w:t>” have the meanings set forth in Recital A.</w:t>
      </w:r>
    </w:p>
    <w:p>
      <w:pPr>
        <w:spacing w:after="0" w:line="225"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Claimant</w:t>
      </w:r>
      <w:r>
        <w:rPr>
          <w:rFonts w:ascii="Arial" w:cs="Arial" w:eastAsia="Arial" w:hAnsi="Arial"/>
          <w:sz w:val="16"/>
          <w:szCs w:val="16"/>
          <w:color w:val="auto"/>
        </w:rPr>
        <w:t>” or “</w:t>
      </w:r>
      <w:r>
        <w:rPr>
          <w:rFonts w:ascii="Arial" w:cs="Arial" w:eastAsia="Arial" w:hAnsi="Arial"/>
          <w:sz w:val="16"/>
          <w:szCs w:val="16"/>
          <w:u w:val="single" w:color="auto"/>
          <w:color w:val="auto"/>
        </w:rPr>
        <w:t>Claimants</w:t>
      </w:r>
      <w:r>
        <w:rPr>
          <w:rFonts w:ascii="Arial" w:cs="Arial" w:eastAsia="Arial" w:hAnsi="Arial"/>
          <w:sz w:val="16"/>
          <w:szCs w:val="16"/>
          <w:color w:val="auto"/>
        </w:rPr>
        <w:t>” means Plaintiffs (as defined herein) and Clients with Unfiled Claims (as defined herein).</w:t>
      </w:r>
    </w:p>
    <w:p>
      <w:pPr>
        <w:spacing w:after="0" w:line="225"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Claimant Fact Sheet</w:t>
      </w:r>
      <w:r>
        <w:rPr>
          <w:rFonts w:ascii="Arial" w:cs="Arial" w:eastAsia="Arial" w:hAnsi="Arial"/>
          <w:sz w:val="16"/>
          <w:szCs w:val="16"/>
          <w:color w:val="auto"/>
        </w:rPr>
        <w:t xml:space="preserve">” means the form of fact sheet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to this Agreement.</w:t>
      </w:r>
    </w:p>
    <w:p>
      <w:pPr>
        <w:spacing w:after="0" w:line="225" w:lineRule="exact"/>
        <w:rPr>
          <w:sz w:val="20"/>
          <w:szCs w:val="20"/>
          <w:color w:val="auto"/>
        </w:rPr>
      </w:pPr>
    </w:p>
    <w:p>
      <w:pPr>
        <w:jc w:val="both"/>
        <w:ind w:left="4" w:right="160" w:firstLine="648"/>
        <w:spacing w:after="0" w:line="236" w:lineRule="auto"/>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color w:val="auto"/>
        </w:rPr>
        <w:t>“</w:t>
      </w:r>
      <w:r>
        <w:rPr>
          <w:rFonts w:ascii="Arial" w:cs="Arial" w:eastAsia="Arial" w:hAnsi="Arial"/>
          <w:sz w:val="17"/>
          <w:szCs w:val="17"/>
          <w:u w:val="single" w:color="auto"/>
          <w:color w:val="auto"/>
        </w:rPr>
        <w:t>Claims Administrator</w:t>
      </w:r>
      <w:r>
        <w:rPr>
          <w:rFonts w:ascii="Arial" w:cs="Arial" w:eastAsia="Arial" w:hAnsi="Arial"/>
          <w:sz w:val="17"/>
          <w:szCs w:val="17"/>
          <w:color w:val="auto"/>
        </w:rPr>
        <w:t>” means the Person(s) selected by the PEC (as defined herein) to perform the responsibilities assigned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Claims Administrator under this Agreement (including administering the Settlement Program), and any replacement or alternate Claims</w:t>
      </w:r>
    </w:p>
    <w:p>
      <w:pPr>
        <w:ind w:left="4"/>
        <w:spacing w:after="0"/>
        <w:rPr>
          <w:sz w:val="20"/>
          <w:szCs w:val="20"/>
          <w:color w:val="auto"/>
        </w:rPr>
      </w:pPr>
      <w:r>
        <w:rPr>
          <w:rFonts w:ascii="Arial" w:cs="Arial" w:eastAsia="Arial" w:hAnsi="Arial"/>
          <w:sz w:val="18"/>
          <w:szCs w:val="18"/>
          <w:color w:val="auto"/>
        </w:rPr>
        <w:t>Administrator should a replacement or alternate be necessary.</w:t>
      </w:r>
    </w:p>
    <w:p>
      <w:pPr>
        <w:sectPr>
          <w:pgSz w:w="11900" w:h="16838" w:orient="portrait"/>
          <w:cols w:equalWidth="0" w:num="1">
            <w:col w:w="10864"/>
          </w:cols>
          <w:pgMar w:left="436" w:top="140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6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864"/>
          </w:cols>
          <w:pgMar w:left="436" w:top="1404" w:right="599" w:bottom="1440" w:gutter="0" w:footer="0" w:header="0"/>
          <w:type w:val="continuous"/>
        </w:sectPr>
      </w:pPr>
    </w:p>
    <w:bookmarkStart w:id="124" w:name="page125"/>
    <w:bookmarkEnd w:id="124"/>
    <w:p>
      <w:pPr>
        <w:ind w:left="640"/>
        <w:spacing w:after="0"/>
        <w:tabs>
          <w:tab w:leader="none" w:pos="11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Clients with Unfiled Claims</w:t>
      </w:r>
      <w:r>
        <w:rPr>
          <w:rFonts w:ascii="Arial" w:cs="Arial" w:eastAsia="Arial" w:hAnsi="Arial"/>
          <w:sz w:val="16"/>
          <w:szCs w:val="16"/>
          <w:color w:val="auto"/>
        </w:rPr>
        <w:t>” means Persons who have retained Plaintiffs’ Counsel in connection with a Claim or possible Claim,</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 xml:space="preserve">but who have not filed an Action against any of the Released Parties arising from, relating to, or in connection with a Claim. As of the Effective Date, the list of Clients with Unfiled Claims is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w:t>
      </w:r>
    </w:p>
    <w:p>
      <w:pPr>
        <w:spacing w:after="0" w:line="198" w:lineRule="exact"/>
        <w:rPr>
          <w:sz w:val="20"/>
          <w:szCs w:val="20"/>
          <w:color w:val="auto"/>
        </w:rPr>
      </w:pPr>
    </w:p>
    <w:p>
      <w:pPr>
        <w:ind w:right="160" w:firstLine="648"/>
        <w:spacing w:after="0" w:line="294"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All references to the Code, United States Treasury Regulations,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pronouncements shall be deemed to include references to any applicable successor regulations or amending pronouncement.</w:t>
      </w:r>
    </w:p>
    <w:p>
      <w:pPr>
        <w:spacing w:after="0" w:line="157" w:lineRule="exact"/>
        <w:rPr>
          <w:sz w:val="20"/>
          <w:szCs w:val="20"/>
          <w:color w:val="auto"/>
        </w:rPr>
      </w:pPr>
    </w:p>
    <w:p>
      <w:pPr>
        <w:ind w:right="160" w:firstLine="648"/>
        <w:spacing w:after="0" w:line="250"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u w:val="single" w:color="auto"/>
          <w:color w:val="auto"/>
        </w:rPr>
        <w:t>Declaration of Counsel</w:t>
      </w:r>
      <w:r>
        <w:rPr>
          <w:rFonts w:ascii="Arial" w:cs="Arial" w:eastAsia="Arial" w:hAnsi="Arial"/>
          <w:sz w:val="18"/>
          <w:szCs w:val="18"/>
          <w:color w:val="auto"/>
        </w:rPr>
        <w:t>” means the declaration to be executed by Plaintiffs’ Counsel and submitted by Participating Claimants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that is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Escrow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Escrow Agent</w:t>
      </w:r>
      <w:r>
        <w:rPr>
          <w:rFonts w:ascii="Arial" w:cs="Arial" w:eastAsia="Arial" w:hAnsi="Arial"/>
          <w:sz w:val="16"/>
          <w:szCs w:val="16"/>
          <w:color w:val="auto"/>
        </w:rPr>
        <w:t>” means Citibank, N.A.</w:t>
      </w:r>
    </w:p>
    <w:p>
      <w:pPr>
        <w:spacing w:after="0" w:line="225"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the Escrow Agreement,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to be entered into by</w:t>
      </w:r>
      <w:r>
        <w:rPr>
          <w:rFonts w:ascii="Arial" w:cs="Arial" w:eastAsia="Arial" w:hAnsi="Arial"/>
          <w:sz w:val="18"/>
          <w:szCs w:val="18"/>
          <w:b w:val="1"/>
          <w:bCs w:val="1"/>
          <w:color w:val="auto"/>
        </w:rPr>
        <w:t xml:space="preserve"> </w:t>
      </w:r>
      <w:r>
        <w:rPr>
          <w:rFonts w:ascii="Arial" w:cs="Arial" w:eastAsia="Arial" w:hAnsi="Arial"/>
          <w:sz w:val="18"/>
          <w:szCs w:val="18"/>
          <w:color w:val="auto"/>
        </w:rPr>
        <w:t>Sterigenics US, a PEC representative, and the Escrow Agent.</w:t>
      </w:r>
    </w:p>
    <w:p>
      <w:pPr>
        <w:spacing w:after="0" w:line="10" w:lineRule="exact"/>
        <w:rPr>
          <w:sz w:val="20"/>
          <w:szCs w:val="20"/>
          <w:color w:val="auto"/>
        </w:rPr>
      </w:pPr>
    </w:p>
    <w:p>
      <w:pPr>
        <w:ind w:right="160" w:firstLine="648"/>
        <w:spacing w:after="0" w:line="250"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u w:val="single" w:color="auto"/>
          <w:color w:val="auto"/>
        </w:rPr>
        <w:t>Escrow Funding Date</w:t>
      </w:r>
      <w:r>
        <w:rPr>
          <w:rFonts w:ascii="Arial" w:cs="Arial" w:eastAsia="Arial" w:hAnsi="Arial"/>
          <w:sz w:val="18"/>
          <w:szCs w:val="18"/>
          <w:color w:val="auto"/>
        </w:rPr>
        <w:t>” means (x) if the Funding Conditions (as defined herein) are satisfied, May 1, 2023, or (y) if the Funding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are not satisfied on May 1, 2023, within five Business Days of the day when the Funding Conditions are satisfied.</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Facilities</w:t>
      </w:r>
      <w:r>
        <w:rPr>
          <w:rFonts w:ascii="Arial" w:cs="Arial" w:eastAsia="Arial" w:hAnsi="Arial"/>
          <w:sz w:val="16"/>
          <w:szCs w:val="16"/>
          <w:color w:val="auto"/>
        </w:rPr>
        <w:t>” means each of the following addresses:</w:t>
      </w:r>
    </w:p>
    <w:p>
      <w:pPr>
        <w:spacing w:after="0" w:line="229" w:lineRule="exact"/>
        <w:rPr>
          <w:sz w:val="20"/>
          <w:szCs w:val="20"/>
          <w:color w:val="auto"/>
        </w:rPr>
      </w:pPr>
    </w:p>
    <w:p>
      <w:pPr>
        <w:ind w:left="1280" w:hanging="636"/>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7775 South Quincy Ave, Willowbrook, IL 60527;</w:t>
      </w:r>
    </w:p>
    <w:p>
      <w:pPr>
        <w:spacing w:after="0" w:line="225" w:lineRule="exact"/>
        <w:rPr>
          <w:rFonts w:ascii="Arial" w:cs="Arial" w:eastAsia="Arial" w:hAnsi="Arial"/>
          <w:sz w:val="18"/>
          <w:szCs w:val="18"/>
          <w:color w:val="auto"/>
        </w:rPr>
      </w:pPr>
    </w:p>
    <w:p>
      <w:pPr>
        <w:ind w:left="1280" w:hanging="636"/>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7825 South Quincy Ave, Willowbrook, IL 60527; and</w:t>
      </w:r>
    </w:p>
    <w:p>
      <w:pPr>
        <w:spacing w:after="0" w:line="225" w:lineRule="exact"/>
        <w:rPr>
          <w:rFonts w:ascii="Arial" w:cs="Arial" w:eastAsia="Arial" w:hAnsi="Arial"/>
          <w:sz w:val="18"/>
          <w:szCs w:val="18"/>
          <w:color w:val="auto"/>
        </w:rPr>
      </w:pPr>
    </w:p>
    <w:p>
      <w:pPr>
        <w:ind w:left="1280" w:hanging="636"/>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830 Midway Drive, Willowbrook, IL 60527.</w:t>
      </w:r>
    </w:p>
    <w:p>
      <w:pPr>
        <w:spacing w:after="0" w:line="221" w:lineRule="exact"/>
        <w:rPr>
          <w:sz w:val="20"/>
          <w:szCs w:val="20"/>
          <w:color w:val="auto"/>
        </w:rPr>
      </w:pPr>
    </w:p>
    <w:p>
      <w:pPr>
        <w:ind w:left="1280" w:hanging="647"/>
        <w:spacing w:after="0" w:line="235" w:lineRule="auto"/>
        <w:tabs>
          <w:tab w:leader="none" w:pos="12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order for which (a) no further judicial or other review is available, or (b) the time for further judicial or other review has passed with no appeal or request for judicial review having been taken.</w:t>
      </w:r>
    </w:p>
    <w:p>
      <w:pPr>
        <w:spacing w:after="0" w:line="1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Funding Conditions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GFSD Dispute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Good Faith Settlement Determination</w:t>
      </w:r>
      <w:r>
        <w:rPr>
          <w:rFonts w:ascii="Arial" w:cs="Arial" w:eastAsia="Arial" w:hAnsi="Arial"/>
          <w:sz w:val="16"/>
          <w:szCs w:val="16"/>
          <w:color w:val="auto"/>
        </w:rPr>
        <w:t>” means (i) the determination by a court of competent jurisdiction that this Agreement is in</w:t>
      </w:r>
    </w:p>
    <w:p>
      <w:pPr>
        <w:spacing w:after="0" w:line="2" w:lineRule="exact"/>
        <w:rPr>
          <w:sz w:val="20"/>
          <w:szCs w:val="20"/>
          <w:color w:val="auto"/>
        </w:rPr>
      </w:pPr>
    </w:p>
    <w:p>
      <w:pPr>
        <w:jc w:val="both"/>
        <w:ind w:right="160"/>
        <w:spacing w:after="0" w:line="239" w:lineRule="auto"/>
        <w:rPr>
          <w:sz w:val="20"/>
          <w:szCs w:val="20"/>
          <w:color w:val="auto"/>
        </w:rPr>
      </w:pPr>
      <w:r>
        <w:rPr>
          <w:rFonts w:ascii="Arial" w:cs="Arial" w:eastAsia="Arial" w:hAnsi="Arial"/>
          <w:sz w:val="17"/>
          <w:szCs w:val="17"/>
          <w:color w:val="auto"/>
        </w:rPr>
        <w:t>“good faith” for purposes of 740 ILCS 100/2 or the analogous law of any jurisdiction where such determination is sought, and (ii) the court approval of the Account as a qualified settlement fund that will satisfy the requirements of Section 1.468B-1(c) of the Treasury Regulations.</w:t>
      </w:r>
    </w:p>
    <w:p>
      <w:pPr>
        <w:spacing w:after="0" w:line="198" w:lineRule="exact"/>
        <w:rPr>
          <w:sz w:val="20"/>
          <w:szCs w:val="20"/>
          <w:color w:val="auto"/>
        </w:rPr>
      </w:pPr>
    </w:p>
    <w:p>
      <w:pPr>
        <w:jc w:val="both"/>
        <w:ind w:right="160" w:firstLine="648"/>
        <w:spacing w:after="0" w:line="22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(i) the United States federal government, or any state, the District of Columbia, territory, or</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of the United States, or other political subdivision within the United States, and (ii) any department or agency of a government referenced in (i) above, including (without limitation) the Securities and Exchange Commission.</w:t>
      </w:r>
    </w:p>
    <w:p>
      <w:pPr>
        <w:spacing w:after="0" w:line="20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GTCR</w:t>
      </w:r>
      <w:r>
        <w:rPr>
          <w:rFonts w:ascii="Arial" w:cs="Arial" w:eastAsia="Arial" w:hAnsi="Arial"/>
          <w:sz w:val="16"/>
          <w:szCs w:val="16"/>
          <w:color w:val="auto"/>
        </w:rPr>
        <w:t>” means GTCR LLC; GTCR L.L.C.; and GTCR Golder Rauner II, L.L.C.;</w:t>
      </w:r>
    </w:p>
    <w:p>
      <w:pPr>
        <w:jc w:val="both"/>
        <w:ind w:right="160"/>
        <w:spacing w:after="0" w:line="223" w:lineRule="auto"/>
        <w:rPr>
          <w:sz w:val="20"/>
          <w:szCs w:val="20"/>
          <w:color w:val="auto"/>
        </w:rPr>
      </w:pPr>
      <w:r>
        <w:rPr>
          <w:rFonts w:ascii="Arial" w:cs="Arial" w:eastAsia="Arial" w:hAnsi="Arial"/>
          <w:sz w:val="17"/>
          <w:szCs w:val="17"/>
          <w:color w:val="auto"/>
        </w:rPr>
        <w:t>all funds associated with GTCR LLC; GTCR L.L.C.; and GTCR Golder Rauner II, L.L.C.; including (without limitation) GTCR Fund IX/A, L.P.; GTCR Fund IX/B, L.P.; GTCR Co-Invest III, L.P.; GTCR Fund XI/A LP; GTCR Fund XI/CLP; GTCR Partners XI/A&amp;C LP; GTCR Co-</w:t>
      </w:r>
    </w:p>
    <w:p>
      <w:pPr>
        <w:spacing w:after="0" w:line="1" w:lineRule="exact"/>
        <w:rPr>
          <w:sz w:val="20"/>
          <w:szCs w:val="20"/>
          <w:color w:val="auto"/>
        </w:rPr>
      </w:pPr>
    </w:p>
    <w:p>
      <w:pPr>
        <w:jc w:val="both"/>
        <w:ind w:right="160"/>
        <w:spacing w:after="0" w:line="218" w:lineRule="auto"/>
        <w:rPr>
          <w:sz w:val="20"/>
          <w:szCs w:val="20"/>
          <w:color w:val="auto"/>
        </w:rPr>
      </w:pPr>
      <w:r>
        <w:rPr>
          <w:rFonts w:ascii="Arial" w:cs="Arial" w:eastAsia="Arial" w:hAnsi="Arial"/>
          <w:sz w:val="18"/>
          <w:szCs w:val="18"/>
          <w:color w:val="auto"/>
        </w:rPr>
        <w:t>Invest XI LP; GTCR Investment XI LLC; GTCR Fund XI/A VCOC; GTCR Fund XI/C VCOC; and the respective affiliates, managers, limited partners, and members of (i) GTCR LLC; GTCR L.L.C.; GTCR Golder Rauner II, L.L.C.; and (ii) the funds associated with GTCR LLC; GTCR L.L.C.; and GTCR Golder Rauner II, L.L.C.</w:t>
      </w:r>
    </w:p>
    <w:p>
      <w:pPr>
        <w:spacing w:after="0" w:line="199" w:lineRule="exact"/>
        <w:rPr>
          <w:sz w:val="20"/>
          <w:szCs w:val="20"/>
          <w:color w:val="auto"/>
        </w:rPr>
      </w:pPr>
    </w:p>
    <w:p>
      <w:pPr>
        <w:jc w:val="both"/>
        <w:ind w:right="160" w:firstLine="648"/>
        <w:spacing w:after="0" w:line="237"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u w:val="single" w:color="auto"/>
          <w:color w:val="auto"/>
        </w:rPr>
        <w:t>Legal Representative</w:t>
      </w:r>
      <w:r>
        <w:rPr>
          <w:rFonts w:ascii="Arial" w:cs="Arial" w:eastAsia="Arial" w:hAnsi="Arial"/>
          <w:sz w:val="18"/>
          <w:szCs w:val="18"/>
          <w:color w:val="auto"/>
        </w:rPr>
        <w:t>” means, as to any natural person, whether living or deceased, the estate, executor, administrator, guardian,</w:t>
      </w:r>
      <w:r>
        <w:rPr>
          <w:rFonts w:ascii="Arial" w:cs="Arial" w:eastAsia="Arial" w:hAnsi="Arial"/>
          <w:sz w:val="18"/>
          <w:szCs w:val="18"/>
          <w:b w:val="1"/>
          <w:bCs w:val="1"/>
          <w:color w:val="auto"/>
        </w:rPr>
        <w:t xml:space="preserve"> </w:t>
      </w:r>
      <w:r>
        <w:rPr>
          <w:rFonts w:ascii="Arial" w:cs="Arial" w:eastAsia="Arial" w:hAnsi="Arial"/>
          <w:sz w:val="18"/>
          <w:szCs w:val="18"/>
          <w:color w:val="auto"/>
        </w:rPr>
        <w:t>conservator, or other legal representative thereof.</w:t>
      </w:r>
    </w:p>
    <w:p>
      <w:pPr>
        <w:spacing w:after="0" w:line="19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known, actual, or asserted lien, subrogation right, third-party interest or adverse claim, whether statutory or</w:t>
      </w:r>
    </w:p>
    <w:p>
      <w:pPr>
        <w:spacing w:after="0" w:line="2"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otherwise, in relation to Medicare or Medicaid, any Governmental Authority, third-party provider/payor, bankruptcy trustee, or any lawyer or law firm related to any Claim.</w:t>
      </w:r>
    </w:p>
    <w:p>
      <w:pPr>
        <w:spacing w:after="0" w:line="2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Lienholder</w:t>
      </w:r>
      <w:r>
        <w:rPr>
          <w:rFonts w:ascii="Arial" w:cs="Arial" w:eastAsia="Arial" w:hAnsi="Arial"/>
          <w:sz w:val="16"/>
          <w:szCs w:val="16"/>
          <w:color w:val="auto"/>
        </w:rPr>
        <w:t>” means a Person who holds a Lien.</w:t>
      </w:r>
    </w:p>
    <w:p>
      <w:pPr>
        <w:sectPr>
          <w:pgSz w:w="11900" w:h="16838" w:orient="portrait"/>
          <w:cols w:equalWidth="0" w:num="1">
            <w:col w:w="10860"/>
          </w:cols>
          <w:pgMar w:left="440" w:top="1323"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860"/>
          </w:cols>
          <w:pgMar w:left="440" w:top="1323" w:right="599" w:bottom="1440" w:gutter="0" w:footer="0" w:header="0"/>
          <w:type w:val="continuous"/>
        </w:sectPr>
      </w:pPr>
    </w:p>
    <w:bookmarkStart w:id="125" w:name="page126"/>
    <w:bookmarkEnd w:id="125"/>
    <w:p>
      <w:pPr>
        <w:ind w:firstLine="648"/>
        <w:spacing w:after="0" w:line="250"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u w:val="single" w:color="auto"/>
          <w:color w:val="auto"/>
        </w:rPr>
        <w:t>Mediator</w:t>
      </w:r>
      <w:r>
        <w:rPr>
          <w:rFonts w:ascii="Arial" w:cs="Arial" w:eastAsia="Arial" w:hAnsi="Arial"/>
          <w:sz w:val="18"/>
          <w:szCs w:val="18"/>
          <w:color w:val="auto"/>
        </w:rPr>
        <w:t>” means Miles Ruthberg or, should a replacement or alternate be necessary, any replacement or alternate jointly selected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w:t>
      </w:r>
    </w:p>
    <w:p>
      <w:pPr>
        <w:spacing w:after="0" w:line="1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Mental Health Addendum</w:t>
      </w:r>
      <w:r>
        <w:rPr>
          <w:rFonts w:ascii="Arial" w:cs="Arial" w:eastAsia="Arial" w:hAnsi="Arial"/>
          <w:sz w:val="16"/>
          <w:szCs w:val="16"/>
          <w:color w:val="auto"/>
        </w:rPr>
        <w:t xml:space="preserve">” means the form of addendum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this Agreement.</w:t>
      </w:r>
    </w:p>
    <w:p>
      <w:pPr>
        <w:spacing w:after="0" w:line="22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MMSEA</w:t>
      </w:r>
      <w:r>
        <w:rPr>
          <w:rFonts w:ascii="Arial" w:cs="Arial" w:eastAsia="Arial" w:hAnsi="Arial"/>
          <w:sz w:val="16"/>
          <w:szCs w:val="16"/>
          <w:color w:val="auto"/>
        </w:rPr>
        <w:t>” means the Medicare, Medicaid and SCHIP Extension Act of 2007 and its applicable regulations.</w:t>
      </w:r>
    </w:p>
    <w:p>
      <w:pPr>
        <w:spacing w:after="0" w:line="22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u w:val="single" w:color="auto"/>
          <w:color w:val="auto"/>
        </w:rPr>
        <w:t>Non-PEC Firm</w:t>
      </w:r>
      <w:r>
        <w:rPr>
          <w:rFonts w:ascii="Arial" w:cs="Arial" w:eastAsia="Arial" w:hAnsi="Arial"/>
          <w:sz w:val="18"/>
          <w:szCs w:val="18"/>
          <w:color w:val="auto"/>
        </w:rPr>
        <w:t>” or “</w:t>
      </w:r>
      <w:r>
        <w:rPr>
          <w:rFonts w:ascii="Arial" w:cs="Arial" w:eastAsia="Arial" w:hAnsi="Arial"/>
          <w:sz w:val="18"/>
          <w:szCs w:val="18"/>
          <w:u w:val="single" w:color="auto"/>
          <w:color w:val="auto"/>
        </w:rPr>
        <w:t>Non-PEC Firms</w:t>
      </w:r>
      <w:r>
        <w:rPr>
          <w:rFonts w:ascii="Arial" w:cs="Arial" w:eastAsia="Arial" w:hAnsi="Arial"/>
          <w:sz w:val="18"/>
          <w:szCs w:val="18"/>
          <w:color w:val="auto"/>
        </w:rPr>
        <w:t>” means any and all law firms, that are not members of the PEC (as defined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representing Claimants as of January 9, 2023, and are listed in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to this Agreement.</w:t>
      </w:r>
    </w:p>
    <w:p>
      <w:pPr>
        <w:spacing w:after="0" w:line="19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Non-Participating Claimant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3.2(c)</w:t>
      </w:r>
      <w:r>
        <w:rPr>
          <w:rFonts w:ascii="Arial" w:cs="Arial" w:eastAsia="Arial" w:hAnsi="Arial"/>
          <w:sz w:val="16"/>
          <w:szCs w:val="16"/>
          <w:color w:val="auto"/>
        </w:rPr>
        <w:t>.</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u w:val="single" w:color="auto"/>
          <w:color w:val="auto"/>
        </w:rPr>
        <w:t>Opt In</w:t>
      </w:r>
      <w:r>
        <w:rPr>
          <w:rFonts w:ascii="Arial" w:cs="Arial" w:eastAsia="Arial" w:hAnsi="Arial"/>
          <w:sz w:val="18"/>
          <w:szCs w:val="18"/>
          <w:color w:val="auto"/>
        </w:rPr>
        <w:t>” means to voluntarily agree to participate in the Settlement Program and timely executing and submitting the (a) Opt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 (b) Release, and (c) Declaration of Counsel, in compliance with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9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u w:val="single" w:color="auto"/>
          <w:color w:val="auto"/>
        </w:rPr>
        <w:t>Opt In Deadline</w:t>
      </w:r>
      <w:r>
        <w:rPr>
          <w:rFonts w:ascii="Arial" w:cs="Arial" w:eastAsia="Arial" w:hAnsi="Arial"/>
          <w:sz w:val="18"/>
          <w:szCs w:val="18"/>
          <w:color w:val="auto"/>
        </w:rPr>
        <w:t>” means the later of (x) 30 days after the Allocation Notification Date or (y) if the PEC requests and Settling</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grant a 30-day extension, 60 days after the Allocation Notification Date.</w:t>
      </w:r>
    </w:p>
    <w:p>
      <w:pPr>
        <w:spacing w:after="0" w:line="19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u w:val="single" w:color="auto"/>
          <w:color w:val="auto"/>
        </w:rPr>
        <w:t>Opt In Form</w:t>
      </w:r>
      <w:r>
        <w:rPr>
          <w:rFonts w:ascii="Arial" w:cs="Arial" w:eastAsia="Arial" w:hAnsi="Arial"/>
          <w:sz w:val="18"/>
          <w:szCs w:val="18"/>
          <w:color w:val="auto"/>
        </w:rPr>
        <w:t>” means the form to be submitted by Participating Claimants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9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 In Reporting Deadline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Opt-Out Claimant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color w:val="auto"/>
        </w:rPr>
        <w:t>“</w:t>
      </w:r>
      <w:r>
        <w:rPr>
          <w:rFonts w:ascii="Arial" w:cs="Arial" w:eastAsia="Arial" w:hAnsi="Arial"/>
          <w:sz w:val="16"/>
          <w:szCs w:val="16"/>
          <w:u w:val="single" w:color="auto"/>
          <w:color w:val="auto"/>
        </w:rPr>
        <w:t>Other Facility Claims</w:t>
      </w:r>
      <w:r>
        <w:rPr>
          <w:rFonts w:ascii="Arial" w:cs="Arial" w:eastAsia="Arial" w:hAnsi="Arial"/>
          <w:sz w:val="16"/>
          <w:szCs w:val="16"/>
          <w:color w:val="auto"/>
        </w:rPr>
        <w:t>” means any lawsuits, disputes, and/or claims, whether filed or unfiled, that have been, or may be, asserted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the Settling Defendants or any other Released Parties relating to any facility other than a facility in or around Willowbrook, Illinois, owned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operated by any Released Parties and for which any Plaintiffs’ Counsel serves as counsel of record or referral counsel. A list of all Other Facility Claims is attached hereto as </w:t>
      </w:r>
      <w:r>
        <w:rPr>
          <w:rFonts w:ascii="Arial" w:cs="Arial" w:eastAsia="Arial" w:hAnsi="Arial"/>
          <w:sz w:val="18"/>
          <w:szCs w:val="18"/>
          <w:u w:val="single" w:color="auto"/>
          <w:color w:val="auto"/>
        </w:rPr>
        <w:t>Appendix E</w:t>
      </w:r>
      <w:r>
        <w:rPr>
          <w:rFonts w:ascii="Arial" w:cs="Arial" w:eastAsia="Arial" w:hAnsi="Arial"/>
          <w:sz w:val="18"/>
          <w:szCs w:val="18"/>
          <w:color w:val="auto"/>
        </w:rPr>
        <w:t>.</w:t>
      </w:r>
    </w:p>
    <w:p>
      <w:pPr>
        <w:spacing w:after="0" w:line="19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Participating Claimants</w:t>
      </w:r>
      <w:r>
        <w:rPr>
          <w:rFonts w:ascii="Arial" w:cs="Arial" w:eastAsia="Arial" w:hAnsi="Arial"/>
          <w:sz w:val="16"/>
          <w:szCs w:val="16"/>
          <w:color w:val="auto"/>
        </w:rPr>
        <w:t>” means Claimants who Opt In.</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Participation Benchmark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Participation Group A</w:t>
      </w:r>
      <w:r>
        <w:rPr>
          <w:rFonts w:ascii="Arial" w:cs="Arial" w:eastAsia="Arial" w:hAnsi="Arial"/>
          <w:sz w:val="16"/>
          <w:szCs w:val="16"/>
          <w:color w:val="auto"/>
        </w:rPr>
        <w:t>” means all Claimants represented by Non-PEC Firms.</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Participation Group B</w:t>
      </w:r>
      <w:r>
        <w:rPr>
          <w:rFonts w:ascii="Arial" w:cs="Arial" w:eastAsia="Arial" w:hAnsi="Arial"/>
          <w:sz w:val="16"/>
          <w:szCs w:val="16"/>
          <w:color w:val="auto"/>
        </w:rPr>
        <w:t>” means all Claimants represented by any members of the PEC.</w:t>
      </w:r>
    </w:p>
    <w:p>
      <w:pPr>
        <w:spacing w:after="0" w:line="21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Participation Group C</w:t>
      </w:r>
      <w:r>
        <w:rPr>
          <w:rFonts w:ascii="Arial" w:cs="Arial" w:eastAsia="Arial" w:hAnsi="Arial"/>
          <w:sz w:val="16"/>
          <w:szCs w:val="16"/>
          <w:color w:val="auto"/>
        </w:rPr>
        <w:t>” means all Claimant(s) (i.e., all Plaintiffs and Clients with</w:t>
      </w:r>
    </w:p>
    <w:p>
      <w:pPr>
        <w:spacing w:after="0"/>
        <w:rPr>
          <w:sz w:val="20"/>
          <w:szCs w:val="20"/>
          <w:color w:val="auto"/>
        </w:rPr>
      </w:pPr>
      <w:r>
        <w:rPr>
          <w:rFonts w:ascii="Arial" w:cs="Arial" w:eastAsia="Arial" w:hAnsi="Arial"/>
          <w:sz w:val="18"/>
          <w:szCs w:val="18"/>
          <w:color w:val="auto"/>
        </w:rPr>
        <w:t xml:space="preserve">Unfiled Claims reflected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alleging ethylene oxide exposure:</w:t>
      </w:r>
    </w:p>
    <w:p>
      <w:pPr>
        <w:spacing w:after="0" w:line="34" w:lineRule="exact"/>
        <w:rPr>
          <w:sz w:val="20"/>
          <w:szCs w:val="20"/>
          <w:color w:val="auto"/>
        </w:rPr>
      </w:pPr>
    </w:p>
    <w:p>
      <w:pPr>
        <w:ind w:left="1280" w:hanging="636"/>
        <w:spacing w:after="0"/>
        <w:tabs>
          <w:tab w:leader="none" w:pos="12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at any location closer than two miles (as the crow flies) from any of the Facilities and alleging any one of the following injuries:</w:t>
      </w:r>
    </w:p>
    <w:p>
      <w:pPr>
        <w:spacing w:after="0" w:line="248" w:lineRule="exact"/>
        <w:rPr>
          <w:rFonts w:ascii="Arial" w:cs="Arial" w:eastAsia="Arial" w:hAnsi="Arial"/>
          <w:sz w:val="16"/>
          <w:szCs w:val="16"/>
          <w:color w:val="auto"/>
        </w:rPr>
      </w:pPr>
    </w:p>
    <w:p>
      <w:pPr>
        <w:ind w:left="1940" w:hanging="648"/>
        <w:spacing w:after="0"/>
        <w:tabs>
          <w:tab w:leader="none" w:pos="19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cancer,</w:t>
      </w:r>
    </w:p>
    <w:p>
      <w:pPr>
        <w:spacing w:after="0" w:line="225" w:lineRule="exact"/>
        <w:rPr>
          <w:rFonts w:ascii="Arial" w:cs="Arial" w:eastAsia="Arial" w:hAnsi="Arial"/>
          <w:sz w:val="18"/>
          <w:szCs w:val="18"/>
          <w:color w:val="auto"/>
        </w:rPr>
      </w:pPr>
    </w:p>
    <w:p>
      <w:pPr>
        <w:ind w:left="1940" w:hanging="648"/>
        <w:spacing w:after="0"/>
        <w:tabs>
          <w:tab w:leader="none" w:pos="19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more than one miscarriage, or</w:t>
      </w:r>
    </w:p>
    <w:p>
      <w:pPr>
        <w:spacing w:after="0" w:line="225" w:lineRule="exact"/>
        <w:rPr>
          <w:rFonts w:ascii="Arial" w:cs="Arial" w:eastAsia="Arial" w:hAnsi="Arial"/>
          <w:sz w:val="18"/>
          <w:szCs w:val="18"/>
          <w:color w:val="auto"/>
        </w:rPr>
      </w:pPr>
    </w:p>
    <w:p>
      <w:pPr>
        <w:ind w:left="1940" w:right="20" w:hanging="648"/>
        <w:spacing w:after="0" w:line="235" w:lineRule="auto"/>
        <w:tabs>
          <w:tab w:leader="none" w:pos="19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injury to reproductive health other than miscarriage (including but not limited to infertility, stillbirth, premature birth, or birth defect);</w:t>
      </w:r>
    </w:p>
    <w:p>
      <w:pPr>
        <w:spacing w:after="0" w:line="202" w:lineRule="exact"/>
        <w:rPr>
          <w:rFonts w:ascii="Arial" w:cs="Arial" w:eastAsia="Arial" w:hAnsi="Arial"/>
          <w:sz w:val="18"/>
          <w:szCs w:val="18"/>
          <w:color w:val="auto"/>
        </w:rPr>
      </w:pPr>
    </w:p>
    <w:p>
      <w:pPr>
        <w:ind w:left="1300" w:right="1040" w:hanging="656"/>
        <w:spacing w:after="0" w:line="246" w:lineRule="auto"/>
        <w:tabs>
          <w:tab w:leader="none" w:pos="129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at any location closer than three miles (as the crow flies) from any of the Facilities and also alleging breast cancer or hematopoietic cancer;</w:t>
      </w:r>
    </w:p>
    <w:p>
      <w:pPr>
        <w:spacing w:after="0" w:line="196" w:lineRule="exact"/>
        <w:rPr>
          <w:rFonts w:ascii="Arial" w:cs="Arial" w:eastAsia="Arial" w:hAnsi="Arial"/>
          <w:sz w:val="18"/>
          <w:szCs w:val="18"/>
          <w:color w:val="auto"/>
        </w:rPr>
      </w:pPr>
    </w:p>
    <w:p>
      <w:pPr>
        <w:ind w:left="1280" w:hanging="636"/>
        <w:spacing w:after="0"/>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between 1984 and 1989 at any location closer than three miles (as the crow flies) from any of the Facilities;</w:t>
      </w:r>
    </w:p>
    <w:p>
      <w:pPr>
        <w:spacing w:after="0" w:line="225" w:lineRule="exact"/>
        <w:rPr>
          <w:rFonts w:ascii="Arial" w:cs="Arial" w:eastAsia="Arial" w:hAnsi="Arial"/>
          <w:sz w:val="18"/>
          <w:szCs w:val="18"/>
          <w:color w:val="auto"/>
        </w:rPr>
      </w:pPr>
    </w:p>
    <w:p>
      <w:pPr>
        <w:ind w:left="1280" w:hanging="636"/>
        <w:spacing w:after="0"/>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 five years or more at any location closer than three miles (as the crow flies) from any of the Facilities; or</w:t>
      </w:r>
    </w:p>
    <w:p>
      <w:pPr>
        <w:spacing w:after="0" w:line="225" w:lineRule="exact"/>
        <w:rPr>
          <w:rFonts w:ascii="Arial" w:cs="Arial" w:eastAsia="Arial" w:hAnsi="Arial"/>
          <w:sz w:val="18"/>
          <w:szCs w:val="18"/>
          <w:color w:val="auto"/>
        </w:rPr>
      </w:pPr>
    </w:p>
    <w:p>
      <w:pPr>
        <w:ind w:left="1280" w:hanging="636"/>
        <w:spacing w:after="0"/>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 ten years or more at any location closer than four miles (as the crow flies) from any of the Facilities.</w:t>
      </w:r>
    </w:p>
    <w:p>
      <w:pPr>
        <w:sectPr>
          <w:pgSz w:w="11900" w:h="16838" w:orient="portrait"/>
          <w:cols w:equalWidth="0" w:num="1">
            <w:col w:w="10700"/>
          </w:cols>
          <w:pgMar w:left="440" w:top="132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00"/>
          </w:cols>
          <w:pgMar w:left="440" w:top="1323" w:right="759" w:bottom="1440" w:gutter="0" w:footer="0" w:header="0"/>
          <w:type w:val="continuous"/>
        </w:sectPr>
      </w:pPr>
    </w:p>
    <w:bookmarkStart w:id="126" w:name="page127"/>
    <w:bookmarkEnd w:id="126"/>
    <w:p>
      <w:pPr>
        <w:ind w:left="640"/>
        <w:spacing w:after="0"/>
        <w:tabs>
          <w:tab w:leader="none" w:pos="12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Participation Report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-119380</wp:posOffset>
            </wp:positionV>
            <wp:extent cx="2540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PEC</w:t>
      </w:r>
      <w:r>
        <w:rPr>
          <w:rFonts w:ascii="Arial" w:cs="Arial" w:eastAsia="Arial" w:hAnsi="Arial"/>
          <w:sz w:val="18"/>
          <w:szCs w:val="18"/>
          <w:color w:val="auto"/>
        </w:rPr>
        <w:t>” or “</w:t>
      </w:r>
      <w:r>
        <w:rPr>
          <w:rFonts w:ascii="Arial" w:cs="Arial" w:eastAsia="Arial" w:hAnsi="Arial"/>
          <w:sz w:val="18"/>
          <w:szCs w:val="18"/>
          <w:u w:val="single" w:color="auto"/>
          <w:color w:val="auto"/>
        </w:rPr>
        <w:t>Plaintiffs’ Executive Committee</w:t>
      </w:r>
      <w:r>
        <w:rPr>
          <w:rFonts w:ascii="Arial" w:cs="Arial" w:eastAsia="Arial" w:hAnsi="Arial"/>
          <w:sz w:val="18"/>
          <w:szCs w:val="18"/>
          <w:color w:val="auto"/>
          <w:highlight w:val="white"/>
        </w:rPr>
        <w:t>” refers to and includes the following firms: Salvi, Schostok &amp; Pritchard, PC;</w:t>
      </w:r>
    </w:p>
    <w:p>
      <w:pPr>
        <w:spacing w:after="0" w:line="2" w:lineRule="exact"/>
        <w:rPr>
          <w:sz w:val="20"/>
          <w:szCs w:val="20"/>
          <w:color w:val="auto"/>
        </w:rPr>
      </w:pPr>
    </w:p>
    <w:p>
      <w:pPr>
        <w:jc w:val="both"/>
        <w:ind w:right="380"/>
        <w:spacing w:after="0" w:line="226" w:lineRule="auto"/>
        <w:rPr>
          <w:sz w:val="20"/>
          <w:szCs w:val="20"/>
          <w:color w:val="auto"/>
        </w:rPr>
      </w:pPr>
      <w:r>
        <w:rPr>
          <w:rFonts w:ascii="Arial" w:cs="Arial" w:eastAsia="Arial" w:hAnsi="Arial"/>
          <w:sz w:val="18"/>
          <w:szCs w:val="18"/>
          <w:color w:val="auto"/>
          <w:highlight w:val="white"/>
        </w:rPr>
        <w:t>Romanucci &amp; Blandin, LLC; Hart McLaughlin &amp; Eldridge, LLC; The Collins Law Firm, PC; Smith LaCien, LLP; Tomasik Kotin Kasserman, LLC; and Miner Barnhill &amp; Galland, PC.</w:t>
      </w:r>
    </w:p>
    <w:p>
      <w:pPr>
        <w:spacing w:after="0" w:line="18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 xml:space="preserve">“Pending Actions” means (i) all pending cases and appeals related to filed Claims made by Claimants, and (ii) the </w:t>
      </w:r>
      <w:r>
        <w:rPr>
          <w:rFonts w:ascii="Arial" w:cs="Arial" w:eastAsia="Arial" w:hAnsi="Arial"/>
          <w:sz w:val="16"/>
          <w:szCs w:val="16"/>
          <w:i w:val="1"/>
          <w:iCs w:val="1"/>
          <w:color w:val="auto"/>
        </w:rPr>
        <w:t>Bachoe, et al. v.</w:t>
      </w:r>
    </w:p>
    <w:p>
      <w:pPr>
        <w:spacing w:after="0"/>
        <w:rPr>
          <w:sz w:val="20"/>
          <w:szCs w:val="20"/>
          <w:color w:val="auto"/>
        </w:rPr>
      </w:pPr>
      <w:r>
        <w:rPr>
          <w:rFonts w:ascii="Arial" w:cs="Arial" w:eastAsia="Arial" w:hAnsi="Arial"/>
          <w:sz w:val="18"/>
          <w:szCs w:val="18"/>
          <w:i w:val="1"/>
          <w:iCs w:val="1"/>
          <w:color w:val="auto"/>
          <w:highlight w:val="white"/>
        </w:rPr>
        <w:t xml:space="preserve">Sotera Health Company, et al. </w:t>
      </w:r>
      <w:r>
        <w:rPr>
          <w:rFonts w:ascii="Arial" w:cs="Arial" w:eastAsia="Arial" w:hAnsi="Arial"/>
          <w:sz w:val="18"/>
          <w:szCs w:val="18"/>
          <w:color w:val="auto"/>
          <w:highlight w:val="white"/>
        </w:rPr>
        <w:t>action pending in the U.S. District Court for the Northern District of Illinois (Case No. 22-cv-06292).</w:t>
      </w:r>
    </w:p>
    <w:p>
      <w:pPr>
        <w:spacing w:after="0" w:line="205" w:lineRule="exact"/>
        <w:rPr>
          <w:sz w:val="20"/>
          <w:szCs w:val="20"/>
          <w:color w:val="auto"/>
        </w:rPr>
      </w:pPr>
    </w:p>
    <w:p>
      <w:pPr>
        <w:jc w:val="both"/>
        <w:ind w:right="400" w:firstLine="648"/>
        <w:spacing w:after="0" w:line="250"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corporation, Governmental Authority, limited liability company, other company, trust,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association, partnership, or other enterprise or entity, or the Legal Representative of any of the foregoing.</w:t>
      </w:r>
    </w:p>
    <w:p>
      <w:pPr>
        <w:spacing w:after="0" w:line="190"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7"/>
          <w:szCs w:val="17"/>
          <w:b w:val="1"/>
          <w:bCs w:val="1"/>
          <w:color w:val="auto"/>
        </w:rPr>
        <w:t xml:space="preserve">1.47 </w:t>
      </w:r>
      <w:r>
        <w:rPr>
          <w:rFonts w:ascii="Arial" w:cs="Arial" w:eastAsia="Arial" w:hAnsi="Arial"/>
          <w:sz w:val="17"/>
          <w:szCs w:val="17"/>
          <w:color w:val="auto"/>
        </w:rPr>
        <w:t>“Plaintiffs” means Persons who have asserted a Claim, including Persons who have filed or asserted a Claim since January 9, 2023,</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 xml:space="preserve">except any Persons listed on </w:t>
      </w:r>
      <w:r>
        <w:rPr>
          <w:rFonts w:ascii="Arial" w:cs="Arial" w:eastAsia="Arial" w:hAnsi="Arial"/>
          <w:sz w:val="17"/>
          <w:szCs w:val="17"/>
          <w:u w:val="single" w:color="auto"/>
          <w:color w:val="auto"/>
          <w:highlight w:val="white"/>
        </w:rPr>
        <w:t>Appendix C</w:t>
      </w:r>
      <w:r>
        <w:rPr>
          <w:rFonts w:ascii="Arial" w:cs="Arial" w:eastAsia="Arial" w:hAnsi="Arial"/>
          <w:sz w:val="17"/>
          <w:szCs w:val="17"/>
          <w:color w:val="auto"/>
          <w:highlight w:val="white"/>
        </w:rPr>
        <w:t xml:space="preserve">. As of the Effective Date, the list of Plaintiffs is set forth in </w:t>
      </w:r>
      <w:r>
        <w:rPr>
          <w:rFonts w:ascii="Arial" w:cs="Arial" w:eastAsia="Arial" w:hAnsi="Arial"/>
          <w:sz w:val="17"/>
          <w:szCs w:val="17"/>
          <w:u w:val="single" w:color="auto"/>
          <w:color w:val="auto"/>
          <w:highlight w:val="white"/>
        </w:rPr>
        <w:t>Appendix A</w:t>
      </w:r>
      <w:r>
        <w:rPr>
          <w:rFonts w:ascii="Arial" w:cs="Arial" w:eastAsia="Arial" w:hAnsi="Arial"/>
          <w:sz w:val="17"/>
          <w:szCs w:val="17"/>
          <w:color w:val="auto"/>
          <w:highlight w:val="white"/>
        </w:rPr>
        <w:t xml:space="preserve"> </w:t>
      </w:r>
      <w:r>
        <w:rPr>
          <w:rFonts w:ascii="Arial" w:cs="Arial" w:eastAsia="Arial" w:hAnsi="Arial"/>
          <w:sz w:val="17"/>
          <w:szCs w:val="17"/>
          <w:color w:val="auto"/>
        </w:rPr>
        <w:t>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-148590</wp:posOffset>
            </wp:positionV>
            <wp:extent cx="87439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74395" cy="128905"/>
                    </a:xfrm>
                    <a:prstGeom prst="rect">
                      <a:avLst/>
                    </a:prstGeom>
                    <a:noFill/>
                  </pic:spPr>
                </pic:pic>
              </a:graphicData>
            </a:graphic>
          </wp:anchor>
        </w:drawing>
      </w:r>
    </w:p>
    <w:p>
      <w:pPr>
        <w:spacing w:after="0" w:line="159" w:lineRule="exact"/>
        <w:rPr>
          <w:sz w:val="20"/>
          <w:szCs w:val="20"/>
          <w:color w:val="auto"/>
        </w:rPr>
      </w:pPr>
    </w:p>
    <w:p>
      <w:pPr>
        <w:jc w:val="both"/>
        <w:ind w:right="400" w:firstLine="648"/>
        <w:spacing w:after="0" w:line="237"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“Plaintiffs’ Counsel”</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means all of the lawyers and law firms representing Claimants, whether as part of Plaintiffs’ Executive</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 xml:space="preserve">Committee (listed in </w:t>
      </w:r>
      <w:r>
        <w:rPr>
          <w:rFonts w:ascii="Arial" w:cs="Arial" w:eastAsia="Arial" w:hAnsi="Arial"/>
          <w:sz w:val="18"/>
          <w:szCs w:val="18"/>
          <w:u w:val="single" w:color="auto"/>
          <w:color w:val="auto"/>
          <w:highlight w:val="white"/>
        </w:rPr>
        <w:t>Section 1.44</w:t>
      </w:r>
      <w:r>
        <w:rPr>
          <w:rFonts w:ascii="Arial" w:cs="Arial" w:eastAsia="Arial" w:hAnsi="Arial"/>
          <w:sz w:val="18"/>
          <w:szCs w:val="18"/>
          <w:color w:val="auto"/>
          <w:highlight w:val="white"/>
        </w:rPr>
        <w:t xml:space="preserve"> above) or Non-PEC Firms (listed on 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-24130</wp:posOffset>
            </wp:positionV>
            <wp:extent cx="5588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17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QSF Funding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-119380</wp:posOffset>
            </wp:positionV>
            <wp:extent cx="2540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QSF Funding Instruction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1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QSF Administrator</w:t>
      </w:r>
      <w:r>
        <w:rPr>
          <w:rFonts w:ascii="Arial" w:cs="Arial" w:eastAsia="Arial" w:hAnsi="Arial"/>
          <w:sz w:val="16"/>
          <w:szCs w:val="16"/>
          <w:color w:val="auto"/>
        </w:rPr>
        <w:t xml:space="preserve">” means the Person(s) selected by the PEC, as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 to perform the responsibilities assigned to the</w:t>
      </w:r>
    </w:p>
    <w:p>
      <w:pPr>
        <w:spacing w:after="0" w:line="2" w:lineRule="exact"/>
        <w:rPr>
          <w:sz w:val="20"/>
          <w:szCs w:val="20"/>
          <w:color w:val="auto"/>
        </w:rPr>
      </w:pPr>
    </w:p>
    <w:p>
      <w:pPr>
        <w:ind w:left="1300" w:right="100"/>
        <w:spacing w:after="0" w:line="226" w:lineRule="auto"/>
        <w:rPr>
          <w:sz w:val="20"/>
          <w:szCs w:val="20"/>
          <w:color w:val="auto"/>
        </w:rPr>
      </w:pPr>
      <w:r>
        <w:rPr>
          <w:rFonts w:ascii="Arial" w:cs="Arial" w:eastAsia="Arial" w:hAnsi="Arial"/>
          <w:sz w:val="18"/>
          <w:szCs w:val="18"/>
          <w:color w:val="auto"/>
        </w:rPr>
        <w:t>QSF Administrator under this Agreement (including administering the QSF (as defined herein)), and any replacement or alternate QSF Administrator should a replacement or alternate be necessary.</w:t>
      </w:r>
    </w:p>
    <w:p>
      <w:pPr>
        <w:spacing w:after="0" w:line="18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Qualified Settlement Fund</w:t>
      </w:r>
      <w:r>
        <w:rPr>
          <w:rFonts w:ascii="Arial" w:cs="Arial" w:eastAsia="Arial" w:hAnsi="Arial"/>
          <w:sz w:val="16"/>
          <w:szCs w:val="16"/>
          <w:color w:val="auto"/>
        </w:rPr>
        <w:t>” or “</w:t>
      </w:r>
      <w:r>
        <w:rPr>
          <w:rFonts w:ascii="Arial" w:cs="Arial" w:eastAsia="Arial" w:hAnsi="Arial"/>
          <w:sz w:val="16"/>
          <w:szCs w:val="16"/>
          <w:u w:val="single" w:color="auto"/>
          <w:color w:val="auto"/>
        </w:rPr>
        <w:t>QSF</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5" w:lineRule="exact"/>
        <w:rPr>
          <w:sz w:val="20"/>
          <w:szCs w:val="20"/>
          <w:color w:val="auto"/>
        </w:rPr>
      </w:pPr>
    </w:p>
    <w:p>
      <w:pPr>
        <w:jc w:val="both"/>
        <w:ind w:right="400" w:firstLine="648"/>
        <w:spacing w:after="0" w:line="250"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the form of release to be submitted by Participating Claimants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and any modified form of release necessary to conform with applicable state law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-261620</wp:posOffset>
            </wp:positionV>
            <wp:extent cx="32575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25755" cy="12890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-141605</wp:posOffset>
            </wp:positionV>
            <wp:extent cx="2540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70" w:lineRule="exact"/>
        <w:rPr>
          <w:sz w:val="20"/>
          <w:szCs w:val="20"/>
          <w:color w:val="auto"/>
        </w:rPr>
      </w:pPr>
    </w:p>
    <w:p>
      <w:pPr>
        <w:jc w:val="both"/>
        <w:ind w:right="400" w:firstLine="648"/>
        <w:spacing w:after="0" w:line="243" w:lineRule="auto"/>
        <w:rPr>
          <w:sz w:val="20"/>
          <w:szCs w:val="20"/>
          <w:color w:val="auto"/>
        </w:rPr>
      </w:pPr>
      <w:r>
        <w:rPr>
          <w:rFonts w:ascii="Arial" w:cs="Arial" w:eastAsia="Arial" w:hAnsi="Arial"/>
          <w:sz w:val="16"/>
          <w:szCs w:val="16"/>
          <w:b w:val="1"/>
          <w:bCs w:val="1"/>
          <w:color w:val="auto"/>
        </w:rPr>
        <w:t xml:space="preserve">1.54 </w:t>
      </w:r>
      <w:r>
        <w:rPr>
          <w:rFonts w:ascii="Arial" w:cs="Arial" w:eastAsia="Arial" w:hAnsi="Arial"/>
          <w:sz w:val="16"/>
          <w:szCs w:val="16"/>
          <w:color w:val="auto"/>
        </w:rPr>
        <w:t>“Released Party” or “Released Parties”</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means Sterigenics US, Sotera Health Parties (as defined herein), Warburg Pincus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GTCR, and all their affiliates, predecessors, successors, direct or indirect parents, direct or indirect subsidiaries, assigns, as well as any current, former, direct or indirect partners, managers, members, shareholders, employees, directors, officers, management companies, incorporators,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6797675" cy="4718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797675" cy="471805"/>
                    </a:xfrm>
                    <a:prstGeom prst="rect">
                      <a:avLst/>
                    </a:prstGeom>
                    <a:noFill/>
                  </pic:spPr>
                </pic:pic>
              </a:graphicData>
            </a:graphic>
          </wp:anchor>
        </w:drawing>
      </w:r>
    </w:p>
    <w:p>
      <w:pPr>
        <w:jc w:val="both"/>
        <w:ind w:right="400"/>
        <w:spacing w:after="0" w:line="218" w:lineRule="auto"/>
        <w:rPr>
          <w:sz w:val="20"/>
          <w:szCs w:val="20"/>
          <w:color w:val="auto"/>
        </w:rPr>
      </w:pPr>
      <w:r>
        <w:rPr>
          <w:rFonts w:ascii="Arial" w:cs="Arial" w:eastAsia="Arial" w:hAnsi="Arial"/>
          <w:sz w:val="18"/>
          <w:szCs w:val="18"/>
          <w:color w:val="auto"/>
        </w:rPr>
        <w:t xml:space="preserve">investors, landlords, tenants, suppliers, service providers, customers, consultants, attorneys, agents, declarants, affiants, or other representatives, including (without limitation) ***** Released Parties also refers to the Released Parties’ insurers, including (without limitation) Steadfast Insurance </w:t>
      </w:r>
      <w:r>
        <w:rPr>
          <w:rFonts w:ascii="Arial" w:cs="Arial" w:eastAsia="Arial" w:hAnsi="Arial"/>
          <w:sz w:val="18"/>
          <w:szCs w:val="18"/>
          <w:color w:val="auto"/>
          <w:highlight w:val="white"/>
        </w:rPr>
        <w:t>Company/Zurich Insurance Group and National Union/AIG.</w:t>
      </w:r>
    </w:p>
    <w:p>
      <w:pPr>
        <w:spacing w:after="0" w:line="19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Settlement Administration Expenses</w:t>
      </w:r>
      <w:r>
        <w:rPr>
          <w:rFonts w:ascii="Arial" w:cs="Arial" w:eastAsia="Arial" w:hAnsi="Arial"/>
          <w:sz w:val="17"/>
          <w:szCs w:val="17"/>
          <w:color w:val="auto"/>
        </w:rPr>
        <w:t>” means the expenses incurred in connection with the administration of the Settlement</w:t>
      </w:r>
    </w:p>
    <w:p>
      <w:pPr>
        <w:spacing w:after="0" w:line="2" w:lineRule="exact"/>
        <w:rPr>
          <w:sz w:val="20"/>
          <w:szCs w:val="20"/>
          <w:color w:val="auto"/>
        </w:rPr>
      </w:pPr>
    </w:p>
    <w:p>
      <w:pPr>
        <w:jc w:val="both"/>
        <w:ind w:right="400"/>
        <w:spacing w:after="0" w:line="226" w:lineRule="auto"/>
        <w:rPr>
          <w:sz w:val="20"/>
          <w:szCs w:val="20"/>
          <w:color w:val="auto"/>
        </w:rPr>
      </w:pPr>
      <w:r>
        <w:rPr>
          <w:rFonts w:ascii="Arial" w:cs="Arial" w:eastAsia="Arial" w:hAnsi="Arial"/>
          <w:sz w:val="18"/>
          <w:szCs w:val="18"/>
          <w:color w:val="auto"/>
        </w:rPr>
        <w:t>Program, including (without limitation) expenses associated with (i) the Claims Administrator, (ii) establishing or maintaining the Escrow Account, and (iii) establishing or maintaining the QSF.</w:t>
      </w:r>
    </w:p>
    <w:p>
      <w:pPr>
        <w:spacing w:after="0" w:line="19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Settlement Funds</w:t>
      </w:r>
      <w:r>
        <w:rPr>
          <w:rFonts w:ascii="Arial" w:cs="Arial" w:eastAsia="Arial" w:hAnsi="Arial"/>
          <w:sz w:val="16"/>
          <w:szCs w:val="16"/>
          <w:color w:val="auto"/>
          <w:highlight w:val="white"/>
        </w:rPr>
        <w:t>” has the meaning set forth in</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Section 6.1</w:t>
      </w:r>
      <w:r>
        <w:rPr>
          <w:rFonts w:ascii="Arial" w:cs="Arial" w:eastAsia="Arial" w:hAnsi="Arial"/>
          <w:sz w:val="16"/>
          <w:szCs w:val="16"/>
          <w:color w:val="auto"/>
          <w:highlight w:val="white"/>
        </w:rPr>
        <w:t>.</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Settlement Program</w:t>
      </w:r>
      <w:r>
        <w:rPr>
          <w:rFonts w:ascii="Arial" w:cs="Arial" w:eastAsia="Arial" w:hAnsi="Arial"/>
          <w:sz w:val="16"/>
          <w:szCs w:val="16"/>
          <w:color w:val="auto"/>
          <w:highlight w:val="white"/>
        </w:rPr>
        <w:t>” has the meaning set forth in</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Section 2.2</w:t>
      </w:r>
      <w:r>
        <w:rPr>
          <w:rFonts w:ascii="Arial" w:cs="Arial" w:eastAsia="Arial" w:hAnsi="Arial"/>
          <w:sz w:val="16"/>
          <w:szCs w:val="16"/>
          <w:color w:val="auto"/>
          <w:highlight w:val="white"/>
        </w:rPr>
        <w:t>.</w:t>
      </w:r>
    </w:p>
    <w:p>
      <w:pPr>
        <w:spacing w:after="0" w:line="21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Settling Defendants’ Decision to Proceed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w:t>
      </w:r>
    </w:p>
    <w:p>
      <w:pPr>
        <w:spacing w:after="0"/>
        <w:rPr>
          <w:sz w:val="20"/>
          <w:szCs w:val="20"/>
          <w:color w:val="auto"/>
        </w:rPr>
      </w:pPr>
      <w:r>
        <w:rPr>
          <w:rFonts w:ascii="Arial" w:cs="Arial" w:eastAsia="Arial" w:hAnsi="Arial"/>
          <w:sz w:val="18"/>
          <w:szCs w:val="18"/>
          <w:u w:val="single" w:color="auto"/>
          <w:color w:val="auto"/>
        </w:rPr>
        <w:t>3.6</w:t>
      </w:r>
      <w:r>
        <w:rPr>
          <w:rFonts w:ascii="Arial" w:cs="Arial" w:eastAsia="Arial" w:hAnsi="Arial"/>
          <w:sz w:val="18"/>
          <w:szCs w:val="18"/>
          <w:color w:val="auto"/>
        </w:rPr>
        <w:t>.</w:t>
      </w:r>
    </w:p>
    <w:p>
      <w:pPr>
        <w:spacing w:after="0" w:line="205" w:lineRule="exact"/>
        <w:rPr>
          <w:sz w:val="20"/>
          <w:szCs w:val="20"/>
          <w:color w:val="auto"/>
        </w:rPr>
      </w:pPr>
    </w:p>
    <w:p>
      <w:pPr>
        <w:ind w:right="4040" w:firstLine="648"/>
        <w:spacing w:after="0" w:line="312" w:lineRule="auto"/>
        <w:rPr>
          <w:sz w:val="20"/>
          <w:szCs w:val="20"/>
          <w:color w:val="auto"/>
        </w:rPr>
      </w:pPr>
      <w:r>
        <w:rPr>
          <w:rFonts w:ascii="Arial" w:cs="Arial" w:eastAsia="Arial" w:hAnsi="Arial"/>
          <w:sz w:val="16"/>
          <w:szCs w:val="16"/>
          <w:b w:val="1"/>
          <w:bCs w:val="1"/>
          <w:color w:val="auto"/>
        </w:rPr>
        <w:t xml:space="preserve">1.59 </w:t>
      </w:r>
      <w:r>
        <w:rPr>
          <w:rFonts w:ascii="Arial" w:cs="Arial" w:eastAsia="Arial" w:hAnsi="Arial"/>
          <w:sz w:val="16"/>
          <w:szCs w:val="16"/>
          <w:color w:val="auto"/>
        </w:rPr>
        <w:t>“</w:t>
      </w:r>
      <w:r>
        <w:rPr>
          <w:rFonts w:ascii="Arial" w:cs="Arial" w:eastAsia="Arial" w:hAnsi="Arial"/>
          <w:sz w:val="16"/>
          <w:szCs w:val="16"/>
          <w:u w:val="single" w:color="auto"/>
          <w:color w:val="auto"/>
        </w:rPr>
        <w:t>Sotera Health Parties</w:t>
      </w:r>
      <w:r>
        <w:rPr>
          <w:rFonts w:ascii="Arial" w:cs="Arial" w:eastAsia="Arial" w:hAnsi="Arial"/>
          <w:sz w:val="16"/>
          <w:szCs w:val="16"/>
          <w:color w:val="auto"/>
        </w:rPr>
        <w:t>” means Sotera Health Company; Sotera Health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LLC; Sotera Health LLC; Sotera Health Topco Parent, LP; and Sotera Health GP, LLC.</w:t>
      </w:r>
    </w:p>
    <w:p>
      <w:pPr>
        <w:spacing w:after="0" w:line="14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Trial Plaintiffs</w:t>
      </w:r>
      <w:r>
        <w:rPr>
          <w:rFonts w:ascii="Arial" w:cs="Arial" w:eastAsia="Arial" w:hAnsi="Arial"/>
          <w:sz w:val="16"/>
          <w:szCs w:val="16"/>
          <w:color w:val="auto"/>
        </w:rPr>
        <w:t xml:space="preserve">” means the Persons listed in </w:t>
      </w:r>
      <w:r>
        <w:rPr>
          <w:rFonts w:ascii="Arial" w:cs="Arial" w:eastAsia="Arial" w:hAnsi="Arial"/>
          <w:sz w:val="16"/>
          <w:szCs w:val="16"/>
          <w:u w:val="single" w:color="auto"/>
          <w:color w:val="auto"/>
        </w:rPr>
        <w:t>Appendix C</w:t>
      </w:r>
      <w:r>
        <w:rPr>
          <w:rFonts w:ascii="Arial" w:cs="Arial" w:eastAsia="Arial" w:hAnsi="Arial"/>
          <w:sz w:val="16"/>
          <w:szCs w:val="16"/>
          <w:color w:val="auto"/>
          <w:highlight w:val="white"/>
        </w:rPr>
        <w:t>.</w:t>
      </w:r>
    </w:p>
    <w:p>
      <w:pPr>
        <w:spacing w:after="0" w:line="22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Walk Away Right</w:t>
      </w:r>
      <w:r>
        <w:rPr>
          <w:rFonts w:ascii="Arial" w:cs="Arial" w:eastAsia="Arial" w:hAnsi="Arial"/>
          <w:sz w:val="16"/>
          <w:szCs w:val="16"/>
          <w:color w:val="auto"/>
        </w:rPr>
        <w:t>” means the option to immediately terminate and nullify this Agreement.</w:t>
      </w:r>
    </w:p>
    <w:p>
      <w:pPr>
        <w:sectPr>
          <w:pgSz w:w="11900" w:h="16838" w:orient="portrait"/>
          <w:cols w:equalWidth="0" w:num="1">
            <w:col w:w="11100"/>
          </w:cols>
          <w:pgMar w:left="440" w:top="13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00"/>
          </w:cols>
          <w:pgMar w:left="440" w:top="1323" w:right="359" w:bottom="1440" w:gutter="0" w:footer="0" w:header="0"/>
          <w:type w:val="continuous"/>
        </w:sectPr>
      </w:pPr>
    </w:p>
    <w:bookmarkStart w:id="127" w:name="page128"/>
    <w:bookmarkEnd w:id="127"/>
    <w:p>
      <w:pPr>
        <w:jc w:val="both"/>
        <w:ind w:left="4" w:right="260" w:firstLine="648"/>
        <w:spacing w:after="0" w:line="225"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7"/>
          <w:szCs w:val="17"/>
          <w:color w:val="auto"/>
        </w:rPr>
        <w:t>“Warburg Pincus”</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refers to Warburg Pincus LLC and all funds, general partners, and management companies associated with or</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 xml:space="preserve">managed by Warburg Pincus LLC or its affiliates, including (without limitation) Warburg Pincus Private Equity XI, LP; Warburg Pincus Private </w:t>
      </w:r>
      <w:r>
        <w:rPr>
          <w:rFonts w:ascii="Arial" w:cs="Arial" w:eastAsia="Arial" w:hAnsi="Arial"/>
          <w:sz w:val="17"/>
          <w:szCs w:val="17"/>
          <w:color w:val="auto"/>
        </w:rPr>
        <w:t>Equity XI-B, LP; Warburg Pincus Private Equity XI-C, LP; Warburg Pincus XI Partners, LP; WP XI Partners, LP; Warburg Pincus XI, LP; WP Global, LLC; Warburg Pincus Partners I, LP; Warburg Pincus GP LLC; Warburg Pincus (Cayman) XI, LP; Warburg Pincus XI-C, LLC;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6797675" cy="5829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797675" cy="582930"/>
                    </a:xfrm>
                    <a:prstGeom prst="rect">
                      <a:avLst/>
                    </a:prstGeom>
                    <a:noFill/>
                  </pic:spPr>
                </pic:pic>
              </a:graphicData>
            </a:graphic>
          </wp:anchor>
        </w:drawing>
      </w:r>
    </w:p>
    <w:p>
      <w:pPr>
        <w:jc w:val="both"/>
        <w:ind w:left="4" w:right="260"/>
        <w:spacing w:after="0" w:line="234" w:lineRule="auto"/>
        <w:rPr>
          <w:sz w:val="20"/>
          <w:szCs w:val="20"/>
          <w:color w:val="auto"/>
        </w:rPr>
      </w:pPr>
      <w:r>
        <w:rPr>
          <w:rFonts w:ascii="Arial" w:cs="Arial" w:eastAsia="Arial" w:hAnsi="Arial"/>
          <w:sz w:val="16"/>
          <w:szCs w:val="16"/>
          <w:color w:val="auto"/>
        </w:rPr>
        <w:t>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parents, subsidiaries,</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highlight w:val="white"/>
        </w:rPr>
        <w:t>members, officers, directors, partners, and limited partners.</w:t>
      </w:r>
    </w:p>
    <w:p>
      <w:pPr>
        <w:spacing w:after="0" w:line="205" w:lineRule="exact"/>
        <w:rPr>
          <w:sz w:val="20"/>
          <w:szCs w:val="20"/>
          <w:color w:val="auto"/>
        </w:rPr>
      </w:pPr>
    </w:p>
    <w:p>
      <w:pPr>
        <w:ind w:left="644" w:hanging="644"/>
        <w:spacing w:after="0"/>
        <w:tabs>
          <w:tab w:leader="none" w:pos="64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PROGRAM</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Number of Claimants.</w:t>
      </w:r>
    </w:p>
    <w:p>
      <w:pPr>
        <w:spacing w:after="0" w:line="215" w:lineRule="exact"/>
        <w:rPr>
          <w:rFonts w:ascii="Arial" w:cs="Arial" w:eastAsia="Arial" w:hAnsi="Arial"/>
          <w:sz w:val="18"/>
          <w:szCs w:val="18"/>
          <w:b w:val="1"/>
          <w:bCs w:val="1"/>
          <w:color w:val="auto"/>
        </w:rPr>
      </w:pPr>
    </w:p>
    <w:p>
      <w:pPr>
        <w:ind w:left="1304" w:hanging="655"/>
        <w:spacing w:after="0"/>
        <w:tabs>
          <w:tab w:leader="none" w:pos="130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PEC represents and warrants that:</w:t>
      </w:r>
    </w:p>
    <w:p>
      <w:pPr>
        <w:spacing w:after="0" w:line="225" w:lineRule="exact"/>
        <w:rPr>
          <w:rFonts w:ascii="Arial" w:cs="Arial" w:eastAsia="Arial" w:hAnsi="Arial"/>
          <w:sz w:val="18"/>
          <w:szCs w:val="18"/>
          <w:color w:val="auto"/>
        </w:rPr>
      </w:pPr>
    </w:p>
    <w:p>
      <w:pPr>
        <w:ind w:left="1944" w:right="240" w:hanging="648"/>
        <w:spacing w:after="0" w:line="235" w:lineRule="auto"/>
        <w:tabs>
          <w:tab w:leader="none" w:pos="19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 xml:space="preserve">The lists of Plaintiffs and Clients with Unfiled Claims reflected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 are complete and accurate as of the Effective Date;</w:t>
      </w:r>
    </w:p>
    <w:p>
      <w:pPr>
        <w:spacing w:after="0" w:line="202" w:lineRule="exact"/>
        <w:rPr>
          <w:rFonts w:ascii="Arial" w:cs="Arial" w:eastAsia="Arial" w:hAnsi="Arial"/>
          <w:sz w:val="18"/>
          <w:szCs w:val="18"/>
          <w:color w:val="auto"/>
        </w:rPr>
      </w:pPr>
    </w:p>
    <w:p>
      <w:pPr>
        <w:ind w:left="1944" w:right="240" w:hanging="649"/>
        <w:spacing w:after="0" w:line="246" w:lineRule="auto"/>
        <w:tabs>
          <w:tab w:leader="none" w:pos="19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 xml:space="preserve">Since January 9, 2023, the PEC has undertaken best efforts to finalize retentions of all potential clients and has updated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accordingly;</w:t>
      </w:r>
    </w:p>
    <w:p>
      <w:pPr>
        <w:spacing w:after="0" w:line="196" w:lineRule="exact"/>
        <w:rPr>
          <w:rFonts w:ascii="Arial" w:cs="Arial" w:eastAsia="Arial" w:hAnsi="Arial"/>
          <w:sz w:val="18"/>
          <w:szCs w:val="18"/>
          <w:color w:val="auto"/>
        </w:rPr>
      </w:pPr>
    </w:p>
    <w:p>
      <w:pPr>
        <w:ind w:left="1944" w:hanging="648"/>
        <w:spacing w:after="0"/>
        <w:tabs>
          <w:tab w:leader="none" w:pos="19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 xml:space="preserve">As of the Effective Date, there are 877 Claimants, as reflected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4" w:right="280" w:hanging="649"/>
        <w:spacing w:after="0" w:line="235" w:lineRule="auto"/>
        <w:tabs>
          <w:tab w:leader="none" w:pos="19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 xml:space="preserve">Members of the PEC have not been retained by any individuals with Claims other than those identified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and</w:t>
      </w:r>
    </w:p>
    <w:p>
      <w:pPr>
        <w:spacing w:after="0" w:line="202" w:lineRule="exact"/>
        <w:rPr>
          <w:rFonts w:ascii="Arial" w:cs="Arial" w:eastAsia="Arial" w:hAnsi="Arial"/>
          <w:sz w:val="18"/>
          <w:szCs w:val="18"/>
          <w:color w:val="auto"/>
        </w:rPr>
      </w:pPr>
    </w:p>
    <w:p>
      <w:pPr>
        <w:ind w:left="1944" w:right="260" w:hanging="648"/>
        <w:spacing w:after="0" w:line="235" w:lineRule="auto"/>
        <w:tabs>
          <w:tab w:leader="none" w:pos="19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 xml:space="preserve">PEC is not aware of any individuals other than those identified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who have filed or plan to file Claims.</w:t>
      </w:r>
    </w:p>
    <w:p>
      <w:pPr>
        <w:spacing w:after="0" w:line="202" w:lineRule="exact"/>
        <w:rPr>
          <w:rFonts w:ascii="Arial" w:cs="Arial" w:eastAsia="Arial" w:hAnsi="Arial"/>
          <w:sz w:val="18"/>
          <w:szCs w:val="18"/>
          <w:color w:val="auto"/>
        </w:rPr>
      </w:pPr>
    </w:p>
    <w:p>
      <w:pPr>
        <w:jc w:val="both"/>
        <w:ind w:left="1304" w:right="240" w:hanging="669"/>
        <w:spacing w:after="0" w:line="223" w:lineRule="auto"/>
        <w:tabs>
          <w:tab w:leader="none" w:pos="13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Settling Defendants may exercise a Walk Away Right if (x) the Claims Administrator determines that 40 or more Claimants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invalid or frivolous claims or are otherwise not entitled to any recovery, or (y) before the QSF Funding Date, Settling Defendants learn of more than five other Persons alleging Claims who are represented by Plaintiffs’ Counsel but are not listed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1284" w:hanging="636"/>
        <w:spacing w:after="0"/>
        <w:tabs>
          <w:tab w:leader="none" w:pos="128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Any dispute related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resolved by the Mediator, whose resolution of the dispute shall be final.</w:t>
      </w:r>
    </w:p>
    <w:p>
      <w:pPr>
        <w:spacing w:after="0" w:line="221"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Settlement Program. </w:t>
      </w:r>
      <w:r>
        <w:rPr>
          <w:rFonts w:ascii="Arial" w:cs="Arial" w:eastAsia="Arial" w:hAnsi="Arial"/>
          <w:sz w:val="16"/>
          <w:szCs w:val="16"/>
          <w:color w:val="auto"/>
        </w:rPr>
        <w:t>The Parties agree and acknowledge that a program has been established to facilitate Claimant participation in</w:t>
      </w:r>
    </w:p>
    <w:p>
      <w:pPr>
        <w:spacing w:after="0" w:line="2" w:lineRule="exact"/>
        <w:rPr>
          <w:sz w:val="20"/>
          <w:szCs w:val="20"/>
          <w:color w:val="auto"/>
        </w:rPr>
      </w:pPr>
    </w:p>
    <w:p>
      <w:pPr>
        <w:jc w:val="both"/>
        <w:ind w:left="4" w:right="260"/>
        <w:spacing w:after="0" w:line="234" w:lineRule="auto"/>
        <w:rPr>
          <w:sz w:val="20"/>
          <w:szCs w:val="20"/>
          <w:color w:val="auto"/>
        </w:rPr>
      </w:pPr>
      <w:r>
        <w:rPr>
          <w:rFonts w:ascii="Arial" w:cs="Arial" w:eastAsia="Arial" w:hAnsi="Arial"/>
          <w:sz w:val="16"/>
          <w:szCs w:val="16"/>
          <w:color w:val="auto"/>
        </w:rPr>
        <w:t>the settlement (the “</w:t>
      </w:r>
      <w:r>
        <w:rPr>
          <w:rFonts w:ascii="Arial" w:cs="Arial" w:eastAsia="Arial" w:hAnsi="Arial"/>
          <w:sz w:val="16"/>
          <w:szCs w:val="16"/>
          <w:u w:val="single" w:color="auto"/>
          <w:color w:val="auto"/>
        </w:rPr>
        <w:t>Settlement Program</w:t>
      </w:r>
      <w:r>
        <w:rPr>
          <w:rFonts w:ascii="Arial" w:cs="Arial" w:eastAsia="Arial" w:hAnsi="Arial"/>
          <w:sz w:val="16"/>
          <w:szCs w:val="16"/>
          <w:color w:val="auto"/>
        </w:rPr>
        <w:t>”). The Settlement Program includes a Claims Administrator who will serve in a capacity as determined by the PEC, to include evaluating appropriate documentation and applying a claim valuation formula or matrix to determine each Participating Claimant’s settlement allocation amount. The Settlement Program shall also include a QSF Administrator who will be responsible for distributing</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settlement allocation amount to each Participating Claimant.</w:t>
      </w:r>
    </w:p>
    <w:p>
      <w:pPr>
        <w:spacing w:after="0" w:line="184"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 xml:space="preserve">Participating Law Firms. </w:t>
      </w:r>
      <w:r>
        <w:rPr>
          <w:rFonts w:ascii="Arial" w:cs="Arial" w:eastAsia="Arial" w:hAnsi="Arial"/>
          <w:sz w:val="16"/>
          <w:szCs w:val="16"/>
          <w:color w:val="auto"/>
        </w:rPr>
        <w:t>By participating in the Settlement Program and obtaining a settlement allocation for a client who is listed on</w:t>
      </w:r>
    </w:p>
    <w:p>
      <w:pPr>
        <w:ind w:left="4"/>
        <w:spacing w:after="0"/>
        <w:rPr>
          <w:sz w:val="20"/>
          <w:szCs w:val="20"/>
          <w:color w:val="auto"/>
        </w:rPr>
      </w:pP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 Non-PEC Firm agrees to:</w:t>
      </w:r>
    </w:p>
    <w:p>
      <w:pPr>
        <w:spacing w:after="0" w:line="209" w:lineRule="exact"/>
        <w:rPr>
          <w:sz w:val="20"/>
          <w:szCs w:val="20"/>
          <w:color w:val="auto"/>
        </w:rPr>
      </w:pPr>
    </w:p>
    <w:p>
      <w:pPr>
        <w:ind w:left="1284" w:hanging="636"/>
        <w:spacing w:after="0"/>
        <w:tabs>
          <w:tab w:leader="none" w:pos="128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Settlement Program procedures; and</w:t>
      </w:r>
    </w:p>
    <w:p>
      <w:pPr>
        <w:spacing w:after="0" w:line="225" w:lineRule="exact"/>
        <w:rPr>
          <w:rFonts w:ascii="Arial" w:cs="Arial" w:eastAsia="Arial" w:hAnsi="Arial"/>
          <w:sz w:val="18"/>
          <w:szCs w:val="18"/>
          <w:color w:val="auto"/>
        </w:rPr>
      </w:pPr>
    </w:p>
    <w:p>
      <w:pPr>
        <w:ind w:left="1304" w:right="260" w:hanging="656"/>
        <w:spacing w:after="0" w:line="258" w:lineRule="auto"/>
        <w:tabs>
          <w:tab w:leader="none" w:pos="1298"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execute and deliver to the Settling Defendants an Instrument of Joinder substantially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which shall bind the Non- PEC Firm to all the terms and conditions of this Agreement applicable to the PEC.</w:t>
      </w:r>
    </w:p>
    <w:p>
      <w:pPr>
        <w:spacing w:after="0" w:line="183" w:lineRule="exact"/>
        <w:rPr>
          <w:rFonts w:ascii="Arial" w:cs="Arial" w:eastAsia="Arial" w:hAnsi="Arial"/>
          <w:sz w:val="17"/>
          <w:szCs w:val="17"/>
          <w:color w:val="auto"/>
        </w:rPr>
      </w:pPr>
    </w:p>
    <w:p>
      <w:pPr>
        <w:ind w:left="644" w:hanging="644"/>
        <w:spacing w:after="0"/>
        <w:tabs>
          <w:tab w:leader="none" w:pos="64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CLAIMANT PARTICIPATION</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3.1.   Eligibility</w:t>
      </w:r>
      <w:r>
        <w:rPr>
          <w:rFonts w:ascii="Arial" w:cs="Arial" w:eastAsia="Arial" w:hAnsi="Arial"/>
          <w:sz w:val="17"/>
          <w:szCs w:val="17"/>
          <w:color w:val="auto"/>
        </w:rPr>
        <w:t>. All Claimants listed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Appendix A</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b w:val="1"/>
          <w:bCs w:val="1"/>
          <w:color w:val="auto"/>
        </w:rPr>
        <w:t xml:space="preserve"> </w:t>
      </w:r>
      <w:r>
        <w:rPr>
          <w:rFonts w:ascii="Arial" w:cs="Arial" w:eastAsia="Arial" w:hAnsi="Arial"/>
          <w:sz w:val="17"/>
          <w:szCs w:val="17"/>
          <w:color w:val="auto"/>
        </w:rPr>
        <w:t>are potentially eligible to participate in the Settlement Program, subject to the</w:t>
      </w:r>
    </w:p>
    <w:p>
      <w:pPr>
        <w:ind w:left="4"/>
        <w:spacing w:after="0" w:line="232" w:lineRule="auto"/>
        <w:rPr>
          <w:sz w:val="20"/>
          <w:szCs w:val="20"/>
          <w:color w:val="auto"/>
        </w:rPr>
      </w:pPr>
      <w:r>
        <w:rPr>
          <w:rFonts w:ascii="Arial" w:cs="Arial" w:eastAsia="Arial" w:hAnsi="Arial"/>
          <w:sz w:val="17"/>
          <w:szCs w:val="17"/>
          <w:color w:val="auto"/>
        </w:rPr>
        <w:t>agreement of their respective lawyers or law firm representatives to the requirements of Section 2.3. The Claims Administrator must determine an</w:t>
      </w:r>
    </w:p>
    <w:p>
      <w:pPr>
        <w:jc w:val="both"/>
        <w:ind w:left="4" w:right="260"/>
        <w:spacing w:after="0" w:line="234" w:lineRule="auto"/>
        <w:rPr>
          <w:sz w:val="20"/>
          <w:szCs w:val="20"/>
          <w:color w:val="auto"/>
        </w:rPr>
      </w:pPr>
      <w:r>
        <w:rPr>
          <w:rFonts w:ascii="Arial" w:cs="Arial" w:eastAsia="Arial" w:hAnsi="Arial"/>
          <w:sz w:val="16"/>
          <w:szCs w:val="16"/>
          <w:color w:val="auto"/>
        </w:rPr>
        <w:t>individual allocation amount for each Claimant, unless the Claims Administrator determines the Claimant’s claim is invalid, frivolous, or otherwise not entitled to any recovery. Plaintiffs’ Counsel agrees to take all necessary and appropriate steps to ensure that all required documentation under the Settlement Program is executed by the Claimant (or, if applicable, the Claimant’s Legal Representative). If, during the pendency of the Settlement</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Program, any Claimant can no longer lawfully</w:t>
      </w:r>
    </w:p>
    <w:p>
      <w:pPr>
        <w:sectPr>
          <w:pgSz w:w="11900" w:h="16838" w:orient="portrait"/>
          <w:cols w:equalWidth="0" w:num="1">
            <w:col w:w="10964"/>
          </w:cols>
          <w:pgMar w:left="436" w:top="14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64"/>
          </w:cols>
          <w:pgMar w:left="436" w:top="1404" w:right="499" w:bottom="1440" w:gutter="0" w:footer="0" w:header="0"/>
          <w:type w:val="continuous"/>
        </w:sectPr>
      </w:pPr>
    </w:p>
    <w:bookmarkStart w:id="128" w:name="page129"/>
    <w:bookmarkEnd w:id="128"/>
    <w:p>
      <w:pPr>
        <w:ind w:left="4"/>
        <w:spacing w:after="0"/>
        <w:rPr>
          <w:sz w:val="20"/>
          <w:szCs w:val="20"/>
          <w:color w:val="auto"/>
        </w:rPr>
      </w:pPr>
      <w:r>
        <w:rPr>
          <w:rFonts w:ascii="Arial" w:cs="Arial" w:eastAsia="Arial" w:hAnsi="Arial"/>
          <w:sz w:val="17"/>
          <w:szCs w:val="17"/>
          <w:color w:val="auto"/>
        </w:rPr>
        <w:t>execute the required documentation (e.g., due to death, incapacity, or otherwise), Plaintiffs’ Counsel agrees to (i) promptly notify the Settling</w:t>
      </w:r>
    </w:p>
    <w:p>
      <w:pPr>
        <w:spacing w:after="0" w:line="10" w:lineRule="exact"/>
        <w:rPr>
          <w:sz w:val="20"/>
          <w:szCs w:val="20"/>
          <w:color w:val="auto"/>
        </w:rPr>
      </w:pPr>
    </w:p>
    <w:p>
      <w:pPr>
        <w:ind w:left="4" w:right="300"/>
        <w:spacing w:after="0" w:line="226" w:lineRule="auto"/>
        <w:rPr>
          <w:sz w:val="20"/>
          <w:szCs w:val="20"/>
          <w:color w:val="auto"/>
        </w:rPr>
      </w:pPr>
      <w:r>
        <w:rPr>
          <w:rFonts w:ascii="Arial" w:cs="Arial" w:eastAsia="Arial" w:hAnsi="Arial"/>
          <w:sz w:val="18"/>
          <w:szCs w:val="18"/>
          <w:color w:val="auto"/>
        </w:rPr>
        <w:t>Defendants and (ii) take all necessary and appropriate steps to ensure that such Claimant’s required documentation is lawfully executed by the Claimant’s Legal Representative.</w:t>
      </w:r>
    </w:p>
    <w:p>
      <w:pPr>
        <w:spacing w:after="0" w:line="198" w:lineRule="exact"/>
        <w:rPr>
          <w:sz w:val="20"/>
          <w:szCs w:val="20"/>
          <w:color w:val="auto"/>
        </w:rPr>
      </w:pPr>
    </w:p>
    <w:p>
      <w:pPr>
        <w:ind w:left="4" w:right="180" w:firstLine="648"/>
        <w:spacing w:after="0" w:line="237" w:lineRule="auto"/>
        <w:rPr>
          <w:sz w:val="20"/>
          <w:szCs w:val="20"/>
          <w:color w:val="auto"/>
        </w:rPr>
      </w:pPr>
      <w:r>
        <w:rPr>
          <w:rFonts w:ascii="Arial" w:cs="Arial" w:eastAsia="Arial" w:hAnsi="Arial"/>
          <w:sz w:val="18"/>
          <w:szCs w:val="18"/>
          <w:b w:val="1"/>
          <w:bCs w:val="1"/>
          <w:color w:val="auto"/>
        </w:rPr>
        <w:t>3.2. Assessment</w:t>
      </w:r>
      <w:r>
        <w:rPr>
          <w:rFonts w:ascii="Arial" w:cs="Arial" w:eastAsia="Arial" w:hAnsi="Arial"/>
          <w:sz w:val="18"/>
          <w:szCs w:val="18"/>
          <w:color w:val="auto"/>
        </w:rPr>
        <w:t>. No later than three Business Days after the Opt In Deadline, PEC will confer with the Claims Administrator to prepare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list of:</w:t>
      </w:r>
    </w:p>
    <w:p>
      <w:pPr>
        <w:spacing w:after="0" w:line="203" w:lineRule="exact"/>
        <w:rPr>
          <w:sz w:val="20"/>
          <w:szCs w:val="20"/>
          <w:color w:val="auto"/>
        </w:rPr>
      </w:pPr>
    </w:p>
    <w:p>
      <w:pPr>
        <w:ind w:left="1284" w:hanging="636"/>
        <w:spacing w:after="0"/>
        <w:tabs>
          <w:tab w:leader="none" w:pos="128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Participating Claimants;</w:t>
      </w:r>
    </w:p>
    <w:p>
      <w:pPr>
        <w:spacing w:after="0" w:line="225" w:lineRule="exact"/>
        <w:rPr>
          <w:rFonts w:ascii="Arial" w:cs="Arial" w:eastAsia="Arial" w:hAnsi="Arial"/>
          <w:sz w:val="18"/>
          <w:szCs w:val="18"/>
          <w:color w:val="auto"/>
        </w:rPr>
      </w:pPr>
    </w:p>
    <w:p>
      <w:pPr>
        <w:ind w:left="1304" w:right="300" w:hanging="656"/>
        <w:spacing w:after="0" w:line="235" w:lineRule="auto"/>
        <w:tabs>
          <w:tab w:leader="none" w:pos="129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Claimants who have indicated that they have declined to accept their settlement allocation or the terms of the Release (each, an “</w:t>
      </w:r>
      <w:r>
        <w:rPr>
          <w:rFonts w:ascii="Arial" w:cs="Arial" w:eastAsia="Arial" w:hAnsi="Arial"/>
          <w:sz w:val="18"/>
          <w:szCs w:val="18"/>
          <w:u w:val="single" w:color="auto"/>
          <w:color w:val="auto"/>
        </w:rPr>
        <w:t>Opt-Out Claimant</w:t>
      </w:r>
      <w:r>
        <w:rPr>
          <w:rFonts w:ascii="Arial" w:cs="Arial" w:eastAsia="Arial" w:hAnsi="Arial"/>
          <w:sz w:val="18"/>
          <w:szCs w:val="18"/>
          <w:color w:val="auto"/>
        </w:rPr>
        <w:t>”); and</w:t>
      </w:r>
    </w:p>
    <w:p>
      <w:pPr>
        <w:spacing w:after="0" w:line="202" w:lineRule="exact"/>
        <w:rPr>
          <w:rFonts w:ascii="Arial" w:cs="Arial" w:eastAsia="Arial" w:hAnsi="Arial"/>
          <w:sz w:val="18"/>
          <w:szCs w:val="18"/>
          <w:color w:val="auto"/>
        </w:rPr>
      </w:pPr>
    </w:p>
    <w:p>
      <w:pPr>
        <w:jc w:val="both"/>
        <w:ind w:left="1304" w:right="300" w:hanging="656"/>
        <w:spacing w:after="0" w:line="245" w:lineRule="auto"/>
        <w:tabs>
          <w:tab w:leader="none" w:pos="13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Claimants whose status is unclear (for example, because Plaintiffs’ Counsel can no longer locate the Claimant or because the Claimant has ceased communicating with Plaintiffs’ Counsel) or Claimants whose claims have been determined by the Claims Administrator to be invalid, frivolous, or otherwise not entitled to any recovery (each, a “</w:t>
      </w:r>
      <w:r>
        <w:rPr>
          <w:rFonts w:ascii="Arial" w:cs="Arial" w:eastAsia="Arial" w:hAnsi="Arial"/>
          <w:sz w:val="17"/>
          <w:szCs w:val="17"/>
          <w:u w:val="single" w:color="auto"/>
          <w:color w:val="auto"/>
        </w:rPr>
        <w:t>Non-Participating Claimant</w:t>
      </w:r>
      <w:r>
        <w:rPr>
          <w:rFonts w:ascii="Arial" w:cs="Arial" w:eastAsia="Arial" w:hAnsi="Arial"/>
          <w:sz w:val="17"/>
          <w:szCs w:val="17"/>
          <w:color w:val="auto"/>
        </w:rPr>
        <w:t>”).</w:t>
      </w:r>
    </w:p>
    <w:p>
      <w:pPr>
        <w:spacing w:after="0" w:line="198" w:lineRule="exact"/>
        <w:rPr>
          <w:sz w:val="20"/>
          <w:szCs w:val="20"/>
          <w:color w:val="auto"/>
        </w:rPr>
      </w:pPr>
    </w:p>
    <w:p>
      <w:pPr>
        <w:jc w:val="both"/>
        <w:ind w:left="4" w:right="300"/>
        <w:spacing w:after="0" w:line="235" w:lineRule="auto"/>
        <w:rPr>
          <w:sz w:val="20"/>
          <w:szCs w:val="20"/>
          <w:color w:val="auto"/>
        </w:rPr>
      </w:pPr>
      <w:r>
        <w:rPr>
          <w:rFonts w:ascii="Arial" w:cs="Arial" w:eastAsia="Arial" w:hAnsi="Arial"/>
          <w:sz w:val="18"/>
          <w:szCs w:val="18"/>
          <w:color w:val="auto"/>
        </w:rPr>
        <w:t>The written list (the “</w:t>
      </w:r>
      <w:r>
        <w:rPr>
          <w:rFonts w:ascii="Arial" w:cs="Arial" w:eastAsia="Arial" w:hAnsi="Arial"/>
          <w:sz w:val="18"/>
          <w:szCs w:val="18"/>
          <w:u w:val="single" w:color="auto"/>
          <w:color w:val="auto"/>
        </w:rPr>
        <w:t>Participation Report</w:t>
      </w:r>
      <w:r>
        <w:rPr>
          <w:rFonts w:ascii="Arial" w:cs="Arial" w:eastAsia="Arial" w:hAnsi="Arial"/>
          <w:sz w:val="18"/>
          <w:szCs w:val="18"/>
          <w:color w:val="auto"/>
        </w:rPr>
        <w:t>”) shall be provided to the Settling Defendants no later than five Business Days after the Opt In Deadline (the “</w:t>
      </w:r>
      <w:r>
        <w:rPr>
          <w:rFonts w:ascii="Arial" w:cs="Arial" w:eastAsia="Arial" w:hAnsi="Arial"/>
          <w:sz w:val="18"/>
          <w:szCs w:val="18"/>
          <w:u w:val="single" w:color="auto"/>
          <w:color w:val="auto"/>
        </w:rPr>
        <w:t>Opt In Reporting Deadline</w:t>
      </w:r>
      <w:r>
        <w:rPr>
          <w:rFonts w:ascii="Arial" w:cs="Arial" w:eastAsia="Arial" w:hAnsi="Arial"/>
          <w:sz w:val="18"/>
          <w:szCs w:val="18"/>
          <w:color w:val="auto"/>
        </w:rPr>
        <w:t>”).</w:t>
      </w:r>
    </w:p>
    <w:p>
      <w:pPr>
        <w:spacing w:after="0" w:line="23" w:lineRule="exact"/>
        <w:rPr>
          <w:sz w:val="20"/>
          <w:szCs w:val="20"/>
          <w:color w:val="auto"/>
        </w:rPr>
      </w:pPr>
    </w:p>
    <w:p>
      <w:pPr>
        <w:jc w:val="both"/>
        <w:ind w:left="4" w:right="300" w:firstLine="648"/>
        <w:spacing w:after="0" w:line="229" w:lineRule="auto"/>
        <w:rPr>
          <w:sz w:val="20"/>
          <w:szCs w:val="20"/>
          <w:color w:val="auto"/>
        </w:rPr>
      </w:pPr>
      <w:r>
        <w:rPr>
          <w:rFonts w:ascii="Arial" w:cs="Arial" w:eastAsia="Arial" w:hAnsi="Arial"/>
          <w:sz w:val="17"/>
          <w:szCs w:val="17"/>
          <w:b w:val="1"/>
          <w:bCs w:val="1"/>
          <w:color w:val="auto"/>
        </w:rPr>
        <w:t xml:space="preserve">3.3. Participating Claimants. </w:t>
      </w:r>
      <w:r>
        <w:rPr>
          <w:rFonts w:ascii="Arial" w:cs="Arial" w:eastAsia="Arial" w:hAnsi="Arial"/>
          <w:sz w:val="17"/>
          <w:szCs w:val="17"/>
          <w:color w:val="auto"/>
        </w:rPr>
        <w:t>In order to Opt In to the settlement and accept their settlement offer through the Settlement Program, a</w:t>
      </w:r>
      <w:r>
        <w:rPr>
          <w:rFonts w:ascii="Arial" w:cs="Arial" w:eastAsia="Arial" w:hAnsi="Arial"/>
          <w:sz w:val="17"/>
          <w:szCs w:val="17"/>
          <w:b w:val="1"/>
          <w:bCs w:val="1"/>
          <w:color w:val="auto"/>
        </w:rPr>
        <w:t xml:space="preserve"> </w:t>
      </w:r>
      <w:r>
        <w:rPr>
          <w:rFonts w:ascii="Arial" w:cs="Arial" w:eastAsia="Arial" w:hAnsi="Arial"/>
          <w:sz w:val="17"/>
          <w:szCs w:val="17"/>
          <w:color w:val="auto"/>
        </w:rPr>
        <w:t>Claimant must provide to the Claims Administrator on or before the Opt In Deadline (i) an Opt In Form; (ii) Release; and (iii) a Declaration of Counsel signed under penalty of perjury, each complete and properly and fully executed as specified therein. An Opt In Form and Release are</w:t>
      </w:r>
    </w:p>
    <w:p>
      <w:pPr>
        <w:jc w:val="both"/>
        <w:ind w:left="4" w:right="300"/>
        <w:spacing w:after="0" w:line="231" w:lineRule="auto"/>
        <w:rPr>
          <w:sz w:val="20"/>
          <w:szCs w:val="20"/>
          <w:color w:val="auto"/>
        </w:rPr>
      </w:pPr>
      <w:r>
        <w:rPr>
          <w:rFonts w:ascii="Arial" w:cs="Arial" w:eastAsia="Arial" w:hAnsi="Arial"/>
          <w:sz w:val="17"/>
          <w:szCs w:val="17"/>
          <w:color w:val="auto"/>
        </w:rPr>
        <w:t xml:space="preserve">irrevocable upon their receipt by the Claims Administrator, except that if Settling Defendants exercise a Walk Away Right, each Opt In Form and Release will be null and void </w:t>
      </w:r>
      <w:r>
        <w:rPr>
          <w:rFonts w:ascii="Arial" w:cs="Arial" w:eastAsia="Arial" w:hAnsi="Arial"/>
          <w:sz w:val="17"/>
          <w:szCs w:val="17"/>
          <w:i w:val="1"/>
          <w:iCs w:val="1"/>
          <w:color w:val="auto"/>
        </w:rPr>
        <w:t>nunc pro tunc</w:t>
      </w:r>
      <w:r>
        <w:rPr>
          <w:rFonts w:ascii="Arial" w:cs="Arial" w:eastAsia="Arial" w:hAnsi="Arial"/>
          <w:sz w:val="17"/>
          <w:szCs w:val="17"/>
          <w:color w:val="auto"/>
        </w:rPr>
        <w:t xml:space="preserve"> and returned to Plaintiffs’ Counsel. On the Opt In Reporting Deadline, the Claims Administrator will provide to Settling Defendants each Participating Claimant’s Opt In Form, Release, and Declaration of Counsel.</w:t>
      </w:r>
    </w:p>
    <w:p>
      <w:pPr>
        <w:spacing w:after="0" w:line="199" w:lineRule="exact"/>
        <w:rPr>
          <w:sz w:val="20"/>
          <w:szCs w:val="20"/>
          <w:color w:val="auto"/>
        </w:rPr>
      </w:pPr>
    </w:p>
    <w:p>
      <w:pPr>
        <w:jc w:val="both"/>
        <w:ind w:left="4" w:right="300" w:firstLine="648"/>
        <w:spacing w:after="0" w:line="250" w:lineRule="auto"/>
        <w:rPr>
          <w:sz w:val="20"/>
          <w:szCs w:val="20"/>
          <w:color w:val="auto"/>
        </w:rPr>
      </w:pPr>
      <w:r>
        <w:rPr>
          <w:rFonts w:ascii="Arial" w:cs="Arial" w:eastAsia="Arial" w:hAnsi="Arial"/>
          <w:sz w:val="16"/>
          <w:szCs w:val="16"/>
          <w:b w:val="1"/>
          <w:bCs w:val="1"/>
          <w:color w:val="auto"/>
        </w:rPr>
        <w:t xml:space="preserve">3.4. Opt-Out Claimants. </w:t>
      </w:r>
      <w:r>
        <w:rPr>
          <w:rFonts w:ascii="Arial" w:cs="Arial" w:eastAsia="Arial" w:hAnsi="Arial"/>
          <w:sz w:val="16"/>
          <w:szCs w:val="16"/>
          <w:color w:val="auto"/>
        </w:rPr>
        <w:t>For each Opt-Out Claimant, within fifteen days after the Opt In Deadline, the relevant Plaintiff’s Counsel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and provide to Settling Defendants a Claimant Fact Sheet and, to the extent applicable, the Mental Health Addendum, for the Opt-Out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Claimant.</w:t>
      </w:r>
    </w:p>
    <w:p>
      <w:pPr>
        <w:spacing w:after="0" w:line="205" w:lineRule="exact"/>
        <w:rPr>
          <w:sz w:val="20"/>
          <w:szCs w:val="20"/>
          <w:color w:val="auto"/>
        </w:rPr>
      </w:pPr>
    </w:p>
    <w:p>
      <w:pPr>
        <w:jc w:val="both"/>
        <w:ind w:left="4" w:right="300" w:firstLine="648"/>
        <w:spacing w:after="0" w:line="239" w:lineRule="auto"/>
        <w:rPr>
          <w:sz w:val="20"/>
          <w:szCs w:val="20"/>
          <w:color w:val="auto"/>
        </w:rPr>
      </w:pPr>
      <w:r>
        <w:rPr>
          <w:rFonts w:ascii="Arial" w:cs="Arial" w:eastAsia="Arial" w:hAnsi="Arial"/>
          <w:sz w:val="17"/>
          <w:szCs w:val="17"/>
          <w:b w:val="1"/>
          <w:bCs w:val="1"/>
          <w:color w:val="auto"/>
        </w:rPr>
        <w:t xml:space="preserve">3.5. Non-Participating Claimant. </w:t>
      </w:r>
      <w:r>
        <w:rPr>
          <w:rFonts w:ascii="Arial" w:cs="Arial" w:eastAsia="Arial" w:hAnsi="Arial"/>
          <w:sz w:val="17"/>
          <w:szCs w:val="17"/>
          <w:color w:val="auto"/>
        </w:rPr>
        <w:t>For each Non-Participating Claimant, within fifteen days after the Opt In Deadline, that Plaintiff’s</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will complete and provide to Settling Defendants a Claimant Fact Sheet and, to the extent applicable, the Mental Health Addendum for the Non-Participating Claimant, to the best of Plaintiff’s Counsel’s ability based on information in their possession.</w:t>
      </w:r>
    </w:p>
    <w:p>
      <w:pPr>
        <w:spacing w:after="0" w:line="199"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 xml:space="preserve">Review of Participation Report; Binding Participating Claimants. </w:t>
      </w:r>
      <w:r>
        <w:rPr>
          <w:rFonts w:ascii="Arial" w:cs="Arial" w:eastAsia="Arial" w:hAnsi="Arial"/>
          <w:sz w:val="17"/>
          <w:szCs w:val="17"/>
          <w:color w:val="auto"/>
        </w:rPr>
        <w:t>Following receipt of the Participation Report and all</w:t>
      </w:r>
    </w:p>
    <w:p>
      <w:pPr>
        <w:spacing w:after="0" w:line="2" w:lineRule="exact"/>
        <w:rPr>
          <w:sz w:val="20"/>
          <w:szCs w:val="20"/>
          <w:color w:val="auto"/>
        </w:rPr>
      </w:pPr>
    </w:p>
    <w:p>
      <w:pPr>
        <w:jc w:val="both"/>
        <w:ind w:left="4" w:right="300"/>
        <w:spacing w:after="0" w:line="234" w:lineRule="auto"/>
        <w:rPr>
          <w:sz w:val="20"/>
          <w:szCs w:val="20"/>
          <w:color w:val="auto"/>
        </w:rPr>
      </w:pPr>
      <w:r>
        <w:rPr>
          <w:rFonts w:ascii="Arial" w:cs="Arial" w:eastAsia="Arial" w:hAnsi="Arial"/>
          <w:sz w:val="16"/>
          <w:szCs w:val="16"/>
          <w:color w:val="auto"/>
        </w:rPr>
        <w:t>Claimant Fact Sheet(s) and Mental Health Addenda for Opt-Out Claimants and Non-Participating Claimants, Settling Defendants shall have fifteen days to evaluate the information provided and determine whether to (x) exercise a Walk Away Right or (y) proceed with the settlement, thereby waiving the Walk Away Right with respect to the Participation Benchmarks. If the Settling Defendants determine to proceed with the settlement</w:t>
      </w:r>
    </w:p>
    <w:p>
      <w:pPr>
        <w:spacing w:after="0" w:line="2" w:lineRule="exact"/>
        <w:rPr>
          <w:sz w:val="20"/>
          <w:szCs w:val="20"/>
          <w:color w:val="auto"/>
        </w:rPr>
      </w:pPr>
    </w:p>
    <w:p>
      <w:pPr>
        <w:jc w:val="both"/>
        <w:ind w:left="4" w:right="300"/>
        <w:spacing w:after="0" w:line="234" w:lineRule="auto"/>
        <w:rPr>
          <w:sz w:val="20"/>
          <w:szCs w:val="20"/>
          <w:color w:val="auto"/>
        </w:rPr>
      </w:pPr>
      <w:r>
        <w:rPr>
          <w:rFonts w:ascii="Arial" w:cs="Arial" w:eastAsia="Arial" w:hAnsi="Arial"/>
          <w:sz w:val="16"/>
          <w:szCs w:val="16"/>
          <w:color w:val="auto"/>
        </w:rPr>
        <w:t>(such determination, the “</w:t>
      </w:r>
      <w:r>
        <w:rPr>
          <w:rFonts w:ascii="Arial" w:cs="Arial" w:eastAsia="Arial" w:hAnsi="Arial"/>
          <w:sz w:val="16"/>
          <w:szCs w:val="16"/>
          <w:u w:val="single" w:color="auto"/>
          <w:color w:val="auto"/>
        </w:rPr>
        <w:t>Settling Defendants’ Decision to Proceed</w:t>
      </w:r>
      <w:r>
        <w:rPr>
          <w:rFonts w:ascii="Arial" w:cs="Arial" w:eastAsia="Arial" w:hAnsi="Arial"/>
          <w:sz w:val="16"/>
          <w:szCs w:val="16"/>
          <w:color w:val="auto"/>
        </w:rPr>
        <w:t>”), each Participating Claimant’s release of Claims becomes effective on the QSF Funding Date. Settling Defendants may ask the Mediator to grant a fifteen-day extension of the time to make Settling Defendants’ Decision to Proceed, in order to further evaluate the Participation Report and all Claimant Fact Sheet(s) and Mental Health Addenda for each Opt-Out Claimant</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Non-Participating Claimant.</w:t>
      </w:r>
    </w:p>
    <w:p>
      <w:pPr>
        <w:spacing w:after="0" w:line="192" w:lineRule="exact"/>
        <w:rPr>
          <w:sz w:val="20"/>
          <w:szCs w:val="20"/>
          <w:color w:val="auto"/>
        </w:rPr>
      </w:pPr>
    </w:p>
    <w:p>
      <w:pPr>
        <w:ind w:left="4" w:firstLine="648"/>
        <w:spacing w:after="0" w:line="220" w:lineRule="auto"/>
        <w:rPr>
          <w:sz w:val="20"/>
          <w:szCs w:val="20"/>
          <w:color w:val="auto"/>
        </w:rPr>
      </w:pPr>
      <w:r>
        <w:rPr>
          <w:rFonts w:ascii="Arial" w:cs="Arial" w:eastAsia="Arial" w:hAnsi="Arial"/>
          <w:sz w:val="18"/>
          <w:szCs w:val="18"/>
          <w:b w:val="1"/>
          <w:bCs w:val="1"/>
          <w:color w:val="auto"/>
        </w:rPr>
        <w:t xml:space="preserve">3.7. Jurisdiction. </w:t>
      </w:r>
      <w:r>
        <w:rPr>
          <w:rFonts w:ascii="Arial" w:cs="Arial" w:eastAsia="Arial" w:hAnsi="Arial"/>
          <w:sz w:val="18"/>
          <w:szCs w:val="18"/>
          <w:color w:val="auto"/>
        </w:rPr>
        <w:t>Opting In to the settlement by a Claimant shall constitute the Claimant’s affirmative acceptance of the jurisdiction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Circuit Court of Cook County, Illinois for all matters and decisions relative to this Agreement and all related agreements (including, without limitation, the Release and Escrow Agreement), except to the extent the Parties have agreed to submit certain disputes to the Mediator as expressly provided by this Agreement.</w:t>
      </w:r>
    </w:p>
    <w:p>
      <w:pPr>
        <w:spacing w:after="0" w:line="200" w:lineRule="exact"/>
        <w:rPr>
          <w:sz w:val="20"/>
          <w:szCs w:val="20"/>
          <w:color w:val="auto"/>
        </w:rPr>
      </w:pPr>
    </w:p>
    <w:p>
      <w:pPr>
        <w:ind w:left="644" w:hanging="644"/>
        <w:spacing w:after="0"/>
        <w:tabs>
          <w:tab w:leader="none" w:pos="644"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BENCHMARKS</w:t>
      </w:r>
    </w:p>
    <w:p>
      <w:pPr>
        <w:spacing w:after="0" w:line="225" w:lineRule="exact"/>
        <w:rPr>
          <w:sz w:val="20"/>
          <w:szCs w:val="20"/>
          <w:color w:val="auto"/>
        </w:rPr>
      </w:pPr>
    </w:p>
    <w:p>
      <w:pPr>
        <w:jc w:val="both"/>
        <w:ind w:left="4" w:right="300" w:firstLine="648"/>
        <w:spacing w:after="0" w:line="250" w:lineRule="auto"/>
        <w:rPr>
          <w:sz w:val="20"/>
          <w:szCs w:val="20"/>
          <w:color w:val="auto"/>
        </w:rPr>
      </w:pPr>
      <w:r>
        <w:rPr>
          <w:rFonts w:ascii="Arial" w:cs="Arial" w:eastAsia="Arial" w:hAnsi="Arial"/>
          <w:sz w:val="16"/>
          <w:szCs w:val="16"/>
          <w:b w:val="1"/>
          <w:bCs w:val="1"/>
          <w:color w:val="auto"/>
        </w:rPr>
        <w:t xml:space="preserve">4.1. Plaintiffs’ Counsel Efforts. </w:t>
      </w:r>
      <w:r>
        <w:rPr>
          <w:rFonts w:ascii="Arial" w:cs="Arial" w:eastAsia="Arial" w:hAnsi="Arial"/>
          <w:sz w:val="16"/>
          <w:szCs w:val="16"/>
          <w:color w:val="auto"/>
        </w:rPr>
        <w:t>The Parties believe that this Agreement represents a fair, just, and efficient method for resolving</w:t>
      </w:r>
      <w:r>
        <w:rPr>
          <w:rFonts w:ascii="Arial" w:cs="Arial" w:eastAsia="Arial" w:hAnsi="Arial"/>
          <w:sz w:val="16"/>
          <w:szCs w:val="16"/>
          <w:b w:val="1"/>
          <w:bCs w:val="1"/>
          <w:color w:val="auto"/>
        </w:rPr>
        <w:t xml:space="preserve"> </w:t>
      </w:r>
      <w:r>
        <w:rPr>
          <w:rFonts w:ascii="Arial" w:cs="Arial" w:eastAsia="Arial" w:hAnsi="Arial"/>
          <w:sz w:val="16"/>
          <w:szCs w:val="16"/>
          <w:color w:val="auto"/>
        </w:rPr>
        <w:t>Claims. The PEC shall use their best efforts to achieve sufficient participation to meet the Participation Benchmarks, and, subject to the exercise of</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their independent professional judgment, shall recommend this settlement to each of their clients who are Claimants.</w:t>
      </w:r>
    </w:p>
    <w:p>
      <w:pPr>
        <w:spacing w:after="0" w:line="16"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 xml:space="preserve">Participation Benchmarks. </w:t>
      </w:r>
      <w:r>
        <w:rPr>
          <w:rFonts w:ascii="Arial" w:cs="Arial" w:eastAsia="Arial" w:hAnsi="Arial"/>
          <w:sz w:val="17"/>
          <w:szCs w:val="17"/>
          <w:color w:val="auto"/>
        </w:rPr>
        <w:t>Settling Defendants shall have a Walk Away Right if any one or more of the below thresholds of</w:t>
      </w:r>
    </w:p>
    <w:p>
      <w:pPr>
        <w:spacing w:after="0" w:line="2" w:lineRule="exact"/>
        <w:rPr>
          <w:sz w:val="20"/>
          <w:szCs w:val="20"/>
          <w:color w:val="auto"/>
        </w:rPr>
      </w:pPr>
    </w:p>
    <w:p>
      <w:pPr>
        <w:jc w:val="both"/>
        <w:ind w:left="4" w:right="300"/>
        <w:spacing w:after="0" w:line="218" w:lineRule="auto"/>
        <w:rPr>
          <w:sz w:val="20"/>
          <w:szCs w:val="20"/>
          <w:color w:val="auto"/>
        </w:rPr>
      </w:pPr>
      <w:r>
        <w:rPr>
          <w:rFonts w:ascii="Arial" w:cs="Arial" w:eastAsia="Arial" w:hAnsi="Arial"/>
          <w:sz w:val="18"/>
          <w:szCs w:val="18"/>
          <w:color w:val="auto"/>
        </w:rPr>
        <w:t>participation (“</w:t>
      </w:r>
      <w:r>
        <w:rPr>
          <w:rFonts w:ascii="Arial" w:cs="Arial" w:eastAsia="Arial" w:hAnsi="Arial"/>
          <w:sz w:val="18"/>
          <w:szCs w:val="18"/>
          <w:u w:val="single" w:color="auto"/>
          <w:color w:val="auto"/>
        </w:rPr>
        <w:t>Participation Benchmarks</w:t>
      </w:r>
      <w:r>
        <w:rPr>
          <w:rFonts w:ascii="Arial" w:cs="Arial" w:eastAsia="Arial" w:hAnsi="Arial"/>
          <w:sz w:val="18"/>
          <w:szCs w:val="18"/>
          <w:color w:val="auto"/>
        </w:rPr>
        <w:t xml:space="preserve">”) are not met, subject to the conditions described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Settling Defendants shall consult with the Mediator and the PEC before exercising their Walk Away Right under this </w:t>
      </w:r>
      <w:r>
        <w:rPr>
          <w:rFonts w:ascii="Arial" w:cs="Arial" w:eastAsia="Arial" w:hAnsi="Arial"/>
          <w:sz w:val="18"/>
          <w:szCs w:val="18"/>
          <w:u w:val="single" w:color="auto"/>
          <w:color w:val="auto"/>
        </w:rPr>
        <w:t>Section 4.2</w:t>
      </w:r>
      <w:r>
        <w:rPr>
          <w:rFonts w:ascii="Arial" w:cs="Arial" w:eastAsia="Arial" w:hAnsi="Arial"/>
          <w:sz w:val="18"/>
          <w:szCs w:val="18"/>
          <w:color w:val="auto"/>
        </w:rPr>
        <w:t>. For a Participation Benchmark to be met, the percentage of Claimants specified below must be Participating Claimants: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04"/>
          </w:cols>
          <w:pgMar w:left="436" w:top="1327" w:right="459" w:bottom="1440" w:gutter="0" w:footer="0" w:header="0"/>
        </w:sectPr>
      </w:pPr>
    </w:p>
    <w:bookmarkStart w:id="129" w:name="page130"/>
    <w:bookmarkEnd w:id="129"/>
    <w:p>
      <w:pPr>
        <w:spacing w:after="0" w:line="130" w:lineRule="exact"/>
        <w:rPr>
          <w:sz w:val="20"/>
          <w:szCs w:val="20"/>
          <w:color w:val="auto"/>
        </w:rPr>
      </w:pPr>
    </w:p>
    <w:p>
      <w:pPr>
        <w:ind w:left="1284" w:hanging="636"/>
        <w:spacing w:after="0"/>
        <w:tabs>
          <w:tab w:leader="none" w:pos="12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95% of Claimants in Participation Group A;</w:t>
      </w:r>
    </w:p>
    <w:p>
      <w:pPr>
        <w:spacing w:after="0" w:line="225" w:lineRule="exact"/>
        <w:rPr>
          <w:rFonts w:ascii="Arial" w:cs="Arial" w:eastAsia="Arial" w:hAnsi="Arial"/>
          <w:sz w:val="18"/>
          <w:szCs w:val="18"/>
          <w:color w:val="auto"/>
        </w:rPr>
      </w:pPr>
    </w:p>
    <w:p>
      <w:pPr>
        <w:ind w:left="1284" w:hanging="636"/>
        <w:spacing w:after="0"/>
        <w:tabs>
          <w:tab w:leader="none" w:pos="12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99% of Claimants in Participation Group B; and</w:t>
      </w:r>
    </w:p>
    <w:p>
      <w:pPr>
        <w:spacing w:after="0" w:line="225" w:lineRule="exact"/>
        <w:rPr>
          <w:rFonts w:ascii="Arial" w:cs="Arial" w:eastAsia="Arial" w:hAnsi="Arial"/>
          <w:sz w:val="18"/>
          <w:szCs w:val="18"/>
          <w:color w:val="auto"/>
        </w:rPr>
      </w:pPr>
    </w:p>
    <w:p>
      <w:pPr>
        <w:ind w:left="1284" w:hanging="636"/>
        <w:spacing w:after="0"/>
        <w:tabs>
          <w:tab w:leader="none" w:pos="12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100% of Claimants in Participation Group C.</w:t>
      </w:r>
    </w:p>
    <w:p>
      <w:pPr>
        <w:spacing w:after="0" w:line="221" w:lineRule="exact"/>
        <w:rPr>
          <w:sz w:val="20"/>
          <w:szCs w:val="20"/>
          <w:color w:val="auto"/>
        </w:rPr>
      </w:pPr>
    </w:p>
    <w:p>
      <w:pPr>
        <w:ind w:left="4" w:right="20" w:firstLine="648"/>
        <w:spacing w:after="0" w:line="250" w:lineRule="auto"/>
        <w:rPr>
          <w:sz w:val="20"/>
          <w:szCs w:val="20"/>
          <w:color w:val="auto"/>
        </w:rPr>
      </w:pPr>
      <w:r>
        <w:rPr>
          <w:rFonts w:ascii="Arial" w:cs="Arial" w:eastAsia="Arial" w:hAnsi="Arial"/>
          <w:sz w:val="18"/>
          <w:szCs w:val="18"/>
          <w:b w:val="1"/>
          <w:bCs w:val="1"/>
          <w:color w:val="auto"/>
        </w:rPr>
        <w:t xml:space="preserve">4.3. Resolution of Disputes Over Participation Benchmarks. </w:t>
      </w:r>
      <w:r>
        <w:rPr>
          <w:rFonts w:ascii="Arial" w:cs="Arial" w:eastAsia="Arial" w:hAnsi="Arial"/>
          <w:sz w:val="18"/>
          <w:szCs w:val="18"/>
          <w:color w:val="auto"/>
        </w:rPr>
        <w:t>Any dispute related to whether a Participation Benchmark has been met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resolved by the Mediator, whose resolution of the dispute shall be final.</w:t>
      </w:r>
    </w:p>
    <w:p>
      <w:pPr>
        <w:spacing w:after="0" w:line="190" w:lineRule="exact"/>
        <w:rPr>
          <w:sz w:val="20"/>
          <w:szCs w:val="20"/>
          <w:color w:val="auto"/>
        </w:rPr>
      </w:pPr>
    </w:p>
    <w:p>
      <w:pPr>
        <w:ind w:left="644" w:hanging="644"/>
        <w:spacing w:after="0"/>
        <w:tabs>
          <w:tab w:leader="none" w:pos="644"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EXERCISE OF WALK AWAY RIGHT</w:t>
      </w:r>
    </w:p>
    <w:p>
      <w:pPr>
        <w:spacing w:after="0" w:line="212" w:lineRule="exact"/>
        <w:rPr>
          <w:sz w:val="20"/>
          <w:szCs w:val="20"/>
          <w:color w:val="auto"/>
        </w:rPr>
      </w:pPr>
    </w:p>
    <w:p>
      <w:pPr>
        <w:ind w:left="4" w:right="20" w:firstLine="648"/>
        <w:spacing w:after="0" w:line="250" w:lineRule="auto"/>
        <w:rPr>
          <w:sz w:val="20"/>
          <w:szCs w:val="20"/>
          <w:color w:val="auto"/>
        </w:rPr>
      </w:pPr>
      <w:r>
        <w:rPr>
          <w:rFonts w:ascii="Arial" w:cs="Arial" w:eastAsia="Arial" w:hAnsi="Arial"/>
          <w:sz w:val="18"/>
          <w:szCs w:val="18"/>
          <w:b w:val="1"/>
          <w:bCs w:val="1"/>
          <w:color w:val="auto"/>
        </w:rPr>
        <w:t xml:space="preserve">5.1. Exercise and Notice. </w:t>
      </w:r>
      <w:r>
        <w:rPr>
          <w:rFonts w:ascii="Arial" w:cs="Arial" w:eastAsia="Arial" w:hAnsi="Arial"/>
          <w:sz w:val="18"/>
          <w:szCs w:val="18"/>
          <w:color w:val="auto"/>
        </w:rPr>
        <w:t>Settling Defendants may exercise any Walk Away Right by providing written notice to the PEC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Mediator.</w:t>
      </w:r>
    </w:p>
    <w:p>
      <w:pPr>
        <w:spacing w:after="0" w:line="190"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 xml:space="preserve">Consequences. </w:t>
      </w:r>
      <w:r>
        <w:rPr>
          <w:rFonts w:ascii="Arial" w:cs="Arial" w:eastAsia="Arial" w:hAnsi="Arial"/>
          <w:sz w:val="16"/>
          <w:szCs w:val="16"/>
          <w:color w:val="auto"/>
        </w:rPr>
        <w:t>In the event Settling Defendants exercise a Walk Away Right,</w:t>
      </w:r>
    </w:p>
    <w:p>
      <w:pPr>
        <w:spacing w:after="0" w:line="229" w:lineRule="exact"/>
        <w:rPr>
          <w:sz w:val="20"/>
          <w:szCs w:val="20"/>
          <w:color w:val="auto"/>
        </w:rPr>
      </w:pPr>
    </w:p>
    <w:p>
      <w:pPr>
        <w:ind w:left="1304" w:right="20" w:hanging="656"/>
        <w:spacing w:after="0" w:line="235" w:lineRule="auto"/>
        <w:tabs>
          <w:tab w:leader="none" w:pos="130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This Agreement shall immediately terminate and Settling Defendants immediately shall cease to have any further financial obligations under this Agreement;</w:t>
      </w:r>
    </w:p>
    <w:p>
      <w:pPr>
        <w:spacing w:after="0" w:line="202" w:lineRule="exact"/>
        <w:rPr>
          <w:rFonts w:ascii="Arial" w:cs="Arial" w:eastAsia="Arial" w:hAnsi="Arial"/>
          <w:sz w:val="18"/>
          <w:szCs w:val="18"/>
          <w:color w:val="auto"/>
        </w:rPr>
      </w:pPr>
    </w:p>
    <w:p>
      <w:pPr>
        <w:ind w:left="1304" w:right="20" w:hanging="656"/>
        <w:spacing w:after="0" w:line="235" w:lineRule="auto"/>
        <w:tabs>
          <w:tab w:leader="none" w:pos="129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the extent Sterigenics US has deposited the Settlement Funds into the Escrow Account, the Parties shall take all necessary steps to cause the Escrow Agent to return the Settlement Funds to Sterigenics US;</w:t>
      </w:r>
    </w:p>
    <w:p>
      <w:pPr>
        <w:spacing w:after="0" w:line="202" w:lineRule="exact"/>
        <w:rPr>
          <w:rFonts w:ascii="Arial" w:cs="Arial" w:eastAsia="Arial" w:hAnsi="Arial"/>
          <w:sz w:val="18"/>
          <w:szCs w:val="18"/>
          <w:color w:val="auto"/>
        </w:rPr>
      </w:pPr>
    </w:p>
    <w:p>
      <w:pPr>
        <w:ind w:left="1304" w:right="20" w:hanging="656"/>
        <w:spacing w:after="0" w:line="246" w:lineRule="auto"/>
        <w:tabs>
          <w:tab w:leader="none" w:pos="130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All Opt In Forms and Releases submitted by Claimants to the Claims Administrator shall be returned to the PEC and shall be null and void, </w:t>
      </w:r>
      <w:r>
        <w:rPr>
          <w:rFonts w:ascii="Arial" w:cs="Arial" w:eastAsia="Arial" w:hAnsi="Arial"/>
          <w:sz w:val="18"/>
          <w:szCs w:val="18"/>
          <w:i w:val="1"/>
          <w:iCs w:val="1"/>
          <w:color w:val="auto"/>
        </w:rPr>
        <w:t>nunc pro tunc</w:t>
      </w:r>
      <w:r>
        <w:rPr>
          <w:rFonts w:ascii="Arial" w:cs="Arial" w:eastAsia="Arial" w:hAnsi="Arial"/>
          <w:sz w:val="18"/>
          <w:szCs w:val="18"/>
          <w:color w:val="auto"/>
        </w:rPr>
        <w:t>; and</w:t>
      </w:r>
    </w:p>
    <w:p>
      <w:pPr>
        <w:spacing w:after="0" w:line="196" w:lineRule="exact"/>
        <w:rPr>
          <w:rFonts w:ascii="Arial" w:cs="Arial" w:eastAsia="Arial" w:hAnsi="Arial"/>
          <w:sz w:val="18"/>
          <w:szCs w:val="18"/>
          <w:color w:val="auto"/>
        </w:rPr>
      </w:pPr>
    </w:p>
    <w:p>
      <w:pPr>
        <w:ind w:left="1304" w:right="20" w:hanging="657"/>
        <w:spacing w:after="0" w:line="235" w:lineRule="auto"/>
        <w:tabs>
          <w:tab w:leader="none" w:pos="129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Within five Business Days, the Parties will jointly petition the court to return pending cases to the status quo, including re-setting trial dates previously set for as soon as practicable.</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SETTLING DEFENDANTS’ FUNDING OBLIGATIONS</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6.1.   Settlement Funds. </w:t>
      </w:r>
      <w:r>
        <w:rPr>
          <w:rFonts w:ascii="Arial" w:cs="Arial" w:eastAsia="Arial" w:hAnsi="Arial"/>
          <w:sz w:val="16"/>
          <w:szCs w:val="16"/>
          <w:color w:val="auto"/>
        </w:rPr>
        <w:t>The “</w:t>
      </w:r>
      <w:r>
        <w:rPr>
          <w:rFonts w:ascii="Arial" w:cs="Arial" w:eastAsia="Arial" w:hAnsi="Arial"/>
          <w:sz w:val="16"/>
          <w:szCs w:val="16"/>
          <w:u w:val="single" w:color="auto"/>
          <w:color w:val="auto"/>
        </w:rPr>
        <w:t>Settlement Funds</w:t>
      </w:r>
      <w:r>
        <w:rPr>
          <w:rFonts w:ascii="Arial" w:cs="Arial" w:eastAsia="Arial" w:hAnsi="Arial"/>
          <w:sz w:val="16"/>
          <w:szCs w:val="16"/>
          <w:color w:val="auto"/>
        </w:rPr>
        <w:t>” shall be two hundred eighty-five million five hundred thousand dollars ($285,500,000).</w:t>
      </w:r>
    </w:p>
    <w:p>
      <w:pPr>
        <w:spacing w:after="0" w:line="248"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6.2.   Funding the Escrow Account. </w:t>
      </w:r>
      <w:r>
        <w:rPr>
          <w:rFonts w:ascii="Arial" w:cs="Arial" w:eastAsia="Arial" w:hAnsi="Arial"/>
          <w:sz w:val="16"/>
          <w:szCs w:val="16"/>
          <w:color w:val="auto"/>
        </w:rPr>
        <w:t>Subject to the conditions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6.4</w:t>
      </w:r>
      <w:r>
        <w:rPr>
          <w:rFonts w:ascii="Arial" w:cs="Arial" w:eastAsia="Arial" w:hAnsi="Arial"/>
          <w:sz w:val="16"/>
          <w:szCs w:val="16"/>
          <w:b w:val="1"/>
          <w:bCs w:val="1"/>
          <w:color w:val="auto"/>
        </w:rPr>
        <w:t xml:space="preserve"> </w:t>
      </w:r>
      <w:r>
        <w:rPr>
          <w:rFonts w:ascii="Arial" w:cs="Arial" w:eastAsia="Arial" w:hAnsi="Arial"/>
          <w:sz w:val="16"/>
          <w:szCs w:val="16"/>
          <w:color w:val="auto"/>
        </w:rPr>
        <w:t>below, on the Escrow Funding Date, Sterigenics</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6"/>
          <w:szCs w:val="16"/>
          <w:color w:val="auto"/>
        </w:rPr>
        <w:t>US shall pay or cause to be paid the Settlement Funds by wire transfer of immediately available funds (in United States dollars) to such account at</w:t>
      </w:r>
    </w:p>
    <w:p>
      <w:pPr>
        <w:spacing w:after="0" w:line="5"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such financial institution as the Escrow Agent shall have given written notice to Sterigenics US not fewer than three Business Days prior to the Escrow Funding Date, which funds shall be held by the Escrow Agent in a segregated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xml:space="preserve">”) and distributed in accordance with the Escrow Agreement and the applicable provisions of this Agreement, including (without limitation) </w:t>
      </w:r>
      <w:r>
        <w:rPr>
          <w:rFonts w:ascii="Arial" w:cs="Arial" w:eastAsia="Arial" w:hAnsi="Arial"/>
          <w:sz w:val="16"/>
          <w:szCs w:val="16"/>
          <w:u w:val="single" w:color="auto"/>
          <w:color w:val="auto"/>
        </w:rPr>
        <w:t>Sections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w:t>
      </w:r>
      <w:r>
        <w:rPr>
          <w:rFonts w:ascii="Arial" w:cs="Arial" w:eastAsia="Arial" w:hAnsi="Arial"/>
          <w:sz w:val="16"/>
          <w:szCs w:val="16"/>
          <w:color w:val="auto"/>
        </w:rPr>
        <w:t>. The</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Escrow Account will be treated as owned by Sterigenics US for U.S. federal income tax purposes.</w:t>
      </w:r>
    </w:p>
    <w:p>
      <w:pPr>
        <w:spacing w:after="0" w:line="205" w:lineRule="exact"/>
        <w:rPr>
          <w:sz w:val="20"/>
          <w:szCs w:val="20"/>
          <w:color w:val="auto"/>
        </w:rPr>
      </w:pPr>
    </w:p>
    <w:p>
      <w:pPr>
        <w:jc w:val="both"/>
        <w:ind w:left="4" w:firstLine="648"/>
        <w:spacing w:after="0" w:line="243" w:lineRule="auto"/>
        <w:rPr>
          <w:sz w:val="20"/>
          <w:szCs w:val="20"/>
          <w:color w:val="auto"/>
        </w:rPr>
      </w:pPr>
      <w:r>
        <w:rPr>
          <w:rFonts w:ascii="Arial" w:cs="Arial" w:eastAsia="Arial" w:hAnsi="Arial"/>
          <w:sz w:val="16"/>
          <w:szCs w:val="16"/>
          <w:b w:val="1"/>
          <w:bCs w:val="1"/>
          <w:color w:val="auto"/>
        </w:rPr>
        <w:t xml:space="preserve">6.3. Guarantor. </w:t>
      </w:r>
      <w:r>
        <w:rPr>
          <w:rFonts w:ascii="Arial" w:cs="Arial" w:eastAsia="Arial" w:hAnsi="Arial"/>
          <w:sz w:val="16"/>
          <w:szCs w:val="16"/>
          <w:color w:val="auto"/>
        </w:rPr>
        <w:t>Sotera Health Company, a Delaware corporation, agrees to be guarantor of Sterigenics US’s obligation to comply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6.2</w:t>
      </w:r>
      <w:r>
        <w:rPr>
          <w:rFonts w:ascii="Arial" w:cs="Arial" w:eastAsia="Arial" w:hAnsi="Arial"/>
          <w:sz w:val="16"/>
          <w:szCs w:val="16"/>
          <w:color w:val="auto"/>
        </w:rPr>
        <w:t>. Sotera Health Company’s agreement to serve as guarantor of Sterigenics US’s obligation to pay the Settlement Funds to the Escrow Account does not constitute an admission of liability or responsibility as a parent company or otherwise for the actions of Sterigenics US or any</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subsidiary with respect to any of the Claims or any other claim.</w:t>
      </w:r>
    </w:p>
    <w:p>
      <w:pPr>
        <w:spacing w:after="0" w:line="205" w:lineRule="exact"/>
        <w:rPr>
          <w:sz w:val="20"/>
          <w:szCs w:val="20"/>
          <w:color w:val="auto"/>
        </w:rPr>
      </w:pPr>
    </w:p>
    <w:p>
      <w:pPr>
        <w:jc w:val="both"/>
        <w:ind w:left="4" w:right="20" w:firstLine="648"/>
        <w:spacing w:after="0" w:line="237" w:lineRule="auto"/>
        <w:rPr>
          <w:sz w:val="20"/>
          <w:szCs w:val="20"/>
          <w:color w:val="auto"/>
        </w:rPr>
      </w:pPr>
      <w:r>
        <w:rPr>
          <w:rFonts w:ascii="Arial" w:cs="Arial" w:eastAsia="Arial" w:hAnsi="Arial"/>
          <w:sz w:val="18"/>
          <w:szCs w:val="18"/>
          <w:b w:val="1"/>
          <w:bCs w:val="1"/>
          <w:color w:val="auto"/>
        </w:rPr>
        <w:t xml:space="preserve">6.4. Funding Conditions. </w:t>
      </w:r>
      <w:r>
        <w:rPr>
          <w:rFonts w:ascii="Arial" w:cs="Arial" w:eastAsia="Arial" w:hAnsi="Arial"/>
          <w:sz w:val="18"/>
          <w:szCs w:val="18"/>
          <w:color w:val="auto"/>
        </w:rPr>
        <w:t>Sterigenics US shall be required to fund the Escrow Account on the Escrow Funding Date only if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(the “</w:t>
      </w:r>
      <w:r>
        <w:rPr>
          <w:rFonts w:ascii="Arial" w:cs="Arial" w:eastAsia="Arial" w:hAnsi="Arial"/>
          <w:sz w:val="18"/>
          <w:szCs w:val="18"/>
          <w:u w:val="single" w:color="auto"/>
          <w:color w:val="auto"/>
        </w:rPr>
        <w:t>Funding Conditions</w:t>
      </w:r>
      <w:r>
        <w:rPr>
          <w:rFonts w:ascii="Arial" w:cs="Arial" w:eastAsia="Arial" w:hAnsi="Arial"/>
          <w:sz w:val="18"/>
          <w:szCs w:val="18"/>
          <w:color w:val="auto"/>
        </w:rPr>
        <w:t>”) have been satisfied:</w:t>
      </w:r>
    </w:p>
    <w:p>
      <w:pPr>
        <w:spacing w:after="0" w:line="203" w:lineRule="exact"/>
        <w:rPr>
          <w:sz w:val="20"/>
          <w:szCs w:val="20"/>
          <w:color w:val="auto"/>
        </w:rPr>
      </w:pPr>
    </w:p>
    <w:p>
      <w:pPr>
        <w:ind w:left="1284" w:hanging="636"/>
        <w:spacing w:after="0"/>
        <w:tabs>
          <w:tab w:leader="none" w:pos="128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continued operation of a stay on the Pending Actions, consistent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4" w:hanging="636"/>
        <w:spacing w:after="0"/>
        <w:tabs>
          <w:tab w:leader="none" w:pos="128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absence of any viable lawsuits, disputes, and/or claims, whether filed or unfiled, challenging this Agreement; and</w:t>
      </w:r>
    </w:p>
    <w:p>
      <w:pPr>
        <w:spacing w:after="0" w:line="225" w:lineRule="exact"/>
        <w:rPr>
          <w:rFonts w:ascii="Arial" w:cs="Arial" w:eastAsia="Arial" w:hAnsi="Arial"/>
          <w:sz w:val="18"/>
          <w:szCs w:val="18"/>
          <w:color w:val="auto"/>
        </w:rPr>
      </w:pPr>
    </w:p>
    <w:p>
      <w:pPr>
        <w:ind w:left="1304" w:right="20" w:hanging="656"/>
        <w:spacing w:after="0" w:line="235" w:lineRule="auto"/>
        <w:tabs>
          <w:tab w:leader="none" w:pos="130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compliance by PEC and Plaintiffs’ Counsel with all material duties and obligations set forth in this Agreement, and otherwise in connection with settlement of the Claims.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dispute related to whether the Funding Conditions are satisfied shall be resolved by the Mediator, whose resolution of the dispute shall be final.</w:t>
      </w:r>
    </w:p>
    <w:p>
      <w:pPr>
        <w:sectPr>
          <w:pgSz w:w="11900" w:h="16838" w:orient="portrait"/>
          <w:cols w:equalWidth="0" w:num="1">
            <w:col w:w="10724"/>
          </w:cols>
          <w:pgMar w:left="436"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0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724"/>
          </w:cols>
          <w:pgMar w:left="436" w:top="1440" w:right="739" w:bottom="1440" w:gutter="0" w:footer="0" w:header="0"/>
          <w:type w:val="continuous"/>
        </w:sectPr>
      </w:pPr>
    </w:p>
    <w:bookmarkStart w:id="130" w:name="page131"/>
    <w:bookmarkEnd w:id="130"/>
    <w:p>
      <w:pPr>
        <w:ind w:left="644"/>
        <w:spacing w:after="0"/>
        <w:tabs>
          <w:tab w:leader="none" w:pos="1164"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 xml:space="preserve">Settlement Administration Expenses. </w:t>
      </w:r>
      <w:r>
        <w:rPr>
          <w:rFonts w:ascii="Arial" w:cs="Arial" w:eastAsia="Arial" w:hAnsi="Arial"/>
          <w:sz w:val="17"/>
          <w:szCs w:val="17"/>
          <w:color w:val="auto"/>
        </w:rPr>
        <w:t>The Released Parties shall not have to pay for any, or have any liability, obligation, or</w:t>
      </w:r>
    </w:p>
    <w:p>
      <w:pPr>
        <w:spacing w:after="0" w:line="2" w:lineRule="exact"/>
        <w:rPr>
          <w:sz w:val="20"/>
          <w:szCs w:val="20"/>
          <w:color w:val="auto"/>
        </w:rPr>
      </w:pPr>
    </w:p>
    <w:p>
      <w:pPr>
        <w:jc w:val="both"/>
        <w:ind w:left="4" w:right="20"/>
        <w:spacing w:after="0" w:line="226" w:lineRule="auto"/>
        <w:rPr>
          <w:sz w:val="20"/>
          <w:szCs w:val="20"/>
          <w:color w:val="auto"/>
        </w:rPr>
      </w:pPr>
      <w:r>
        <w:rPr>
          <w:rFonts w:ascii="Arial" w:cs="Arial" w:eastAsia="Arial" w:hAnsi="Arial"/>
          <w:sz w:val="18"/>
          <w:szCs w:val="18"/>
          <w:color w:val="auto"/>
        </w:rPr>
        <w:t>responsibility with respect to, Settlement Administration Expenses, which shall be borne by Plaintiffs’ Counsel and Participating Claimants completely.</w:t>
      </w:r>
    </w:p>
    <w:p>
      <w:pPr>
        <w:spacing w:after="0" w:line="198" w:lineRule="exact"/>
        <w:rPr>
          <w:sz w:val="20"/>
          <w:szCs w:val="20"/>
          <w:color w:val="auto"/>
        </w:rPr>
      </w:pPr>
    </w:p>
    <w:p>
      <w:pPr>
        <w:jc w:val="both"/>
        <w:ind w:left="4" w:right="20" w:firstLine="648"/>
        <w:spacing w:after="0" w:line="250" w:lineRule="auto"/>
        <w:rPr>
          <w:sz w:val="20"/>
          <w:szCs w:val="20"/>
          <w:color w:val="auto"/>
        </w:rPr>
      </w:pPr>
      <w:r>
        <w:rPr>
          <w:rFonts w:ascii="Arial" w:cs="Arial" w:eastAsia="Arial" w:hAnsi="Arial"/>
          <w:sz w:val="16"/>
          <w:szCs w:val="16"/>
          <w:b w:val="1"/>
          <w:bCs w:val="1"/>
          <w:color w:val="auto"/>
        </w:rPr>
        <w:t xml:space="preserve">6.6. Return of Funds. </w:t>
      </w:r>
      <w:r>
        <w:rPr>
          <w:rFonts w:ascii="Arial" w:cs="Arial" w:eastAsia="Arial" w:hAnsi="Arial"/>
          <w:sz w:val="16"/>
          <w:szCs w:val="16"/>
          <w:color w:val="auto"/>
        </w:rPr>
        <w:t>In the event (i) the Parties fail to obtain,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9.2</w:t>
      </w:r>
      <w:r>
        <w:rPr>
          <w:rFonts w:ascii="Arial" w:cs="Arial" w:eastAsia="Arial" w:hAnsi="Arial"/>
          <w:sz w:val="16"/>
          <w:szCs w:val="16"/>
          <w:color w:val="auto"/>
        </w:rPr>
        <w:t>, a Good Faith Settlement Determination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Claimant or (ii) the Settling Defendants exercise a Walk Away Right at any time between the Escrow Funding Date and the QSF</w:t>
      </w:r>
    </w:p>
    <w:p>
      <w:pPr>
        <w:spacing w:after="0" w:line="1" w:lineRule="exact"/>
        <w:rPr>
          <w:sz w:val="20"/>
          <w:szCs w:val="20"/>
          <w:color w:val="auto"/>
        </w:rPr>
      </w:pPr>
    </w:p>
    <w:p>
      <w:pPr>
        <w:jc w:val="both"/>
        <w:ind w:left="4"/>
        <w:spacing w:after="0" w:line="218" w:lineRule="auto"/>
        <w:rPr>
          <w:sz w:val="20"/>
          <w:szCs w:val="20"/>
          <w:color w:val="auto"/>
        </w:rPr>
      </w:pPr>
      <w:r>
        <w:rPr>
          <w:rFonts w:ascii="Arial" w:cs="Arial" w:eastAsia="Arial" w:hAnsi="Arial"/>
          <w:sz w:val="18"/>
          <w:szCs w:val="18"/>
          <w:color w:val="auto"/>
        </w:rPr>
        <w:t xml:space="preserve">Funding Date, the Parties shall take all necessary steps to cause the Escrow Agent to return the Settlement Funds to Sterigenics US. Notwithstanding anything to the contrary in this Agreement, the obligations of the Parties set forth in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survive the termination of this Agreement until they have been satisfied.</w:t>
      </w:r>
    </w:p>
    <w:p>
      <w:pPr>
        <w:spacing w:after="0" w:line="199" w:lineRule="exact"/>
        <w:rPr>
          <w:sz w:val="20"/>
          <w:szCs w:val="20"/>
          <w:color w:val="auto"/>
        </w:rPr>
      </w:pPr>
    </w:p>
    <w:p>
      <w:pPr>
        <w:ind w:left="644" w:hanging="644"/>
        <w:spacing w:after="0"/>
        <w:tabs>
          <w:tab w:leader="none" w:pos="644"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QUALIFIED SETTLEMENT FUND</w:t>
      </w:r>
    </w:p>
    <w:p>
      <w:pPr>
        <w:spacing w:after="0" w:line="225"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 xml:space="preserve">Deadline to Fund QSF. </w:t>
      </w:r>
      <w:r>
        <w:rPr>
          <w:rFonts w:ascii="Arial" w:cs="Arial" w:eastAsia="Arial" w:hAnsi="Arial"/>
          <w:sz w:val="17"/>
          <w:szCs w:val="17"/>
          <w:color w:val="auto"/>
        </w:rPr>
        <w:t>If the Funding Conditions remain satisfied, the Settling Defendants will instruct the Escrow Agent (the</w:t>
      </w:r>
    </w:p>
    <w:p>
      <w:pPr>
        <w:spacing w:after="0" w:line="2"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QSF Funding Instruction</w:t>
      </w:r>
      <w:r>
        <w:rPr>
          <w:rFonts w:ascii="Arial" w:cs="Arial" w:eastAsia="Arial" w:hAnsi="Arial"/>
          <w:sz w:val="16"/>
          <w:szCs w:val="16"/>
          <w:color w:val="auto"/>
        </w:rPr>
        <w:t>”) to release the Settlement Funds, less any expenses associated with establishing or maintaining the Escrow Account, into an interest-bearing account (the “</w:t>
      </w:r>
      <w:r>
        <w:rPr>
          <w:rFonts w:ascii="Arial" w:cs="Arial" w:eastAsia="Arial" w:hAnsi="Arial"/>
          <w:sz w:val="16"/>
          <w:szCs w:val="16"/>
          <w:u w:val="single" w:color="auto"/>
          <w:color w:val="auto"/>
        </w:rPr>
        <w:t>Account</w:t>
      </w:r>
      <w:r>
        <w:rPr>
          <w:rFonts w:ascii="Arial" w:cs="Arial" w:eastAsia="Arial" w:hAnsi="Arial"/>
          <w:sz w:val="16"/>
          <w:szCs w:val="16"/>
          <w:color w:val="auto"/>
        </w:rPr>
        <w:t>”) created by order of the Circuit Court of Cook County, Illinois (and subject to that court’s continuing jurisdiction) intended to constitute a “qualified settlement fund” (the “</w:t>
      </w:r>
      <w:r>
        <w:rPr>
          <w:rFonts w:ascii="Arial" w:cs="Arial" w:eastAsia="Arial" w:hAnsi="Arial"/>
          <w:sz w:val="16"/>
          <w:szCs w:val="16"/>
          <w:u w:val="single" w:color="auto"/>
          <w:color w:val="auto"/>
        </w:rPr>
        <w:t>Qualified Settlement Fund</w:t>
      </w:r>
      <w:r>
        <w:rPr>
          <w:rFonts w:ascii="Arial" w:cs="Arial" w:eastAsia="Arial" w:hAnsi="Arial"/>
          <w:sz w:val="16"/>
          <w:szCs w:val="16"/>
          <w:color w:val="auto"/>
        </w:rPr>
        <w:t>” or “</w:t>
      </w:r>
      <w:r>
        <w:rPr>
          <w:rFonts w:ascii="Arial" w:cs="Arial" w:eastAsia="Arial" w:hAnsi="Arial"/>
          <w:sz w:val="16"/>
          <w:szCs w:val="16"/>
          <w:u w:val="single" w:color="auto"/>
          <w:color w:val="auto"/>
        </w:rPr>
        <w:t>QSF</w:t>
      </w:r>
      <w:r>
        <w:rPr>
          <w:rFonts w:ascii="Arial" w:cs="Arial" w:eastAsia="Arial" w:hAnsi="Arial"/>
          <w:sz w:val="16"/>
          <w:szCs w:val="16"/>
          <w:color w:val="auto"/>
        </w:rPr>
        <w:t>”) within the meaning of Section 1.468B-</w:t>
      </w:r>
    </w:p>
    <w:p>
      <w:pPr>
        <w:spacing w:after="0" w:line="2"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1 of the Treasury Regulations promulgated under the Code (such date the Escrow Agent releases the Settlement Funds into the Account, the “</w:t>
      </w:r>
      <w:r>
        <w:rPr>
          <w:rFonts w:ascii="Arial" w:cs="Arial" w:eastAsia="Arial" w:hAnsi="Arial"/>
          <w:sz w:val="16"/>
          <w:szCs w:val="16"/>
          <w:u w:val="single" w:color="auto"/>
          <w:color w:val="auto"/>
        </w:rPr>
        <w:t>QSF</w:t>
      </w:r>
      <w:r>
        <w:rPr>
          <w:rFonts w:ascii="Arial" w:cs="Arial" w:eastAsia="Arial" w:hAnsi="Arial"/>
          <w:sz w:val="16"/>
          <w:szCs w:val="16"/>
          <w:color w:val="auto"/>
        </w:rPr>
        <w:t xml:space="preserve"> </w:t>
      </w:r>
      <w:r>
        <w:rPr>
          <w:rFonts w:ascii="Arial" w:cs="Arial" w:eastAsia="Arial" w:hAnsi="Arial"/>
          <w:sz w:val="16"/>
          <w:szCs w:val="16"/>
          <w:u w:val="single" w:color="auto"/>
          <w:color w:val="auto"/>
        </w:rPr>
        <w:t>Funding Date</w:t>
      </w:r>
      <w:r>
        <w:rPr>
          <w:rFonts w:ascii="Arial" w:cs="Arial" w:eastAsia="Arial" w:hAnsi="Arial"/>
          <w:sz w:val="16"/>
          <w:szCs w:val="16"/>
          <w:color w:val="auto"/>
        </w:rPr>
        <w:t>”) within ten days after the court’s Good Faith Settlement Determination, but only in the absence of any viable objections, complaints, or disputes, whether filed or unfiled, challenging the Good Faith Settlement Determination (a “</w:t>
      </w:r>
      <w:r>
        <w:rPr>
          <w:rFonts w:ascii="Arial" w:cs="Arial" w:eastAsia="Arial" w:hAnsi="Arial"/>
          <w:sz w:val="16"/>
          <w:szCs w:val="16"/>
          <w:u w:val="single" w:color="auto"/>
          <w:color w:val="auto"/>
        </w:rPr>
        <w:t>GFSD Dispute</w:t>
      </w:r>
      <w:r>
        <w:rPr>
          <w:rFonts w:ascii="Arial" w:cs="Arial" w:eastAsia="Arial" w:hAnsi="Arial"/>
          <w:sz w:val="16"/>
          <w:szCs w:val="16"/>
          <w:color w:val="auto"/>
        </w:rPr>
        <w:t>”). If there is (i) a GFSD Dispute and</w:t>
      </w:r>
    </w:p>
    <w:p>
      <w:pPr>
        <w:spacing w:after="0" w:line="2" w:lineRule="exact"/>
        <w:rPr>
          <w:sz w:val="20"/>
          <w:szCs w:val="20"/>
          <w:color w:val="auto"/>
        </w:rPr>
      </w:pPr>
    </w:p>
    <w:p>
      <w:pPr>
        <w:jc w:val="both"/>
        <w:ind w:left="4" w:right="20" w:hanging="4"/>
        <w:spacing w:after="0" w:line="215" w:lineRule="auto"/>
        <w:tabs>
          <w:tab w:leader="none" w:pos="27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no appeal of the court’s Good Faith Settlement Determination, then the Settling Defendants will make the QSF Funding Instruction seven days after the expiration of the deadline to file an appeal from the court’s Good Faith Settlement Determination. If there is an appeal of the court’s Good Faith Settlement Determination, then the Settling Defendants will make the QSF Funding Instruction within seven days of a Final Order granting a Good Faith Settlement Determination. Any dispute related to the deadlines in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be resolved by the Mediator, whose resolution of the dispute shall be final.</w:t>
      </w:r>
    </w:p>
    <w:p>
      <w:pPr>
        <w:spacing w:after="0" w:line="200" w:lineRule="exact"/>
        <w:rPr>
          <w:sz w:val="20"/>
          <w:szCs w:val="20"/>
          <w:color w:val="auto"/>
        </w:rPr>
      </w:pPr>
    </w:p>
    <w:p>
      <w:pPr>
        <w:jc w:val="both"/>
        <w:ind w:left="4" w:right="20" w:firstLine="648"/>
        <w:spacing w:after="0" w:line="226" w:lineRule="auto"/>
        <w:rPr>
          <w:sz w:val="20"/>
          <w:szCs w:val="20"/>
          <w:color w:val="auto"/>
        </w:rPr>
      </w:pPr>
      <w:r>
        <w:rPr>
          <w:rFonts w:ascii="Arial" w:cs="Arial" w:eastAsia="Arial" w:hAnsi="Arial"/>
          <w:sz w:val="18"/>
          <w:szCs w:val="18"/>
          <w:b w:val="1"/>
          <w:bCs w:val="1"/>
          <w:color w:val="auto"/>
        </w:rPr>
        <w:t>7.2. Requirements for Payment from QSF to Participating Claimant</w:t>
      </w:r>
      <w:r>
        <w:rPr>
          <w:rFonts w:ascii="Arial" w:cs="Arial" w:eastAsia="Arial" w:hAnsi="Arial"/>
          <w:sz w:val="18"/>
          <w:szCs w:val="18"/>
          <w:color w:val="auto"/>
        </w:rPr>
        <w:t>. Before any funds may be disbursed to a Participating</w:t>
      </w:r>
      <w:r>
        <w:rPr>
          <w:rFonts w:ascii="Arial" w:cs="Arial" w:eastAsia="Arial" w:hAnsi="Arial"/>
          <w:sz w:val="18"/>
          <w:szCs w:val="18"/>
          <w:b w:val="1"/>
          <w:bCs w:val="1"/>
          <w:color w:val="auto"/>
        </w:rPr>
        <w:t xml:space="preserve"> </w:t>
      </w:r>
      <w:r>
        <w:rPr>
          <w:rFonts w:ascii="Arial" w:cs="Arial" w:eastAsia="Arial" w:hAnsi="Arial"/>
          <w:sz w:val="18"/>
          <w:szCs w:val="18"/>
          <w:color w:val="auto"/>
        </w:rPr>
        <w:t>Claimant, the Claims Administrator must be in possession of that Participating Claimant’s (i) Opt In Form; (ii) Release; and (iii) Declaration of Counsel signed under penalty of perjury, each complete and properly and fully executed as specified therein.</w:t>
      </w:r>
    </w:p>
    <w:p>
      <w:pPr>
        <w:spacing w:after="0" w:line="198"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Tax Matters and Expenses.</w:t>
      </w:r>
    </w:p>
    <w:p>
      <w:pPr>
        <w:spacing w:after="0" w:line="229" w:lineRule="exact"/>
        <w:rPr>
          <w:sz w:val="20"/>
          <w:szCs w:val="20"/>
          <w:color w:val="auto"/>
        </w:rPr>
      </w:pPr>
    </w:p>
    <w:p>
      <w:pPr>
        <w:jc w:val="both"/>
        <w:ind w:left="1304" w:right="20" w:hanging="657"/>
        <w:spacing w:after="0" w:line="226" w:lineRule="auto"/>
        <w:tabs>
          <w:tab w:leader="none" w:pos="130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To the fullest extent allowable under applicable law, the Qualified Settlement Fund shall be treated as being at all times a “qualified settlement fund” within the meaning of Section 1.468B-1 of the Treasury Regulations. Sterigenics US shall be treated as the “transferor” to the Qualified Settlement Fund within the meaning of Section 1.468B-1(d)(1) of the Treasury Regulations with respect to the Settlement Funds or any other amount transferred to the Qualified Settlement Fund pursuant to this Agreement. The QSF Administrator shall cause the filing of all tax returns required to be filed by or with respect to the Qualified Settlement Fund, paying from the Qualified Settlement Fund any taxes owed by or with respect to the Qualified Settlement Fund, and complying with any applicable information reporting or tax withholding requirements imposed by Section 1.468B-2 of the Treasury Regulations or any other applicable law with respect to the Qualified Settlement Fund or payments or distributions made from it. Sterigenics US, PEC, Plaintiffs’ Counsel, and the Claims Administrator shall reasonably cooperate in providing any statements or making any elections or filings necessary or required by applicable law for satisfying the requirements for qualification as a Qualified Settlement Fund, including any relation-back election within the meaning of Section 1.468B-1(j) of the Treasury Regulations.</w:t>
      </w:r>
    </w:p>
    <w:p>
      <w:pPr>
        <w:spacing w:after="0" w:line="207" w:lineRule="exact"/>
        <w:rPr>
          <w:rFonts w:ascii="Arial" w:cs="Arial" w:eastAsia="Arial" w:hAnsi="Arial"/>
          <w:sz w:val="17"/>
          <w:szCs w:val="17"/>
          <w:color w:val="auto"/>
        </w:rPr>
      </w:pPr>
    </w:p>
    <w:p>
      <w:pPr>
        <w:jc w:val="both"/>
        <w:ind w:left="1304" w:hanging="657"/>
        <w:spacing w:after="0" w:line="226" w:lineRule="auto"/>
        <w:tabs>
          <w:tab w:leader="none" w:pos="129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Any interest earned by the Account shall be for the benefit of the Participating Claimants as if it were an addition to the Settlement Funds. For the avoidance of doubt, all (i) federal, state, or local taxes (including any estimated taxes, interest or penalties, or tax detriments) arising with respect to the income earned on or by the Qualified Settlement Fund, including any taxes, interest penalties, or tax detriments, that may be imposed upon Sterigenics US with respect to any income earned on or by the Qualified Settlement Fund for any period during which the Qualified Settlement Fund (or any portion thereof) does not qualify as a “qualified settlement fund” for federal or state income tax purposes (hereafter referred to as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and (ii) expenses and costs incurred, including, but not limited to, any ethics experts, advisors, and/or consultants used in connection with the administration or tax matters for the Qualified Settlement Fund and the operation and implementation of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(including expenses of tax attorneys or accountants and mailing and distribution costs and expenses relating to filing (or failing to file) the returns described in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(hereinafter referred to as “</w:t>
      </w:r>
      <w:r>
        <w:rPr>
          <w:rFonts w:ascii="Arial" w:cs="Arial" w:eastAsia="Arial" w:hAnsi="Arial"/>
          <w:sz w:val="17"/>
          <w:szCs w:val="17"/>
          <w:u w:val="single" w:color="auto"/>
          <w:color w:val="auto"/>
        </w:rPr>
        <w:t>Tax Expenses</w:t>
      </w:r>
      <w:r>
        <w:rPr>
          <w:rFonts w:ascii="Arial" w:cs="Arial" w:eastAsia="Arial" w:hAnsi="Arial"/>
          <w:sz w:val="17"/>
          <w:szCs w:val="17"/>
          <w:color w:val="auto"/>
        </w:rPr>
        <w:t>”), shall be considered Settlement Administration Expenses. The QSF Administrator shall notify the PEC in writing of the fact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24"/>
          </w:cols>
          <w:pgMar w:left="436" w:top="1323" w:right="739" w:bottom="1440" w:gutter="0" w:footer="0" w:header="0"/>
        </w:sectPr>
      </w:pPr>
    </w:p>
    <w:bookmarkStart w:id="131" w:name="page132"/>
    <w:bookmarkEnd w:id="131"/>
    <w:p>
      <w:pPr>
        <w:ind w:left="1304" w:right="20"/>
        <w:spacing w:after="0" w:line="246" w:lineRule="auto"/>
        <w:rPr>
          <w:sz w:val="20"/>
          <w:szCs w:val="20"/>
          <w:color w:val="auto"/>
        </w:rPr>
      </w:pPr>
      <w:r>
        <w:rPr>
          <w:rFonts w:ascii="Arial" w:cs="Arial" w:eastAsia="Arial" w:hAnsi="Arial"/>
          <w:sz w:val="18"/>
          <w:szCs w:val="18"/>
          <w:color w:val="auto"/>
        </w:rPr>
        <w:t xml:space="preserve">amount of any such payment of Taxes or Tax Expenses out of the Qualified Settlement Fund (and any withholding pursuant to this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93" w:lineRule="exact"/>
        <w:rPr>
          <w:sz w:val="20"/>
          <w:szCs w:val="20"/>
          <w:color w:val="auto"/>
        </w:rPr>
      </w:pPr>
    </w:p>
    <w:p>
      <w:pPr>
        <w:jc w:val="both"/>
        <w:ind w:left="4" w:right="20" w:firstLine="648"/>
        <w:spacing w:after="0" w:line="243" w:lineRule="auto"/>
        <w:rPr>
          <w:sz w:val="20"/>
          <w:szCs w:val="20"/>
          <w:color w:val="auto"/>
        </w:rPr>
      </w:pPr>
      <w:r>
        <w:rPr>
          <w:rFonts w:ascii="Arial" w:cs="Arial" w:eastAsia="Arial" w:hAnsi="Arial"/>
          <w:sz w:val="16"/>
          <w:szCs w:val="16"/>
          <w:b w:val="1"/>
          <w:bCs w:val="1"/>
          <w:color w:val="auto"/>
        </w:rPr>
        <w:t xml:space="preserve">7.4. PEC Responsibilities. </w:t>
      </w:r>
      <w:r>
        <w:rPr>
          <w:rFonts w:ascii="Arial" w:cs="Arial" w:eastAsia="Arial" w:hAnsi="Arial"/>
          <w:sz w:val="16"/>
          <w:szCs w:val="16"/>
          <w:color w:val="auto"/>
        </w:rPr>
        <w:t>The PEC shall take all required steps to establish the QSF with a bank of its choice (subject to the Settling</w:t>
      </w:r>
      <w:r>
        <w:rPr>
          <w:rFonts w:ascii="Arial" w:cs="Arial" w:eastAsia="Arial" w:hAnsi="Arial"/>
          <w:sz w:val="16"/>
          <w:szCs w:val="16"/>
          <w:b w:val="1"/>
          <w:bCs w:val="1"/>
          <w:color w:val="auto"/>
        </w:rPr>
        <w:t xml:space="preserve"> </w:t>
      </w:r>
      <w:r>
        <w:rPr>
          <w:rFonts w:ascii="Arial" w:cs="Arial" w:eastAsia="Arial" w:hAnsi="Arial"/>
          <w:sz w:val="16"/>
          <w:szCs w:val="16"/>
          <w:color w:val="auto"/>
        </w:rPr>
        <w:t>Defendants’ consent, which will not be unreasonably withheld) and to define the powers and responsibilities of the QSF Administrator. The PEC shall provide all necessary identifying information to the Settling Defendants and the Escrow Agent regarding the QSF prior to the Escrow Agent’s</w:t>
      </w:r>
    </w:p>
    <w:p>
      <w:pPr>
        <w:spacing w:after="0" w:line="1" w:lineRule="exact"/>
        <w:rPr>
          <w:sz w:val="20"/>
          <w:szCs w:val="20"/>
          <w:color w:val="auto"/>
        </w:rPr>
      </w:pPr>
    </w:p>
    <w:p>
      <w:pPr>
        <w:jc w:val="both"/>
        <w:ind w:left="4" w:right="20"/>
        <w:spacing w:after="0" w:line="226" w:lineRule="auto"/>
        <w:rPr>
          <w:sz w:val="20"/>
          <w:szCs w:val="20"/>
          <w:color w:val="auto"/>
        </w:rPr>
      </w:pPr>
      <w:r>
        <w:rPr>
          <w:rFonts w:ascii="Arial" w:cs="Arial" w:eastAsia="Arial" w:hAnsi="Arial"/>
          <w:sz w:val="18"/>
          <w:szCs w:val="18"/>
          <w:color w:val="auto"/>
        </w:rPr>
        <w:t>deposit of the Settlement Funds. For the avoidance of doubt, the expenses incurred in connection with designation of the QSF shall be considered Settlement Administration Expenses.</w:t>
      </w:r>
    </w:p>
    <w:p>
      <w:pPr>
        <w:spacing w:after="0" w:line="198" w:lineRule="exact"/>
        <w:rPr>
          <w:sz w:val="20"/>
          <w:szCs w:val="20"/>
          <w:color w:val="auto"/>
        </w:rPr>
      </w:pPr>
    </w:p>
    <w:p>
      <w:pPr>
        <w:jc w:val="both"/>
        <w:ind w:left="4" w:right="20" w:firstLine="648"/>
        <w:spacing w:after="0" w:line="236" w:lineRule="auto"/>
        <w:rPr>
          <w:sz w:val="20"/>
          <w:szCs w:val="20"/>
          <w:color w:val="auto"/>
        </w:rPr>
      </w:pPr>
      <w:r>
        <w:rPr>
          <w:rFonts w:ascii="Arial" w:cs="Arial" w:eastAsia="Arial" w:hAnsi="Arial"/>
          <w:sz w:val="17"/>
          <w:szCs w:val="17"/>
          <w:b w:val="1"/>
          <w:bCs w:val="1"/>
          <w:color w:val="auto"/>
        </w:rPr>
        <w:t xml:space="preserve">7.5. QSF Administrator. </w:t>
      </w:r>
      <w:r>
        <w:rPr>
          <w:rFonts w:ascii="Arial" w:cs="Arial" w:eastAsia="Arial" w:hAnsi="Arial"/>
          <w:sz w:val="17"/>
          <w:szCs w:val="17"/>
          <w:color w:val="auto"/>
        </w:rPr>
        <w:t>The Qualified Settlement Fund shall be overseen by a QSF Administrator. The QSF Administrator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by the PEC. The QSF Administrator shall be approved by the Circuit Court of Cook County, Illinois, and shall be the “Administrator” of</w:t>
      </w:r>
    </w:p>
    <w:p>
      <w:pPr>
        <w:ind w:left="4"/>
        <w:spacing w:after="0"/>
        <w:rPr>
          <w:sz w:val="20"/>
          <w:szCs w:val="20"/>
          <w:color w:val="auto"/>
        </w:rPr>
      </w:pPr>
      <w:r>
        <w:rPr>
          <w:rFonts w:ascii="Arial" w:cs="Arial" w:eastAsia="Arial" w:hAnsi="Arial"/>
          <w:sz w:val="18"/>
          <w:szCs w:val="18"/>
          <w:color w:val="auto"/>
        </w:rPr>
        <w:t>the QSF within the meaning of Section 1.468B-2(k)(3) of the Treasury Regulations. Additionally:</w:t>
      </w:r>
    </w:p>
    <w:p>
      <w:pPr>
        <w:spacing w:after="0" w:line="196" w:lineRule="exact"/>
        <w:rPr>
          <w:sz w:val="20"/>
          <w:szCs w:val="20"/>
          <w:color w:val="auto"/>
        </w:rPr>
      </w:pPr>
    </w:p>
    <w:p>
      <w:pPr>
        <w:ind w:left="1304" w:right="20" w:hanging="657"/>
        <w:spacing w:after="0" w:line="246" w:lineRule="auto"/>
        <w:tabs>
          <w:tab w:leader="none" w:pos="13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the QSF Administrator resigns or otherwise cannot perform its duties and responsibilities under the Agreement, a replacement will be selected by the PEC.</w:t>
      </w:r>
    </w:p>
    <w:p>
      <w:pPr>
        <w:spacing w:after="0" w:line="196" w:lineRule="exact"/>
        <w:rPr>
          <w:rFonts w:ascii="Arial" w:cs="Arial" w:eastAsia="Arial" w:hAnsi="Arial"/>
          <w:sz w:val="18"/>
          <w:szCs w:val="18"/>
          <w:color w:val="auto"/>
        </w:rPr>
      </w:pPr>
    </w:p>
    <w:p>
      <w:pPr>
        <w:jc w:val="both"/>
        <w:ind w:left="1304" w:right="20" w:hanging="657"/>
        <w:spacing w:after="0" w:line="229" w:lineRule="auto"/>
        <w:tabs>
          <w:tab w:leader="none" w:pos="129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QSF Administrator shall be compensated for its reasonable and necessary time charges incurred in the performance of the position at a reasonable rate for the services to be performed, which, for the avoidance of doubt, shall be considered Settlement Administration Expenses.</w:t>
      </w:r>
    </w:p>
    <w:p>
      <w:pPr>
        <w:spacing w:after="0" w:line="204" w:lineRule="exact"/>
        <w:rPr>
          <w:rFonts w:ascii="Arial" w:cs="Arial" w:eastAsia="Arial" w:hAnsi="Arial"/>
          <w:sz w:val="18"/>
          <w:szCs w:val="18"/>
          <w:color w:val="auto"/>
        </w:rPr>
      </w:pPr>
    </w:p>
    <w:p>
      <w:pPr>
        <w:jc w:val="both"/>
        <w:ind w:left="1304" w:right="20" w:hanging="657"/>
        <w:spacing w:after="0" w:line="219" w:lineRule="auto"/>
        <w:tabs>
          <w:tab w:leader="none" w:pos="13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QSF Administrator will have the sole and entire responsibility for making disbursements from the Qualified Settlement Fund of amounts to the Participating Claimants. However, the QSF Administrator can only make disbursements that are approved by the Claims Administrator and are otherwise consistent with the terms of this Settlement Agreement. For the avoidance of doubt, it is understood that the amount to be paid to each Participating Claimant is determined by the Claims Administrator and not the QSF Administrator.</w:t>
      </w:r>
    </w:p>
    <w:p>
      <w:pPr>
        <w:spacing w:after="0" w:line="199" w:lineRule="exact"/>
        <w:rPr>
          <w:sz w:val="20"/>
          <w:szCs w:val="20"/>
          <w:color w:val="auto"/>
        </w:rPr>
      </w:pPr>
    </w:p>
    <w:p>
      <w:pPr>
        <w:jc w:val="both"/>
        <w:ind w:left="4" w:right="20" w:firstLine="648"/>
        <w:spacing w:after="0" w:line="229" w:lineRule="auto"/>
        <w:rPr>
          <w:sz w:val="20"/>
          <w:szCs w:val="20"/>
          <w:color w:val="auto"/>
        </w:rPr>
      </w:pPr>
      <w:r>
        <w:rPr>
          <w:rFonts w:ascii="Arial" w:cs="Arial" w:eastAsia="Arial" w:hAnsi="Arial"/>
          <w:sz w:val="17"/>
          <w:szCs w:val="17"/>
          <w:b w:val="1"/>
          <w:bCs w:val="1"/>
          <w:color w:val="auto"/>
        </w:rPr>
        <w:t xml:space="preserve">7.6. Sterigenics US’s Responsibilities. </w:t>
      </w:r>
      <w:r>
        <w:rPr>
          <w:rFonts w:ascii="Arial" w:cs="Arial" w:eastAsia="Arial" w:hAnsi="Arial"/>
          <w:sz w:val="17"/>
          <w:szCs w:val="17"/>
          <w:color w:val="auto"/>
        </w:rPr>
        <w:t>Neither Sterigenics US nor any Released Party shall have any liability, obligation,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with respect to (i) the investment, disbursement, or other administration or oversight of the QSF, (ii) any liability, obligation, responsibility of the Claims Administrator or QSF Administrator pursuant to this Agreement, or, (iii) any dispute between or among any</w:t>
      </w:r>
    </w:p>
    <w:p>
      <w:pPr>
        <w:jc w:val="both"/>
        <w:ind w:left="4" w:right="20"/>
        <w:spacing w:after="0" w:line="226" w:lineRule="auto"/>
        <w:rPr>
          <w:sz w:val="20"/>
          <w:szCs w:val="20"/>
          <w:color w:val="auto"/>
        </w:rPr>
      </w:pPr>
      <w:r>
        <w:rPr>
          <w:rFonts w:ascii="Arial" w:cs="Arial" w:eastAsia="Arial" w:hAnsi="Arial"/>
          <w:sz w:val="18"/>
          <w:szCs w:val="18"/>
          <w:color w:val="auto"/>
        </w:rPr>
        <w:t>Participating Claimants and/or their respective counsel with respect to any costs, expenses, legal fees, or litigation costs to be deducted from the QSF.</w:t>
      </w:r>
    </w:p>
    <w:p>
      <w:pPr>
        <w:spacing w:after="0" w:line="198" w:lineRule="exact"/>
        <w:rPr>
          <w:sz w:val="20"/>
          <w:szCs w:val="20"/>
          <w:color w:val="auto"/>
        </w:rPr>
      </w:pPr>
    </w:p>
    <w:p>
      <w:pPr>
        <w:ind w:left="644" w:hanging="644"/>
        <w:spacing w:after="0"/>
        <w:tabs>
          <w:tab w:leader="none" w:pos="644"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ADMINISTRATION</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color w:val="auto"/>
        </w:rPr>
        <w:t xml:space="preserve">Claims Administrator. </w:t>
      </w:r>
      <w:r>
        <w:rPr>
          <w:rFonts w:ascii="Arial" w:cs="Arial" w:eastAsia="Arial" w:hAnsi="Arial"/>
          <w:sz w:val="16"/>
          <w:szCs w:val="16"/>
          <w:color w:val="auto"/>
        </w:rPr>
        <w:t>The PEC shall select a Claims Administrator.</w:t>
      </w:r>
    </w:p>
    <w:p>
      <w:pPr>
        <w:spacing w:after="0" w:line="229" w:lineRule="exact"/>
        <w:rPr>
          <w:rFonts w:ascii="Arial" w:cs="Arial" w:eastAsia="Arial" w:hAnsi="Arial"/>
          <w:sz w:val="18"/>
          <w:szCs w:val="18"/>
          <w:b w:val="1"/>
          <w:bCs w:val="1"/>
          <w:color w:val="auto"/>
        </w:rPr>
      </w:pPr>
    </w:p>
    <w:p>
      <w:pPr>
        <w:ind w:left="1304" w:right="20" w:hanging="656"/>
        <w:spacing w:after="0" w:line="235" w:lineRule="auto"/>
        <w:tabs>
          <w:tab w:leader="none" w:pos="130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If the Claims Administrator resigns or otherwise cannot perform its duties and responsibilities under the Agreement, a replacement will be selected by the PEC.</w:t>
      </w:r>
    </w:p>
    <w:p>
      <w:pPr>
        <w:spacing w:after="0" w:line="202" w:lineRule="exact"/>
        <w:rPr>
          <w:rFonts w:ascii="Arial" w:cs="Arial" w:eastAsia="Arial" w:hAnsi="Arial"/>
          <w:sz w:val="18"/>
          <w:szCs w:val="18"/>
          <w:color w:val="auto"/>
        </w:rPr>
      </w:pPr>
    </w:p>
    <w:p>
      <w:pPr>
        <w:ind w:left="1284" w:hanging="636"/>
        <w:spacing w:after="0"/>
        <w:tabs>
          <w:tab w:leader="none" w:pos="128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Subject to the PEC’s direction and oversight, the Claims Administrator’s responsibilities and authority shall include the following:</w:t>
      </w:r>
    </w:p>
    <w:p>
      <w:pPr>
        <w:spacing w:after="0" w:line="248" w:lineRule="exact"/>
        <w:rPr>
          <w:rFonts w:ascii="Arial" w:cs="Arial" w:eastAsia="Arial" w:hAnsi="Arial"/>
          <w:sz w:val="16"/>
          <w:szCs w:val="16"/>
          <w:color w:val="auto"/>
        </w:rPr>
      </w:pPr>
    </w:p>
    <w:p>
      <w:pPr>
        <w:jc w:val="both"/>
        <w:ind w:left="1944" w:right="20" w:hanging="648"/>
        <w:spacing w:after="0" w:line="235" w:lineRule="auto"/>
        <w:tabs>
          <w:tab w:leader="none" w:pos="1944" w:val="left"/>
        </w:tabs>
        <w:numPr>
          <w:ilvl w:val="2"/>
          <w:numId w:val="179"/>
        </w:numPr>
        <w:rPr>
          <w:rFonts w:ascii="Arial" w:cs="Arial" w:eastAsia="Arial" w:hAnsi="Arial"/>
          <w:sz w:val="17"/>
          <w:szCs w:val="17"/>
          <w:color w:val="auto"/>
        </w:rPr>
      </w:pPr>
      <w:r>
        <w:rPr>
          <w:rFonts w:ascii="Arial" w:cs="Arial" w:eastAsia="Arial" w:hAnsi="Arial"/>
          <w:sz w:val="17"/>
          <w:szCs w:val="17"/>
          <w:color w:val="auto"/>
        </w:rPr>
        <w:t>The Claims Administrator shall evaluate all Claimants, apply a claim valuation formula or matrix to determine each Claimant’s settlement allocation amount, and, in consultation with the PEC, create or administer such other procedures or processes the Claims Administrator deems reasonably necessary for the efficient and timely administration of the Settlement Program; provided, however, that such procedures comply with and are in no way inconsistent with applicable state Rules of Professional Responsibility or the terms of this Agreement.</w:t>
      </w:r>
    </w:p>
    <w:p>
      <w:pPr>
        <w:spacing w:after="0" w:line="203" w:lineRule="exact"/>
        <w:rPr>
          <w:rFonts w:ascii="Arial" w:cs="Arial" w:eastAsia="Arial" w:hAnsi="Arial"/>
          <w:sz w:val="17"/>
          <w:szCs w:val="17"/>
          <w:color w:val="auto"/>
        </w:rPr>
      </w:pPr>
    </w:p>
    <w:p>
      <w:pPr>
        <w:jc w:val="both"/>
        <w:ind w:left="1944" w:hanging="648"/>
        <w:spacing w:after="0" w:line="223" w:lineRule="auto"/>
        <w:tabs>
          <w:tab w:leader="none" w:pos="1944"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Claims Administrator shall have the authority to perform all actions, to the extent not expressly prohibited by, or otherwise inconsistent with, applicable state Rules of Professional Responsibility or this Agreement, deemed by the Claims Administrator, and any consultants retained by the Claims Administrator to be reasonably necessary for the efficient and timely administration of the Settlement Program.</w:t>
      </w:r>
    </w:p>
    <w:p>
      <w:pPr>
        <w:spacing w:after="0" w:line="202" w:lineRule="exact"/>
        <w:rPr>
          <w:rFonts w:ascii="Arial" w:cs="Arial" w:eastAsia="Arial" w:hAnsi="Arial"/>
          <w:sz w:val="18"/>
          <w:szCs w:val="18"/>
          <w:color w:val="auto"/>
        </w:rPr>
      </w:pPr>
    </w:p>
    <w:p>
      <w:pPr>
        <w:jc w:val="both"/>
        <w:ind w:left="1304" w:right="20" w:hanging="656"/>
        <w:spacing w:after="0" w:line="224" w:lineRule="auto"/>
        <w:tabs>
          <w:tab w:leader="none" w:pos="130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Claims Administrator shall be compensated for its reasonable and necessary time charges incurred in the performance of the position at a reasonable rate for the services to be performed, which, for the avoidance of doubt, shall be considered Settlement Administration Expenses.</w:t>
      </w:r>
    </w:p>
    <w:p>
      <w:pPr>
        <w:spacing w:after="0" w:line="203" w:lineRule="exact"/>
        <w:rPr>
          <w:rFonts w:ascii="Arial" w:cs="Arial" w:eastAsia="Arial" w:hAnsi="Arial"/>
          <w:sz w:val="18"/>
          <w:szCs w:val="18"/>
          <w:color w:val="auto"/>
        </w:rPr>
      </w:pPr>
    </w:p>
    <w:p>
      <w:pPr>
        <w:ind w:left="1304" w:right="20" w:hanging="656"/>
        <w:spacing w:after="0" w:line="246" w:lineRule="auto"/>
        <w:tabs>
          <w:tab w:leader="none" w:pos="129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It is expressly agreed that unless otherwise expressly set forth in this Agreement, the final decisions of the Claims Administrator under this Agreement, which may result from an internal</w:t>
      </w:r>
    </w:p>
    <w:p>
      <w:pPr>
        <w:sectPr>
          <w:pgSz w:w="11900" w:h="16838" w:orient="portrait"/>
          <w:cols w:equalWidth="0" w:num="1">
            <w:col w:w="10724"/>
          </w:cols>
          <w:pgMar w:left="436" w:top="132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0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724"/>
          </w:cols>
          <w:pgMar w:left="436" w:top="1327" w:right="739" w:bottom="1440" w:gutter="0" w:footer="0" w:header="0"/>
          <w:type w:val="continuous"/>
        </w:sectPr>
      </w:pPr>
    </w:p>
    <w:bookmarkStart w:id="132" w:name="page133"/>
    <w:bookmarkEnd w:id="132"/>
    <w:p>
      <w:pPr>
        <w:ind w:left="1304" w:right="80"/>
        <w:spacing w:after="0" w:line="246" w:lineRule="auto"/>
        <w:rPr>
          <w:sz w:val="20"/>
          <w:szCs w:val="20"/>
          <w:color w:val="auto"/>
        </w:rPr>
      </w:pPr>
      <w:r>
        <w:rPr>
          <w:rFonts w:ascii="Arial" w:cs="Arial" w:eastAsia="Arial" w:hAnsi="Arial"/>
          <w:sz w:val="18"/>
          <w:szCs w:val="18"/>
          <w:color w:val="auto"/>
        </w:rPr>
        <w:t>appeals process, shall be binding, final, and not subject to appeal or to further review or appeal by any court or other body or entity.</w:t>
      </w:r>
    </w:p>
    <w:p>
      <w:pPr>
        <w:spacing w:after="0" w:line="193" w:lineRule="exact"/>
        <w:rPr>
          <w:sz w:val="20"/>
          <w:szCs w:val="20"/>
          <w:color w:val="auto"/>
        </w:rPr>
      </w:pPr>
    </w:p>
    <w:p>
      <w:pPr>
        <w:jc w:val="both"/>
        <w:ind w:left="4" w:right="100" w:firstLine="648"/>
        <w:spacing w:after="0" w:line="226" w:lineRule="auto"/>
        <w:rPr>
          <w:sz w:val="20"/>
          <w:szCs w:val="20"/>
          <w:color w:val="auto"/>
        </w:rPr>
      </w:pPr>
      <w:r>
        <w:rPr>
          <w:rFonts w:ascii="Arial" w:cs="Arial" w:eastAsia="Arial" w:hAnsi="Arial"/>
          <w:sz w:val="18"/>
          <w:szCs w:val="18"/>
          <w:b w:val="1"/>
          <w:bCs w:val="1"/>
          <w:color w:val="auto"/>
        </w:rPr>
        <w:t xml:space="preserve">8.2. No Role for Settling Defendants in Allocation of Settlement Funds. </w:t>
      </w:r>
      <w:r>
        <w:rPr>
          <w:rFonts w:ascii="Arial" w:cs="Arial" w:eastAsia="Arial" w:hAnsi="Arial"/>
          <w:sz w:val="18"/>
          <w:szCs w:val="18"/>
          <w:color w:val="auto"/>
        </w:rPr>
        <w:t>Settling Defendants and their counsel have played no role</w:t>
      </w:r>
      <w:r>
        <w:rPr>
          <w:rFonts w:ascii="Arial" w:cs="Arial" w:eastAsia="Arial" w:hAnsi="Arial"/>
          <w:sz w:val="18"/>
          <w:szCs w:val="18"/>
          <w:b w:val="1"/>
          <w:bCs w:val="1"/>
          <w:color w:val="auto"/>
        </w:rPr>
        <w:t xml:space="preserve"> </w:t>
      </w:r>
      <w:r>
        <w:rPr>
          <w:rFonts w:ascii="Arial" w:cs="Arial" w:eastAsia="Arial" w:hAnsi="Arial"/>
          <w:sz w:val="18"/>
          <w:szCs w:val="18"/>
          <w:color w:val="auto"/>
        </w:rPr>
        <w:t>in, will play no role in, and will neither take nor bear any responsibility for the allocation of settlement funds among the Participating Claimants and/or their respective counsel.</w:t>
      </w:r>
    </w:p>
    <w:p>
      <w:pPr>
        <w:spacing w:after="0" w:line="198" w:lineRule="exact"/>
        <w:rPr>
          <w:sz w:val="20"/>
          <w:szCs w:val="20"/>
          <w:color w:val="auto"/>
        </w:rPr>
      </w:pPr>
    </w:p>
    <w:p>
      <w:pPr>
        <w:ind w:left="644" w:hanging="644"/>
        <w:spacing w:after="0"/>
        <w:tabs>
          <w:tab w:leader="none" w:pos="64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PENDING LITIGATION</w:t>
      </w:r>
    </w:p>
    <w:p>
      <w:pPr>
        <w:spacing w:after="0" w:line="225" w:lineRule="exact"/>
        <w:rPr>
          <w:sz w:val="20"/>
          <w:szCs w:val="20"/>
          <w:color w:val="auto"/>
        </w:rPr>
      </w:pPr>
    </w:p>
    <w:p>
      <w:pPr>
        <w:jc w:val="both"/>
        <w:ind w:left="4" w:right="100" w:firstLine="648"/>
        <w:spacing w:after="0" w:line="226" w:lineRule="auto"/>
        <w:rPr>
          <w:sz w:val="20"/>
          <w:szCs w:val="20"/>
          <w:color w:val="auto"/>
        </w:rPr>
      </w:pPr>
      <w:r>
        <w:rPr>
          <w:rFonts w:ascii="Arial" w:cs="Arial" w:eastAsia="Arial" w:hAnsi="Arial"/>
          <w:sz w:val="18"/>
          <w:szCs w:val="18"/>
          <w:b w:val="1"/>
          <w:bCs w:val="1"/>
          <w:color w:val="auto"/>
        </w:rPr>
        <w:t xml:space="preserve">9.1. Continuance of Stays. </w:t>
      </w:r>
      <w:r>
        <w:rPr>
          <w:rFonts w:ascii="Arial" w:cs="Arial" w:eastAsia="Arial" w:hAnsi="Arial"/>
          <w:sz w:val="18"/>
          <w:szCs w:val="18"/>
          <w:color w:val="auto"/>
        </w:rPr>
        <w:t>The relevant Parties shall stipulate to continue the stays of the Pending Actions until the earlier of (i)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dismissal of all Pending Actions,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(ii) the termination of this Agreement, including (without limitation) if the Settling Defendants exercise a Walk Away Right.</w:t>
      </w:r>
    </w:p>
    <w:p>
      <w:pPr>
        <w:spacing w:after="0" w:line="198"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 xml:space="preserve">Good Faith Settlement Determination. </w:t>
      </w:r>
      <w:r>
        <w:rPr>
          <w:rFonts w:ascii="Arial" w:cs="Arial" w:eastAsia="Arial" w:hAnsi="Arial"/>
          <w:sz w:val="17"/>
          <w:szCs w:val="17"/>
          <w:color w:val="auto"/>
        </w:rPr>
        <w:t>Following the Settling Defendants’ Decision to Proceed, the Parties will use their best</w:t>
      </w:r>
    </w:p>
    <w:p>
      <w:pPr>
        <w:spacing w:after="0" w:line="2" w:lineRule="exact"/>
        <w:rPr>
          <w:sz w:val="20"/>
          <w:szCs w:val="20"/>
          <w:color w:val="auto"/>
        </w:rPr>
      </w:pPr>
    </w:p>
    <w:p>
      <w:pPr>
        <w:jc w:val="both"/>
        <w:ind w:left="4" w:right="100"/>
        <w:spacing w:after="0" w:line="234" w:lineRule="auto"/>
        <w:rPr>
          <w:sz w:val="20"/>
          <w:szCs w:val="20"/>
          <w:color w:val="auto"/>
        </w:rPr>
      </w:pPr>
      <w:r>
        <w:rPr>
          <w:rFonts w:ascii="Arial" w:cs="Arial" w:eastAsia="Arial" w:hAnsi="Arial"/>
          <w:sz w:val="16"/>
          <w:szCs w:val="16"/>
          <w:color w:val="auto"/>
        </w:rPr>
        <w:t>efforts to obtain a Good Faith Settlement Determination for each Participating Claimant. If the court does not enter a Good Faith Settlement Determination, or if the Good Faith Settlement Determination is overturned on appeal, then (i) the Parties will return to mediation and use best efforts to resolve any issues and (ii) if the issues cannot be resolved, and if requested by the Settling Defendants, the Parties shall, consistent with</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6.6</w:t>
      </w:r>
      <w:r>
        <w:rPr>
          <w:rFonts w:ascii="Arial" w:cs="Arial" w:eastAsia="Arial" w:hAnsi="Arial"/>
          <w:sz w:val="18"/>
          <w:szCs w:val="18"/>
          <w:color w:val="auto"/>
        </w:rPr>
        <w:t>, take all necessary steps to cause the Escrow Agent to return the Settlement Funds to Sterigenics US.</w:t>
      </w:r>
    </w:p>
    <w:p>
      <w:pPr>
        <w:spacing w:after="0" w:line="205" w:lineRule="exact"/>
        <w:rPr>
          <w:sz w:val="20"/>
          <w:szCs w:val="20"/>
          <w:color w:val="auto"/>
        </w:rPr>
      </w:pPr>
    </w:p>
    <w:p>
      <w:pPr>
        <w:jc w:val="both"/>
        <w:ind w:left="4" w:right="100" w:firstLine="648"/>
        <w:spacing w:after="0" w:line="237" w:lineRule="auto"/>
        <w:rPr>
          <w:sz w:val="20"/>
          <w:szCs w:val="20"/>
          <w:color w:val="auto"/>
        </w:rPr>
      </w:pPr>
      <w:r>
        <w:rPr>
          <w:rFonts w:ascii="Arial" w:cs="Arial" w:eastAsia="Arial" w:hAnsi="Arial"/>
          <w:sz w:val="18"/>
          <w:szCs w:val="18"/>
          <w:b w:val="1"/>
          <w:bCs w:val="1"/>
          <w:color w:val="auto"/>
        </w:rPr>
        <w:t xml:space="preserve">9.3. Dismissal. </w:t>
      </w:r>
      <w:r>
        <w:rPr>
          <w:rFonts w:ascii="Arial" w:cs="Arial" w:eastAsia="Arial" w:hAnsi="Arial"/>
          <w:sz w:val="18"/>
          <w:szCs w:val="18"/>
          <w:color w:val="auto"/>
        </w:rPr>
        <w:t>Within 10 days of the QSF Funding Date, the Plaintiffs’ Counsel, in coordination with each Participating Claimant,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dismiss, with prejudice, the respective Actions on behalf of each Participating Claimant.</w:t>
      </w:r>
    </w:p>
    <w:p>
      <w:pPr>
        <w:spacing w:after="0" w:line="199" w:lineRule="exact"/>
        <w:rPr>
          <w:sz w:val="20"/>
          <w:szCs w:val="20"/>
          <w:color w:val="auto"/>
        </w:rPr>
      </w:pPr>
    </w:p>
    <w:p>
      <w:pPr>
        <w:jc w:val="both"/>
        <w:ind w:left="4" w:right="100" w:firstLine="648"/>
        <w:spacing w:after="0" w:line="237" w:lineRule="auto"/>
        <w:rPr>
          <w:sz w:val="20"/>
          <w:szCs w:val="20"/>
          <w:color w:val="auto"/>
        </w:rPr>
      </w:pPr>
      <w:r>
        <w:rPr>
          <w:rFonts w:ascii="Arial" w:cs="Arial" w:eastAsia="Arial" w:hAnsi="Arial"/>
          <w:sz w:val="18"/>
          <w:szCs w:val="18"/>
          <w:b w:val="1"/>
          <w:bCs w:val="1"/>
          <w:color w:val="auto"/>
        </w:rPr>
        <w:t xml:space="preserve">9.4. Other Required Court Approvals. </w:t>
      </w:r>
      <w:r>
        <w:rPr>
          <w:rFonts w:ascii="Arial" w:cs="Arial" w:eastAsia="Arial" w:hAnsi="Arial"/>
          <w:sz w:val="18"/>
          <w:szCs w:val="18"/>
          <w:color w:val="auto"/>
        </w:rPr>
        <w:t>Any additional court approval that may be required by applicable state law shall be obtained,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as follows:</w:t>
      </w:r>
    </w:p>
    <w:p>
      <w:pPr>
        <w:spacing w:after="0" w:line="203" w:lineRule="exact"/>
        <w:rPr>
          <w:sz w:val="20"/>
          <w:szCs w:val="20"/>
          <w:color w:val="auto"/>
        </w:rPr>
      </w:pPr>
    </w:p>
    <w:p>
      <w:pPr>
        <w:jc w:val="both"/>
        <w:ind w:left="1304" w:right="100" w:hanging="656"/>
        <w:spacing w:after="0" w:line="222" w:lineRule="auto"/>
        <w:tabs>
          <w:tab w:leader="none" w:pos="130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Plaintiffs’ Counsel for a Participating Claimant will seek court approval of the settlement of any Claim brought on behalf of a decedent or others authorized under applicable state law to advance survival or wrongful death claims. The relevant Plaintiffs’ Counsel will assume responsibility for all necessary filings relating to notice and approval of the settlement, including procedures for compliance with Circuit Cook of Cook County Rules 6.5 and 12.15. The Released Parties will not be responsible for the associated costs and expenses.</w:t>
      </w:r>
    </w:p>
    <w:p>
      <w:pPr>
        <w:spacing w:after="0" w:line="203" w:lineRule="exact"/>
        <w:rPr>
          <w:rFonts w:ascii="Arial" w:cs="Arial" w:eastAsia="Arial" w:hAnsi="Arial"/>
          <w:sz w:val="18"/>
          <w:szCs w:val="18"/>
          <w:color w:val="auto"/>
        </w:rPr>
      </w:pPr>
    </w:p>
    <w:p>
      <w:pPr>
        <w:jc w:val="both"/>
        <w:ind w:left="1304" w:right="100" w:hanging="656"/>
        <w:spacing w:after="0" w:line="219" w:lineRule="auto"/>
        <w:tabs>
          <w:tab w:leader="none" w:pos="129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Plaintiffs’ Counsel for a Participating Claimant will seek court approval of the settlement of any Claim brought on behalf of a minor or disabled Person. The relevant Plaintiffs’ Counsel will assume responsibility for all necessary probate and guardianship filings, all filings relating to court approval of settlement, and all issues or rulings arising therefrom or related thereto, including procedures for compliance with Circuit Cook of Cook County Rules 6.4 and 12.15. The Released Parties will not be responsible for the associated costs and expenses.</w:t>
      </w:r>
    </w:p>
    <w:p>
      <w:pPr>
        <w:spacing w:after="0" w:line="199" w:lineRule="exact"/>
        <w:rPr>
          <w:rFonts w:ascii="Arial" w:cs="Arial" w:eastAsia="Arial" w:hAnsi="Arial"/>
          <w:sz w:val="18"/>
          <w:szCs w:val="18"/>
          <w:color w:val="auto"/>
        </w:rPr>
      </w:pPr>
    </w:p>
    <w:p>
      <w:pPr>
        <w:ind w:left="644" w:hanging="644"/>
        <w:spacing w:after="0"/>
        <w:tabs>
          <w:tab w:leader="none" w:pos="64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SUBROGATION CLAIMS, LIENS, AND OTHER THIRD-PARTY CLAIMS</w:t>
      </w:r>
    </w:p>
    <w:p>
      <w:pPr>
        <w:spacing w:after="0" w:line="213"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Statutory Interest of CMS. </w:t>
      </w:r>
      <w:r>
        <w:rPr>
          <w:rFonts w:ascii="Arial" w:cs="Arial" w:eastAsia="Arial" w:hAnsi="Arial"/>
          <w:sz w:val="18"/>
          <w:szCs w:val="18"/>
          <w:color w:val="auto"/>
        </w:rPr>
        <w:t>In acknowledgement of the MMSEA, the Parties acknowledge and agree that in reaching this</w:t>
      </w:r>
    </w:p>
    <w:p>
      <w:pPr>
        <w:ind w:left="4" w:right="100"/>
        <w:spacing w:after="0" w:line="237" w:lineRule="auto"/>
        <w:rPr>
          <w:sz w:val="20"/>
          <w:szCs w:val="20"/>
          <w:color w:val="auto"/>
        </w:rPr>
      </w:pPr>
      <w:r>
        <w:rPr>
          <w:rFonts w:ascii="Arial" w:cs="Arial" w:eastAsia="Arial" w:hAnsi="Arial"/>
          <w:sz w:val="16"/>
          <w:szCs w:val="16"/>
          <w:color w:val="auto"/>
        </w:rPr>
        <w:t>Agreement, the Parties have considered the statutory interest of the Centers for Medicare and Medicaid Services of the U.S. Department of Health and Human Services in recovering conditional payments made for medical treatment that resulted directly from injury arising from, relating to, or in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connection with the Event.</w:t>
      </w:r>
    </w:p>
    <w:p>
      <w:pPr>
        <w:spacing w:after="0" w:line="192" w:lineRule="exact"/>
        <w:rPr>
          <w:sz w:val="20"/>
          <w:szCs w:val="20"/>
          <w:color w:val="auto"/>
        </w:rPr>
      </w:pPr>
    </w:p>
    <w:p>
      <w:pPr>
        <w:ind w:left="4" w:firstLine="648"/>
        <w:spacing w:after="0" w:line="237" w:lineRule="auto"/>
        <w:rPr>
          <w:sz w:val="20"/>
          <w:szCs w:val="20"/>
          <w:color w:val="auto"/>
        </w:rPr>
      </w:pPr>
      <w:r>
        <w:rPr>
          <w:rFonts w:ascii="Arial" w:cs="Arial" w:eastAsia="Arial" w:hAnsi="Arial"/>
          <w:sz w:val="18"/>
          <w:szCs w:val="18"/>
          <w:b w:val="1"/>
          <w:bCs w:val="1"/>
          <w:color w:val="auto"/>
        </w:rPr>
        <w:t xml:space="preserve">10.2. Identification and Satisfaction of Liens. </w:t>
      </w:r>
      <w:r>
        <w:rPr>
          <w:rFonts w:ascii="Arial" w:cs="Arial" w:eastAsia="Arial" w:hAnsi="Arial"/>
          <w:sz w:val="18"/>
          <w:szCs w:val="18"/>
          <w:color w:val="auto"/>
        </w:rPr>
        <w:t>Plaintiffs’ Counsel hereby acknowledges and agrees that Participating Claimants are solely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their respective Liens, and further agrees that:</w:t>
      </w:r>
    </w:p>
    <w:p>
      <w:pPr>
        <w:spacing w:after="0" w:line="203" w:lineRule="exact"/>
        <w:rPr>
          <w:sz w:val="20"/>
          <w:szCs w:val="20"/>
          <w:color w:val="auto"/>
        </w:rPr>
      </w:pPr>
    </w:p>
    <w:p>
      <w:pPr>
        <w:ind w:left="1284" w:hanging="636"/>
        <w:spacing w:after="0"/>
        <w:tabs>
          <w:tab w:leader="none" w:pos="128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Plaintiffs’ Counsel shall take or facilitate the following steps to identify and satisfy any Liens under this provision:</w:t>
      </w:r>
    </w:p>
    <w:p>
      <w:pPr>
        <w:spacing w:after="0" w:line="225" w:lineRule="exact"/>
        <w:rPr>
          <w:rFonts w:ascii="Arial" w:cs="Arial" w:eastAsia="Arial" w:hAnsi="Arial"/>
          <w:sz w:val="18"/>
          <w:szCs w:val="18"/>
          <w:color w:val="auto"/>
        </w:rPr>
      </w:pPr>
    </w:p>
    <w:p>
      <w:pPr>
        <w:jc w:val="both"/>
        <w:ind w:left="1944" w:right="100" w:hanging="648"/>
        <w:spacing w:after="0" w:line="229" w:lineRule="auto"/>
        <w:tabs>
          <w:tab w:leader="none" w:pos="194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Information sufficient to identify any Liens subject to mandatory reporting requirements of Section 111 of the MMSEA or reporting requirement of any other Governmental Authority (“</w:t>
      </w:r>
      <w:r>
        <w:rPr>
          <w:rFonts w:ascii="Arial" w:cs="Arial" w:eastAsia="Arial" w:hAnsi="Arial"/>
          <w:sz w:val="18"/>
          <w:szCs w:val="18"/>
          <w:u w:val="single" w:color="auto"/>
          <w:color w:val="auto"/>
        </w:rPr>
        <w:t>Governmental Payor Liens</w:t>
      </w:r>
      <w:r>
        <w:rPr>
          <w:rFonts w:ascii="Arial" w:cs="Arial" w:eastAsia="Arial" w:hAnsi="Arial"/>
          <w:sz w:val="18"/>
          <w:szCs w:val="18"/>
          <w:color w:val="auto"/>
        </w:rPr>
        <w:t>”) shall be provided on each Claimant’s Opt-In Form.</w:t>
      </w:r>
    </w:p>
    <w:p>
      <w:pPr>
        <w:spacing w:after="0" w:line="204" w:lineRule="exact"/>
        <w:rPr>
          <w:rFonts w:ascii="Arial" w:cs="Arial" w:eastAsia="Arial" w:hAnsi="Arial"/>
          <w:sz w:val="18"/>
          <w:szCs w:val="18"/>
          <w:color w:val="auto"/>
        </w:rPr>
      </w:pPr>
    </w:p>
    <w:p>
      <w:pPr>
        <w:jc w:val="both"/>
        <w:ind w:left="1944" w:right="80" w:hanging="648"/>
        <w:spacing w:after="0" w:line="237" w:lineRule="auto"/>
        <w:tabs>
          <w:tab w:leader="none" w:pos="1944"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As an express condition of the distribution of allocated payments to Participating Claimants from the Qualified Settlement Fund, all entities, individuals, government programs, or Governmental Authorities who have a legitimate interest in, a Lien on, or right of subrogation with respect to Participating Claimants’ Claims have been or will be</w:t>
      </w:r>
    </w:p>
    <w:p>
      <w:pPr>
        <w:sectPr>
          <w:pgSz w:w="11900" w:h="16838" w:orient="portrait"/>
          <w:cols w:equalWidth="0" w:num="1">
            <w:col w:w="10804"/>
          </w:cols>
          <w:pgMar w:left="436" w:top="132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804"/>
          </w:cols>
          <w:pgMar w:left="436" w:top="1327" w:right="659" w:bottom="1440" w:gutter="0" w:footer="0" w:header="0"/>
          <w:type w:val="continuous"/>
        </w:sectPr>
      </w:pPr>
    </w:p>
    <w:bookmarkStart w:id="133" w:name="page134"/>
    <w:bookmarkEnd w:id="133"/>
    <w:p>
      <w:pPr>
        <w:ind w:left="1944"/>
        <w:spacing w:after="0"/>
        <w:rPr>
          <w:sz w:val="20"/>
          <w:szCs w:val="20"/>
          <w:color w:val="auto"/>
        </w:rPr>
      </w:pPr>
      <w:r>
        <w:rPr>
          <w:rFonts w:ascii="Arial" w:cs="Arial" w:eastAsia="Arial" w:hAnsi="Arial"/>
          <w:sz w:val="17"/>
          <w:szCs w:val="17"/>
          <w:color w:val="auto"/>
        </w:rPr>
        <w:t>notified by Participating Claimants and/or Plaintiffs’ Counsel to the extent such notification is required by the laws of</w:t>
      </w:r>
    </w:p>
    <w:p>
      <w:pPr>
        <w:spacing w:after="0" w:line="10" w:lineRule="exact"/>
        <w:rPr>
          <w:sz w:val="20"/>
          <w:szCs w:val="20"/>
          <w:color w:val="auto"/>
        </w:rPr>
      </w:pPr>
    </w:p>
    <w:p>
      <w:pPr>
        <w:jc w:val="both"/>
        <w:ind w:left="1944" w:right="20"/>
        <w:spacing w:after="0" w:line="218" w:lineRule="auto"/>
        <w:rPr>
          <w:sz w:val="20"/>
          <w:szCs w:val="20"/>
          <w:color w:val="auto"/>
        </w:rPr>
      </w:pPr>
      <w:r>
        <w:rPr>
          <w:rFonts w:ascii="Arial" w:cs="Arial" w:eastAsia="Arial" w:hAnsi="Arial"/>
          <w:sz w:val="18"/>
          <w:szCs w:val="18"/>
          <w:color w:val="auto"/>
        </w:rPr>
        <w:t>Illinois, or the applicable laws of any relevant jurisdiction, that a settlement has occurred and that any claims of such entities, individuals, government programs, and Governmental Authorities will be satisfied by Participating Claimant’s allocated payment.</w:t>
      </w:r>
    </w:p>
    <w:p>
      <w:pPr>
        <w:spacing w:after="0" w:line="203" w:lineRule="exact"/>
        <w:rPr>
          <w:sz w:val="20"/>
          <w:szCs w:val="20"/>
          <w:color w:val="auto"/>
        </w:rPr>
      </w:pPr>
    </w:p>
    <w:p>
      <w:pPr>
        <w:jc w:val="both"/>
        <w:ind w:left="1944" w:right="20" w:hanging="649"/>
        <w:spacing w:after="0" w:line="217" w:lineRule="auto"/>
        <w:tabs>
          <w:tab w:leader="none" w:pos="194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Plaintiffs’ Counsel shall cooperate fully with Settling Defendants by executing any and all documents and providing such additional information or authorizations as may be required to comply with any mandatory reporting requirements of Section 111 of the MMSEA or reporting requirement of any other Governmental Authority. If such additional information or authorizations are required, Settling Defendants and their insurers shall organize and consolidate such requests to avoid duplication. If Medicare requires resolution under a Medicare global model for any Medicare-entitled Participating Claimant receiving payment, Plaintiffs’ Counsel agree, in coordination with their represented Participating Claimants, to follow any centralized protocols to coordinate and aggregate all Participating Claimants’ Lien obligations, including Medicare.</w:t>
      </w:r>
    </w:p>
    <w:p>
      <w:pPr>
        <w:spacing w:after="0" w:line="203" w:lineRule="exact"/>
        <w:rPr>
          <w:rFonts w:ascii="Arial" w:cs="Arial" w:eastAsia="Arial" w:hAnsi="Arial"/>
          <w:sz w:val="18"/>
          <w:szCs w:val="18"/>
          <w:color w:val="auto"/>
        </w:rPr>
      </w:pPr>
    </w:p>
    <w:p>
      <w:pPr>
        <w:jc w:val="both"/>
        <w:ind w:left="1944" w:right="20" w:hanging="649"/>
        <w:spacing w:after="0" w:line="219" w:lineRule="auto"/>
        <w:tabs>
          <w:tab w:leader="none" w:pos="194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For each Participating Claimant subject to a Governmental Payor Lien, the amount necessary to satisfy any such Lien or Liens shall be withheld from payment to that Participating Claimant and maintained in the QSF until either (i) the receipt of written documentation that the Lien or Liens are satisfied or waived, in which event the withheld amount shall be released to the Participating Claimant; or (ii) the amounts withheld are paid directly to the Governmental Payor in satisfaction of the Lien.</w:t>
      </w:r>
    </w:p>
    <w:p>
      <w:pPr>
        <w:spacing w:after="0" w:line="203" w:lineRule="exact"/>
        <w:rPr>
          <w:rFonts w:ascii="Arial" w:cs="Arial" w:eastAsia="Arial" w:hAnsi="Arial"/>
          <w:sz w:val="18"/>
          <w:szCs w:val="18"/>
          <w:color w:val="auto"/>
        </w:rPr>
      </w:pPr>
    </w:p>
    <w:p>
      <w:pPr>
        <w:jc w:val="both"/>
        <w:ind w:left="1304" w:right="20" w:hanging="657"/>
        <w:spacing w:after="0" w:line="219" w:lineRule="auto"/>
        <w:tabs>
          <w:tab w:leader="none" w:pos="129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reaching this Agreement and paying or causing to be paid the Settlement Amount, Settling Defendants are relying on the representations, warranties, and covenants of Plaintiffs’ Counsel and, specifically, the actions that Plaintiffs’ Counsel have agreed they will take or facilitate to satisfy any and all Liens and subrogation claims by any government program, Governmental Authority, attorneys, healthcare providers, or insurers, should they arise, pertaining to matters involved in or relating to the Event and this Agreement.</w:t>
      </w:r>
    </w:p>
    <w:p>
      <w:pPr>
        <w:spacing w:after="0" w:line="203" w:lineRule="exact"/>
        <w:rPr>
          <w:rFonts w:ascii="Arial" w:cs="Arial" w:eastAsia="Arial" w:hAnsi="Arial"/>
          <w:sz w:val="18"/>
          <w:szCs w:val="18"/>
          <w:color w:val="auto"/>
        </w:rPr>
      </w:pPr>
    </w:p>
    <w:p>
      <w:pPr>
        <w:jc w:val="both"/>
        <w:ind w:left="1304" w:right="20" w:hanging="656"/>
        <w:spacing w:after="0" w:line="229" w:lineRule="auto"/>
        <w:tabs>
          <w:tab w:leader="none" w:pos="130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interest in, Lien on, or right of subrogation with respect to their Claims by or belonging to any and all entities and individuals, including (without limitation) any governmental agencies or authorities, attorneys, litigation funders, healthcare providers, and/or insurers, will be satisfied by the Participating Claimant’s allocated payment.</w:t>
      </w:r>
    </w:p>
    <w:p>
      <w:pPr>
        <w:spacing w:after="0" w:line="204" w:lineRule="exact"/>
        <w:rPr>
          <w:rFonts w:ascii="Arial" w:cs="Arial" w:eastAsia="Arial" w:hAnsi="Arial"/>
          <w:sz w:val="18"/>
          <w:szCs w:val="18"/>
          <w:color w:val="auto"/>
        </w:rPr>
      </w:pPr>
    </w:p>
    <w:p>
      <w:pPr>
        <w:jc w:val="both"/>
        <w:ind w:left="1304" w:right="20" w:hanging="656"/>
        <w:spacing w:after="0" w:line="224" w:lineRule="auto"/>
        <w:tabs>
          <w:tab w:leader="none" w:pos="129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Except as expressly provided in this Agreement, neither Settling Defendants nor any other Released Party is responsible for Liens or subrogation claims against settlement payments or the costs and expenses incurred in resolving any such Liens or subrogation claims against settlement payments.</w:t>
      </w:r>
    </w:p>
    <w:p>
      <w:pPr>
        <w:spacing w:after="0" w:line="199" w:lineRule="exact"/>
        <w:rPr>
          <w:sz w:val="20"/>
          <w:szCs w:val="20"/>
          <w:color w:val="auto"/>
        </w:rPr>
      </w:pPr>
    </w:p>
    <w:p>
      <w:pPr>
        <w:ind w:left="644"/>
        <w:spacing w:after="0"/>
        <w:tabs>
          <w:tab w:leader="none" w:pos="1164"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Indemnification by PEC</w:t>
      </w:r>
      <w:r>
        <w:rPr>
          <w:rFonts w:ascii="Arial" w:cs="Arial" w:eastAsia="Arial" w:hAnsi="Arial"/>
          <w:sz w:val="16"/>
          <w:szCs w:val="16"/>
          <w:color w:val="auto"/>
        </w:rPr>
        <w:t>. Each PEC firm indemnifies and agrees to hold harmless each Settling Defendant and all Released Parties</w:t>
      </w:r>
    </w:p>
    <w:p>
      <w:pPr>
        <w:spacing w:after="0" w:line="2" w:lineRule="exact"/>
        <w:rPr>
          <w:sz w:val="20"/>
          <w:szCs w:val="20"/>
          <w:color w:val="auto"/>
        </w:rPr>
      </w:pPr>
    </w:p>
    <w:p>
      <w:pPr>
        <w:ind w:left="4" w:right="20"/>
        <w:spacing w:after="0" w:line="226" w:lineRule="auto"/>
        <w:rPr>
          <w:sz w:val="20"/>
          <w:szCs w:val="20"/>
          <w:color w:val="auto"/>
        </w:rPr>
      </w:pPr>
      <w:r>
        <w:rPr>
          <w:rFonts w:ascii="Arial" w:cs="Arial" w:eastAsia="Arial" w:hAnsi="Arial"/>
          <w:sz w:val="18"/>
          <w:szCs w:val="18"/>
          <w:color w:val="auto"/>
        </w:rPr>
        <w:t>from any claim of any holder of a Lien on such PEC firm, to the extent such Lien is applicable to such PEC firm and not to any Participating Claimant.</w:t>
      </w:r>
    </w:p>
    <w:p>
      <w:pPr>
        <w:spacing w:after="0" w:line="198" w:lineRule="exact"/>
        <w:rPr>
          <w:sz w:val="20"/>
          <w:szCs w:val="20"/>
          <w:color w:val="auto"/>
        </w:rPr>
      </w:pPr>
    </w:p>
    <w:p>
      <w:pPr>
        <w:ind w:left="4" w:right="20" w:firstLine="648"/>
        <w:spacing w:after="0" w:line="263" w:lineRule="auto"/>
        <w:rPr>
          <w:sz w:val="20"/>
          <w:szCs w:val="20"/>
          <w:color w:val="auto"/>
        </w:rPr>
      </w:pPr>
      <w:r>
        <w:rPr>
          <w:rFonts w:ascii="Arial" w:cs="Arial" w:eastAsia="Arial" w:hAnsi="Arial"/>
          <w:sz w:val="17"/>
          <w:szCs w:val="17"/>
          <w:b w:val="1"/>
          <w:bCs w:val="1"/>
          <w:color w:val="auto"/>
        </w:rPr>
        <w:t>10.4. Released Parties’ Responsibility</w:t>
      </w:r>
      <w:r>
        <w:rPr>
          <w:rFonts w:ascii="Arial" w:cs="Arial" w:eastAsia="Arial" w:hAnsi="Arial"/>
          <w:sz w:val="17"/>
          <w:szCs w:val="17"/>
          <w:color w:val="auto"/>
        </w:rPr>
        <w:t>. Released Parties are not responsible for Liens or subrogation claims against settlement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or the costs and expenses incurred in resolving any such Liens or subrogation claims against settlement payments.</w:t>
      </w:r>
    </w:p>
    <w:p>
      <w:pPr>
        <w:spacing w:after="0" w:line="179" w:lineRule="exact"/>
        <w:rPr>
          <w:sz w:val="20"/>
          <w:szCs w:val="20"/>
          <w:color w:val="auto"/>
        </w:rPr>
      </w:pPr>
    </w:p>
    <w:p>
      <w:pPr>
        <w:ind w:left="624" w:hanging="624"/>
        <w:spacing w:after="0"/>
        <w:tabs>
          <w:tab w:leader="none" w:pos="624"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 STATEMENTS</w:t>
      </w:r>
    </w:p>
    <w:p>
      <w:pPr>
        <w:spacing w:after="0" w:line="225" w:lineRule="exact"/>
        <w:rPr>
          <w:sz w:val="20"/>
          <w:szCs w:val="20"/>
          <w:color w:val="auto"/>
        </w:rPr>
      </w:pPr>
    </w:p>
    <w:p>
      <w:pPr>
        <w:ind w:left="644"/>
        <w:spacing w:after="0"/>
        <w:tabs>
          <w:tab w:leader="none" w:pos="114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Claimants and PEC will not issue any press releases, press briefings, tweets, Instagram posts, or any other social</w:t>
      </w:r>
    </w:p>
    <w:p>
      <w:pPr>
        <w:spacing w:after="0" w:line="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media posts relating to this Agreement. PEC will not identify Settling Defendants or Released Parties by name in any marketing communications, including websites, but may otherwise discuss information that is already in the public domain and may refer to “ethylene oxide litigation.” For the avoidance of doubt, this section applies regardless of the jurisdiction in which the press release or other statement is being made or to which it is</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being directed.</w:t>
      </w:r>
    </w:p>
    <w:p>
      <w:pPr>
        <w:spacing w:after="0" w:line="205"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Solicitation and Marketing.</w:t>
      </w:r>
    </w:p>
    <w:p>
      <w:pPr>
        <w:spacing w:after="0" w:line="229" w:lineRule="exact"/>
        <w:rPr>
          <w:sz w:val="20"/>
          <w:szCs w:val="20"/>
          <w:color w:val="auto"/>
        </w:rPr>
      </w:pPr>
    </w:p>
    <w:p>
      <w:pPr>
        <w:ind w:left="1304" w:right="20" w:hanging="656"/>
        <w:spacing w:after="0" w:line="235" w:lineRule="auto"/>
        <w:tabs>
          <w:tab w:leader="none" w:pos="13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members of the PEC represent and warrant that they and their respective law firms have no present intention to solicit, accept, or represent new clients for the purpose of bringing any Claim against any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24"/>
          </w:cols>
          <w:pgMar w:left="436" w:top="1327" w:right="739" w:bottom="1440" w:gutter="0" w:footer="0" w:header="0"/>
        </w:sectPr>
      </w:pPr>
    </w:p>
    <w:bookmarkStart w:id="134" w:name="page135"/>
    <w:bookmarkEnd w:id="134"/>
    <w:p>
      <w:pPr>
        <w:ind w:left="1284" w:hanging="636"/>
        <w:spacing w:after="0"/>
        <w:tabs>
          <w:tab w:leader="none" w:pos="128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members of the PEC represent and warrant that:</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PEC has conferred with Non-PEC Firms about the obligations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The list of Other Facility Claims reflected in </w:t>
      </w:r>
      <w:r>
        <w:rPr>
          <w:rFonts w:ascii="Arial" w:cs="Arial" w:eastAsia="Arial" w:hAnsi="Arial"/>
          <w:sz w:val="18"/>
          <w:szCs w:val="18"/>
          <w:u w:val="single" w:color="auto"/>
          <w:color w:val="auto"/>
        </w:rPr>
        <w:t>Appendix E</w:t>
      </w:r>
      <w:r>
        <w:rPr>
          <w:rFonts w:ascii="Arial" w:cs="Arial" w:eastAsia="Arial" w:hAnsi="Arial"/>
          <w:sz w:val="18"/>
          <w:szCs w:val="18"/>
          <w:color w:val="auto"/>
        </w:rPr>
        <w:t xml:space="preserve"> is complete and accurate as of the Effective Date; and</w:t>
      </w:r>
    </w:p>
    <w:p>
      <w:pPr>
        <w:spacing w:after="0" w:line="292" w:lineRule="exact"/>
        <w:rPr>
          <w:rFonts w:ascii="Arial" w:cs="Arial" w:eastAsia="Arial" w:hAnsi="Arial"/>
          <w:sz w:val="18"/>
          <w:szCs w:val="18"/>
          <w:color w:val="auto"/>
        </w:rPr>
      </w:pPr>
    </w:p>
    <w:p>
      <w:pPr>
        <w:ind w:left="1944" w:hanging="648"/>
        <w:spacing w:after="0" w:line="235" w:lineRule="auto"/>
        <w:tabs>
          <w:tab w:leader="none" w:pos="194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Plaintiffs’ Counsel are not currently pursuing any Other Facility Claims, regardless of whether they are counsel of record or referral counsel, other than those listed on </w:t>
      </w:r>
      <w:r>
        <w:rPr>
          <w:rFonts w:ascii="Arial" w:cs="Arial" w:eastAsia="Arial" w:hAnsi="Arial"/>
          <w:sz w:val="18"/>
          <w:szCs w:val="18"/>
          <w:u w:val="single" w:color="auto"/>
          <w:color w:val="auto"/>
        </w:rPr>
        <w:t>Appendix E</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4" w:hanging="657"/>
        <w:spacing w:after="0" w:line="219" w:lineRule="auto"/>
        <w:tabs>
          <w:tab w:leader="none" w:pos="130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members of the PEC affirm that, to the best of their knowledge, they have ceased all advertising for Claims and have no present intention to resume such advertising. This includes purchases of Google ad words, emails, or other communications with client databases regarding Claims and any other solicitation originating from any PEC in any medium, including television, billboards, websites, blogs, internet ads or pop-ups, newspapers, magazines, Facebook, Twitter, Instagram, or other social media outlets.</w:t>
      </w:r>
    </w:p>
    <w:p>
      <w:pPr>
        <w:spacing w:after="0" w:line="199"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Permitted Disclosures.</w:t>
      </w:r>
    </w:p>
    <w:p>
      <w:pPr>
        <w:spacing w:after="0" w:line="229" w:lineRule="exact"/>
        <w:rPr>
          <w:sz w:val="20"/>
          <w:szCs w:val="20"/>
          <w:color w:val="auto"/>
        </w:rPr>
      </w:pPr>
    </w:p>
    <w:p>
      <w:pPr>
        <w:jc w:val="both"/>
        <w:ind w:left="1304" w:hanging="657"/>
        <w:spacing w:after="0" w:line="229" w:lineRule="auto"/>
        <w:tabs>
          <w:tab w:leader="none" w:pos="1301" w:val="left"/>
        </w:tabs>
        <w:numPr>
          <w:ilvl w:val="1"/>
          <w:numId w:val="189"/>
        </w:numPr>
        <w:rPr>
          <w:rFonts w:ascii="Arial" w:cs="Arial" w:eastAsia="Arial" w:hAnsi="Arial"/>
          <w:sz w:val="18"/>
          <w:szCs w:val="18"/>
          <w:color w:val="auto"/>
        </w:rPr>
      </w:pPr>
      <w:r>
        <w:rPr>
          <w:rFonts w:ascii="Arial" w:cs="Arial" w:eastAsia="Arial" w:hAnsi="Arial"/>
          <w:sz w:val="18"/>
          <w:szCs w:val="18"/>
          <w:color w:val="auto"/>
        </w:rPr>
        <w:t>PEC acknowledges that Settling Defendants will be disclosing the principal terms of the overall settlement (including the total amount to be paid by the Settling Defendants) and may also disclose this Agreement if the Settling Defendants determine that such disclosure is required by federal securities laws and regulations.</w:t>
      </w:r>
    </w:p>
    <w:p>
      <w:pPr>
        <w:spacing w:after="0" w:line="204" w:lineRule="exact"/>
        <w:rPr>
          <w:rFonts w:ascii="Arial" w:cs="Arial" w:eastAsia="Arial" w:hAnsi="Arial"/>
          <w:sz w:val="18"/>
          <w:szCs w:val="18"/>
          <w:color w:val="auto"/>
        </w:rPr>
      </w:pPr>
    </w:p>
    <w:p>
      <w:pPr>
        <w:ind w:left="1284" w:hanging="636"/>
        <w:spacing w:after="0"/>
        <w:tabs>
          <w:tab w:leader="none" w:pos="1284" w:val="left"/>
        </w:tabs>
        <w:numPr>
          <w:ilvl w:val="1"/>
          <w:numId w:val="189"/>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to the contrary, the Parties may disclose this Agreement and its terms in order to:</w:t>
      </w:r>
    </w:p>
    <w:p>
      <w:pPr>
        <w:spacing w:after="0" w:line="236" w:lineRule="exact"/>
        <w:rPr>
          <w:rFonts w:ascii="Arial" w:cs="Arial" w:eastAsia="Arial" w:hAnsi="Arial"/>
          <w:sz w:val="17"/>
          <w:szCs w:val="17"/>
          <w:color w:val="auto"/>
        </w:rPr>
      </w:pPr>
    </w:p>
    <w:p>
      <w:pPr>
        <w:jc w:val="both"/>
        <w:ind w:left="1944" w:hanging="648"/>
        <w:spacing w:after="0" w:line="223" w:lineRule="auto"/>
        <w:tabs>
          <w:tab w:leader="none" w:pos="1944" w:val="left"/>
        </w:tabs>
        <w:numPr>
          <w:ilvl w:val="2"/>
          <w:numId w:val="189"/>
        </w:numPr>
        <w:rPr>
          <w:rFonts w:ascii="Arial" w:cs="Arial" w:eastAsia="Arial" w:hAnsi="Arial"/>
          <w:sz w:val="18"/>
          <w:szCs w:val="18"/>
          <w:color w:val="auto"/>
        </w:rPr>
      </w:pPr>
      <w:r>
        <w:rPr>
          <w:rFonts w:ascii="Arial" w:cs="Arial" w:eastAsia="Arial" w:hAnsi="Arial"/>
          <w:sz w:val="18"/>
          <w:szCs w:val="18"/>
          <w:color w:val="auto"/>
        </w:rPr>
        <w:t>comply with any law, rule, regulation, order, or government-imposed requirement (including, for the avoidance of doubt, applicable Rules of Professional Responsibility); provided that any disclosure shall be made only with prior notice to the non-disclosing Party (unless prohibited by applicable law, rule, order, or decree or other requirement having the force of law); or</w:t>
      </w:r>
    </w:p>
    <w:p>
      <w:pPr>
        <w:spacing w:after="0" w:line="202" w:lineRule="exact"/>
        <w:rPr>
          <w:rFonts w:ascii="Arial" w:cs="Arial" w:eastAsia="Arial" w:hAnsi="Arial"/>
          <w:sz w:val="18"/>
          <w:szCs w:val="18"/>
          <w:color w:val="auto"/>
        </w:rPr>
      </w:pPr>
    </w:p>
    <w:p>
      <w:pPr>
        <w:jc w:val="both"/>
        <w:ind w:left="1944" w:hanging="648"/>
        <w:spacing w:after="0" w:line="217" w:lineRule="auto"/>
        <w:tabs>
          <w:tab w:leader="none" w:pos="1944" w:val="left"/>
        </w:tabs>
        <w:numPr>
          <w:ilvl w:val="2"/>
          <w:numId w:val="189"/>
        </w:numPr>
        <w:rPr>
          <w:rFonts w:ascii="Arial" w:cs="Arial" w:eastAsia="Arial" w:hAnsi="Arial"/>
          <w:sz w:val="18"/>
          <w:szCs w:val="18"/>
          <w:color w:val="auto"/>
        </w:rPr>
      </w:pPr>
      <w:r>
        <w:rPr>
          <w:rFonts w:ascii="Arial" w:cs="Arial" w:eastAsia="Arial" w:hAnsi="Arial"/>
          <w:sz w:val="18"/>
          <w:szCs w:val="18"/>
          <w:color w:val="auto"/>
        </w:rPr>
        <w:t>prove the existence of or enforce the Agreement in a court proceeding, arbitration proceeding, mediation, or as otherwise required by law or ethical obligations, such as for informed consent purposes to obtain court approval of a settlement before the Release can bind a minor or incompetent Person. The disclosing Party shall seek a protective order. If Plaintiffs’ Counsel or other Party receives notice of a legal proceeding in which the court or a party requests and/or orders the disclosure of any confidential matter covered by this Agreement, notice shall be given to the other Parties forthwith and the ones giving notice shall make a motion seeking a protective order to protect the confidentiality of confidential matters under this Agreement.</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   No Admission of Liability or Lack of Merit.</w:t>
      </w:r>
    </w:p>
    <w:p>
      <w:pPr>
        <w:spacing w:after="0" w:line="229" w:lineRule="exact"/>
        <w:rPr>
          <w:rFonts w:ascii="Arial" w:cs="Arial" w:eastAsia="Arial" w:hAnsi="Arial"/>
          <w:sz w:val="18"/>
          <w:szCs w:val="18"/>
          <w:b w:val="1"/>
          <w:bCs w:val="1"/>
          <w:color w:val="auto"/>
        </w:rPr>
      </w:pPr>
    </w:p>
    <w:p>
      <w:pPr>
        <w:jc w:val="both"/>
        <w:ind w:left="1304" w:hanging="656"/>
        <w:spacing w:after="0" w:line="219" w:lineRule="auto"/>
        <w:tabs>
          <w:tab w:leader="none" w:pos="1301"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Neither this Agreement nor any exhibit, document, or instrument delivered hereunder, nor any statement, transaction, or proceeding in connection with the negotiation, execution, or implementation of this Agreement, is intended to be or shall be construed as or deemed to be evidence of an admission or concession by (i) any Released Party of any fault, liability, wrongdoing, fact, or damages or of the truth of any allegations asserted by any Claimant against them (ii) any Participating Claimant of any lack of merit in their Claims.</w:t>
      </w:r>
    </w:p>
    <w:p>
      <w:pPr>
        <w:spacing w:after="0" w:line="203" w:lineRule="exact"/>
        <w:rPr>
          <w:rFonts w:ascii="Arial" w:cs="Arial" w:eastAsia="Arial" w:hAnsi="Arial"/>
          <w:sz w:val="18"/>
          <w:szCs w:val="18"/>
          <w:color w:val="auto"/>
        </w:rPr>
      </w:pPr>
    </w:p>
    <w:p>
      <w:pPr>
        <w:jc w:val="both"/>
        <w:ind w:left="1304" w:hanging="657"/>
        <w:spacing w:after="0" w:line="217" w:lineRule="auto"/>
        <w:tabs>
          <w:tab w:leader="none" w:pos="129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No Party shall seek to introduce into evidence or use in any judicial proceeding this Agreement, any exhibit, document, or instrument delivered hereunder, or any statement, transaction, or proceeding in connection with the negotiation, execution, or implementation of this Agreement, except as necessary to enforce the terms of this Agreement (or in connection with the determination of any income tax liability of a party) or any instrument executed and delivered pursuant to this Agreement (including any Opt In Form or Release). If a Person seeks to introduce and/or use any of the matters described herein in any proceeding against any Released Party, the restrictions of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not apply to any Released Party with respect to that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04"/>
          </w:cols>
          <w:pgMar w:left="436" w:top="1327" w:right="759" w:bottom="1440" w:gutter="0" w:footer="0" w:header="0"/>
        </w:sectPr>
      </w:pPr>
    </w:p>
    <w:bookmarkStart w:id="135" w:name="page136"/>
    <w:bookmarkEnd w:id="135"/>
    <w:p>
      <w:pPr>
        <w:ind w:left="640"/>
        <w:spacing w:after="0"/>
        <w:tabs>
          <w:tab w:leader="none" w:pos="11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 xml:space="preserve">Insurer Claims. </w:t>
      </w:r>
      <w:r>
        <w:rPr>
          <w:rFonts w:ascii="Arial" w:cs="Arial" w:eastAsia="Arial" w:hAnsi="Arial"/>
          <w:sz w:val="16"/>
          <w:szCs w:val="16"/>
          <w:color w:val="auto"/>
        </w:rPr>
        <w:t>For avoidance of doubt, Released Parties maintain, and do not release, any claims they may have against their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insurers.</w:t>
      </w:r>
    </w:p>
    <w:p>
      <w:pPr>
        <w:spacing w:after="0" w:line="205"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6"/>
          <w:szCs w:val="16"/>
          <w:b w:val="1"/>
          <w:bCs w:val="1"/>
          <w:color w:val="auto"/>
        </w:rPr>
        <w:t xml:space="preserve">12.3. Deadlines. </w:t>
      </w:r>
      <w:r>
        <w:rPr>
          <w:rFonts w:ascii="Arial" w:cs="Arial" w:eastAsia="Arial" w:hAnsi="Arial"/>
          <w:sz w:val="16"/>
          <w:szCs w:val="16"/>
          <w:color w:val="auto"/>
        </w:rPr>
        <w:t>If any action or event does not occur by the date provided by this Agreement, the Parties shall work together to adjust</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dates in order for the Parties to accomplish their agreed upon desire to complete this settlement, including by invoking the assistance of the Mediator if necessary. Any agreement changing a date provided by this Agreement shall be in writing, with copies to the notice parties set forth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12.5</w:t>
      </w:r>
      <w:r>
        <w:rPr>
          <w:rFonts w:ascii="Arial" w:cs="Arial" w:eastAsia="Arial" w:hAnsi="Arial"/>
          <w:sz w:val="18"/>
          <w:szCs w:val="18"/>
          <w:color w:val="auto"/>
        </w:rPr>
        <w:t>.</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 xml:space="preserve">12.4. Tax Issues. </w:t>
      </w:r>
      <w:r>
        <w:rPr>
          <w:rFonts w:ascii="Arial" w:cs="Arial" w:eastAsia="Arial" w:hAnsi="Arial"/>
          <w:sz w:val="16"/>
          <w:szCs w:val="16"/>
          <w:color w:val="auto"/>
        </w:rPr>
        <w:t>The Parties acknowledge and agree that the Settlement Fund is intended to constitute damages for personal physical</w:t>
      </w:r>
      <w:r>
        <w:rPr>
          <w:rFonts w:ascii="Arial" w:cs="Arial" w:eastAsia="Arial" w:hAnsi="Arial"/>
          <w:sz w:val="16"/>
          <w:szCs w:val="16"/>
          <w:b w:val="1"/>
          <w:bCs w:val="1"/>
          <w:color w:val="auto"/>
        </w:rPr>
        <w:t xml:space="preserve"> </w:t>
      </w:r>
      <w:r>
        <w:rPr>
          <w:rFonts w:ascii="Arial" w:cs="Arial" w:eastAsia="Arial" w:hAnsi="Arial"/>
          <w:sz w:val="16"/>
          <w:szCs w:val="16"/>
          <w:color w:val="auto"/>
        </w:rPr>
        <w:t>injuries or physical sickness within the meaning of section 104 of the Internal Revenue Code of 1986, as amended, arising from the physical injuries alleged to have resulted from the Event, and no portion of the proceeds paid to Participating Claimants from the Settlement Fund is intended to be</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6"/>
          <w:szCs w:val="16"/>
          <w:color w:val="auto"/>
        </w:rPr>
        <w:t>for punitive or exemplary damages, nor prejudgment or post-judgment interest, nor non-physical injuries. The Parties shall cooperate with respect to compliance with any required tax reporting, including by using reasonable efforts to provide (or to cause Plaintiffs’ Counsel and Claimants to provide) any information or tax forms reasonably requested by the Settling Defendants, the Claims Administrator, or the QSF Administrator. No amount of taxes shall be withheld by any Person making a payment pursuant to the settlement in accordance with this Agreement except to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extent required by applicable law. Any amounts that are withheld in respect of taxes shall be treated for all purposes of this Agreement as having been paid to the Person in respect of whom such withholding was made. No Party makes any representations regarding the potential tax treatment for the transactions provided herein and,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each Party is solely responsible for paying his, her, or its own taxes, including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 consequences arising from, relating to, or in connection with this Agreement.</w:t>
      </w:r>
    </w:p>
    <w:p>
      <w:pPr>
        <w:spacing w:after="0" w:line="20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b w:val="1"/>
          <w:bCs w:val="1"/>
          <w:color w:val="auto"/>
        </w:rPr>
        <w:t xml:space="preserve">12.5. Notice. </w:t>
      </w:r>
      <w:r>
        <w:rPr>
          <w:rFonts w:ascii="Arial" w:cs="Arial" w:eastAsia="Arial" w:hAnsi="Arial"/>
          <w:sz w:val="16"/>
          <w:szCs w:val="16"/>
          <w:color w:val="auto"/>
        </w:rPr>
        <w:t>All notices, requests, demands, and other communications hereunder shall be in writing and delivered personally by email</w:t>
      </w:r>
      <w:r>
        <w:rPr>
          <w:rFonts w:ascii="Arial" w:cs="Arial" w:eastAsia="Arial" w:hAnsi="Arial"/>
          <w:sz w:val="16"/>
          <w:szCs w:val="16"/>
          <w:b w:val="1"/>
          <w:bCs w:val="1"/>
          <w:color w:val="auto"/>
        </w:rPr>
        <w:t xml:space="preserve"> </w:t>
      </w:r>
      <w:r>
        <w:rPr>
          <w:rFonts w:ascii="Arial" w:cs="Arial" w:eastAsia="Arial" w:hAnsi="Arial"/>
          <w:sz w:val="16"/>
          <w:szCs w:val="16"/>
          <w:color w:val="auto"/>
        </w:rPr>
        <w:t>or by mail accompanied by an email copy to the recipient. Notices shall be sent to the appropriate Party at its address given below (or at such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address for such Party as shall be specified by notice given under this Agreement):</w:t>
      </w:r>
    </w:p>
    <w:p>
      <w:pPr>
        <w:spacing w:after="0" w:line="200" w:lineRule="exact"/>
        <w:rPr>
          <w:sz w:val="20"/>
          <w:szCs w:val="20"/>
          <w:color w:val="auto"/>
        </w:rPr>
      </w:pP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PEC or Plaintiffs’ Counsel, to:</w:t>
      </w:r>
    </w:p>
    <w:p>
      <w:pPr>
        <w:spacing w:after="0" w:line="2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Salvi, Schostok &amp; Pritchard, P.C. 161 N. Clark Street, Suite 4700</w:t>
      </w:r>
    </w:p>
    <w:p>
      <w:pPr>
        <w:ind w:left="1940"/>
        <w:spacing w:after="0" w:line="219" w:lineRule="auto"/>
        <w:rPr>
          <w:sz w:val="20"/>
          <w:szCs w:val="20"/>
          <w:color w:val="auto"/>
        </w:rPr>
      </w:pPr>
      <w:r>
        <w:rPr>
          <w:rFonts w:ascii="Arial" w:cs="Arial" w:eastAsia="Arial" w:hAnsi="Arial"/>
          <w:sz w:val="18"/>
          <w:szCs w:val="18"/>
          <w:color w:val="auto"/>
        </w:rPr>
        <w:t>Chicago, Illinois 60601</w:t>
      </w:r>
    </w:p>
    <w:p>
      <w:pPr>
        <w:ind w:left="1840"/>
        <w:spacing w:after="0" w:line="203" w:lineRule="auto"/>
        <w:rPr>
          <w:sz w:val="20"/>
          <w:szCs w:val="20"/>
          <w:color w:val="auto"/>
        </w:rPr>
      </w:pPr>
      <w:r>
        <w:rPr>
          <w:rFonts w:ascii="Arial" w:cs="Arial" w:eastAsia="Arial" w:hAnsi="Arial"/>
          <w:sz w:val="18"/>
          <w:szCs w:val="18"/>
          <w:color w:val="auto"/>
        </w:rPr>
        <w:t>Attn: Patrick A. Salvi</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2C1"/>
        </w:rPr>
        <w:t>psalvi2@salvilaw.com</w:t>
      </w:r>
    </w:p>
    <w:p>
      <w:pPr>
        <w:spacing w:after="0" w:line="27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Romanucci &amp; Blandin, LLC 321 N. Clark Street, Suite 900</w:t>
      </w:r>
    </w:p>
    <w:p>
      <w:pPr>
        <w:ind w:left="1940"/>
        <w:spacing w:after="0" w:line="203" w:lineRule="auto"/>
        <w:rPr>
          <w:sz w:val="20"/>
          <w:szCs w:val="20"/>
          <w:color w:val="auto"/>
        </w:rPr>
      </w:pPr>
      <w:r>
        <w:rPr>
          <w:rFonts w:ascii="Arial" w:cs="Arial" w:eastAsia="Arial" w:hAnsi="Arial"/>
          <w:sz w:val="18"/>
          <w:szCs w:val="18"/>
          <w:color w:val="auto"/>
        </w:rPr>
        <w:t>Chicago, Illinois 60654</w:t>
      </w:r>
    </w:p>
    <w:p>
      <w:pPr>
        <w:ind w:left="1840"/>
        <w:spacing w:after="0"/>
        <w:rPr>
          <w:sz w:val="20"/>
          <w:szCs w:val="20"/>
          <w:color w:val="auto"/>
        </w:rPr>
      </w:pPr>
      <w:r>
        <w:rPr>
          <w:rFonts w:ascii="Arial" w:cs="Arial" w:eastAsia="Arial" w:hAnsi="Arial"/>
          <w:sz w:val="18"/>
          <w:szCs w:val="18"/>
          <w:color w:val="auto"/>
        </w:rPr>
        <w:t>Attn: Bryce Hensley</w:t>
      </w:r>
    </w:p>
    <w:p>
      <w:pPr>
        <w:spacing w:after="0" w:line="7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bhensley@rblaw.net</w:t>
      </w:r>
    </w:p>
    <w:p>
      <w:pPr>
        <w:spacing w:after="0" w:line="9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If to Settling Defendants to:</w:t>
      </w:r>
    </w:p>
    <w:p>
      <w:pPr>
        <w:spacing w:after="0" w:line="2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Munger, Tolles &amp; Olson LLP</w:t>
      </w:r>
    </w:p>
    <w:p>
      <w:pPr>
        <w:ind w:left="1940"/>
        <w:spacing w:after="0" w:line="203" w:lineRule="auto"/>
        <w:rPr>
          <w:sz w:val="20"/>
          <w:szCs w:val="20"/>
          <w:color w:val="auto"/>
        </w:rPr>
      </w:pPr>
      <w:r>
        <w:rPr>
          <w:rFonts w:ascii="Arial" w:cs="Arial" w:eastAsia="Arial" w:hAnsi="Arial"/>
          <w:sz w:val="18"/>
          <w:szCs w:val="18"/>
          <w:color w:val="auto"/>
        </w:rPr>
        <w:t>350 South Grand Avenue</w:t>
      </w:r>
    </w:p>
    <w:p>
      <w:pPr>
        <w:ind w:left="1840"/>
        <w:spacing w:after="0" w:line="219" w:lineRule="auto"/>
        <w:rPr>
          <w:sz w:val="20"/>
          <w:szCs w:val="20"/>
          <w:color w:val="auto"/>
        </w:rPr>
      </w:pPr>
      <w:r>
        <w:rPr>
          <w:rFonts w:ascii="Arial" w:cs="Arial" w:eastAsia="Arial" w:hAnsi="Arial"/>
          <w:sz w:val="18"/>
          <w:szCs w:val="18"/>
          <w:color w:val="auto"/>
        </w:rPr>
        <w:t>Los Angeles, CA 90071</w:t>
      </w:r>
    </w:p>
    <w:p>
      <w:pPr>
        <w:ind w:left="1840"/>
        <w:spacing w:after="0" w:line="204" w:lineRule="auto"/>
        <w:rPr>
          <w:sz w:val="20"/>
          <w:szCs w:val="20"/>
          <w:color w:val="auto"/>
        </w:rPr>
      </w:pPr>
      <w:r>
        <w:rPr>
          <w:rFonts w:ascii="Arial" w:cs="Arial" w:eastAsia="Arial" w:hAnsi="Arial"/>
          <w:sz w:val="18"/>
          <w:szCs w:val="18"/>
          <w:color w:val="auto"/>
        </w:rPr>
        <w:t>Attn: Brad D. Brian, Esq.</w:t>
      </w:r>
    </w:p>
    <w:p>
      <w:pPr>
        <w:ind w:left="1840"/>
        <w:spacing w:after="0" w:line="203" w:lineRule="auto"/>
        <w:rPr>
          <w:sz w:val="20"/>
          <w:szCs w:val="20"/>
          <w:color w:val="auto"/>
        </w:rPr>
      </w:pPr>
      <w:r>
        <w:rPr>
          <w:rFonts w:ascii="Arial" w:cs="Arial" w:eastAsia="Arial" w:hAnsi="Arial"/>
          <w:sz w:val="18"/>
          <w:szCs w:val="18"/>
          <w:color w:val="auto"/>
        </w:rPr>
        <w:t>Attn: Bethany Kristovich, Esq.</w:t>
      </w:r>
    </w:p>
    <w:p>
      <w:pPr>
        <w:ind w:left="1840"/>
        <w:spacing w:after="0" w:line="219" w:lineRule="auto"/>
        <w:rPr>
          <w:sz w:val="20"/>
          <w:szCs w:val="20"/>
          <w:color w:val="auto"/>
        </w:rPr>
      </w:pPr>
      <w:r>
        <w:rPr>
          <w:rFonts w:ascii="Arial" w:cs="Arial" w:eastAsia="Arial" w:hAnsi="Arial"/>
          <w:sz w:val="18"/>
          <w:szCs w:val="18"/>
          <w:color w:val="auto"/>
        </w:rPr>
        <w:t>Attn: Juliana Yee, Esq.</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brad.brian@mto.com bethany.kristovich@mto.com juliana.yee@mto.com</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12.6. Effective Date of Notice. </w:t>
      </w:r>
      <w:r>
        <w:rPr>
          <w:rFonts w:ascii="Arial" w:cs="Arial" w:eastAsia="Arial" w:hAnsi="Arial"/>
          <w:sz w:val="16"/>
          <w:szCs w:val="16"/>
          <w:color w:val="auto"/>
        </w:rPr>
        <w:t>Any notice, request, instruction, or other document shall be deemed to have been given as of: (i)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so transmitted by electronic mail, (ii) on the next Business Day when sent by Federal Express or other overnight delivery service, or (iii) five</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Business Days after the mailing date if sent by U.S. mail, provided that if any date on which the notice or other communication shall be deemed to have been given is not a Business Day, the notice or other communication shall be deemed to have been given as of the next Business Day.</w:t>
      </w:r>
    </w:p>
    <w:p>
      <w:pPr>
        <w:spacing w:after="0" w:line="177"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b w:val="1"/>
          <w:bCs w:val="1"/>
          <w:color w:val="auto"/>
        </w:rPr>
        <w:t xml:space="preserve">12.7. Governing Law; Venue. </w:t>
      </w:r>
      <w:r>
        <w:rPr>
          <w:rFonts w:ascii="Arial" w:cs="Arial" w:eastAsia="Arial" w:hAnsi="Arial"/>
          <w:sz w:val="18"/>
          <w:szCs w:val="18"/>
          <w:color w:val="auto"/>
        </w:rPr>
        <w:t>This Agreement shall be governed by and construed in accordance with the law of the State of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choice-of-law rules that would require the application of the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20"/>
          </w:cols>
          <w:pgMar w:left="440" w:top="1323" w:right="7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of another jurisdiction. Any proceedings relating to this Agreement shall be filed in the Circuit Court of Cook County, Illinois.</w:t>
      </w:r>
    </w:p>
    <w:p>
      <w:pPr>
        <w:spacing w:after="0" w:line="22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 xml:space="preserve">Consent to Submit to Jurisdiction of Court; Mediator. </w:t>
      </w:r>
      <w:r>
        <w:rPr>
          <w:rFonts w:ascii="Arial" w:cs="Arial" w:eastAsia="Arial" w:hAnsi="Arial"/>
          <w:sz w:val="16"/>
          <w:szCs w:val="16"/>
          <w:color w:val="auto"/>
        </w:rPr>
        <w:t>Except to the extent the Parties have otherwise agreed to submit certain</w:t>
      </w:r>
    </w:p>
    <w:p>
      <w:pPr>
        <w:spacing w:after="0" w:line="2" w:lineRule="exact"/>
        <w:rPr>
          <w:sz w:val="20"/>
          <w:szCs w:val="20"/>
          <w:color w:val="auto"/>
        </w:rPr>
      </w:pPr>
    </w:p>
    <w:p>
      <w:pPr>
        <w:jc w:val="both"/>
        <w:ind w:right="180"/>
        <w:spacing w:after="0" w:line="218" w:lineRule="auto"/>
        <w:rPr>
          <w:sz w:val="20"/>
          <w:szCs w:val="20"/>
          <w:color w:val="auto"/>
        </w:rPr>
      </w:pPr>
      <w:r>
        <w:rPr>
          <w:rFonts w:ascii="Arial" w:cs="Arial" w:eastAsia="Arial" w:hAnsi="Arial"/>
          <w:sz w:val="18"/>
          <w:szCs w:val="18"/>
          <w:color w:val="auto"/>
        </w:rPr>
        <w:t xml:space="preserve">disputes to the Mediator as provided by this Agreement, the Parties acknowledge and agree that the Circuit Court of Cook County, Illinois presiding over the </w:t>
      </w:r>
      <w:r>
        <w:rPr>
          <w:rFonts w:ascii="Arial" w:cs="Arial" w:eastAsia="Arial" w:hAnsi="Arial"/>
          <w:sz w:val="18"/>
          <w:szCs w:val="18"/>
          <w:i w:val="1"/>
          <w:iCs w:val="1"/>
          <w:color w:val="auto"/>
        </w:rPr>
        <w:t>In re: Willowbrook Ethylene Oxide Litigation</w:t>
      </w:r>
      <w:r>
        <w:rPr>
          <w:rFonts w:ascii="Arial" w:cs="Arial" w:eastAsia="Arial" w:hAnsi="Arial"/>
          <w:sz w:val="18"/>
          <w:szCs w:val="18"/>
          <w:color w:val="auto"/>
        </w:rPr>
        <w:t>, Case No. 18 L 010744, has jurisdiction to enforce this Agreement, including the adjudication of issues relating to the termination or removal of liens.</w:t>
      </w:r>
    </w:p>
    <w:p>
      <w:pPr>
        <w:spacing w:after="0" w:line="19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Waiver of Inconsistent Provisions of Law; Severability.</w:t>
      </w:r>
    </w:p>
    <w:p>
      <w:pPr>
        <w:spacing w:after="0" w:line="229" w:lineRule="exact"/>
        <w:rPr>
          <w:sz w:val="20"/>
          <w:szCs w:val="20"/>
          <w:color w:val="auto"/>
        </w:rPr>
      </w:pPr>
    </w:p>
    <w:p>
      <w:pPr>
        <w:ind w:left="1300" w:hanging="656"/>
        <w:spacing w:after="0" w:line="224" w:lineRule="auto"/>
        <w:tabs>
          <w:tab w:leader="none" w:pos="129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the extent permitted by applicable law and ethical requirements, and except as set forth in subsection (c) below, each Party waives any provision of law (including the common law) that renders any provision of this Agreement or Release invalid, illegal, or unenforceable in any respect.</w:t>
      </w:r>
    </w:p>
    <w:p>
      <w:pPr>
        <w:spacing w:after="0" w:line="189" w:lineRule="exact"/>
        <w:rPr>
          <w:rFonts w:ascii="Arial" w:cs="Arial" w:eastAsia="Arial" w:hAnsi="Arial"/>
          <w:sz w:val="18"/>
          <w:szCs w:val="18"/>
          <w:color w:val="auto"/>
        </w:rPr>
      </w:pPr>
    </w:p>
    <w:p>
      <w:pPr>
        <w:jc w:val="both"/>
        <w:ind w:left="1300" w:right="180" w:hanging="656"/>
        <w:spacing w:after="0" w:line="229" w:lineRule="auto"/>
        <w:tabs>
          <w:tab w:leader="none" w:pos="129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any event, upon any determination that any term or other provision is invalid, illegal, or unenforceable, the Parties shall negotiate in good faith to modify this Agreement so as to effect the original intent of the Parties as closely as possible to the extent permitted by applicable law and ethical requirements.</w:t>
      </w:r>
    </w:p>
    <w:p>
      <w:pPr>
        <w:spacing w:after="0" w:line="204" w:lineRule="exact"/>
        <w:rPr>
          <w:rFonts w:ascii="Arial" w:cs="Arial" w:eastAsia="Arial" w:hAnsi="Arial"/>
          <w:sz w:val="18"/>
          <w:szCs w:val="18"/>
          <w:color w:val="auto"/>
        </w:rPr>
      </w:pPr>
    </w:p>
    <w:p>
      <w:pPr>
        <w:jc w:val="both"/>
        <w:ind w:left="1300" w:right="180" w:hanging="656"/>
        <w:spacing w:after="0" w:line="229" w:lineRule="auto"/>
        <w:tabs>
          <w:tab w:leader="none" w:pos="129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Settling Defendants’ Walk Away Rights are a non-severable part of this Agreement. If the Walk Away Rights, or any of them, are determined or held to be invalid, in whole or part, then the entire Agreement is invalid and terminated and any obligations, including those relating to payment, are extinguished.</w:t>
      </w:r>
    </w:p>
    <w:p>
      <w:pPr>
        <w:spacing w:after="0" w:line="200" w:lineRule="exact"/>
        <w:rPr>
          <w:sz w:val="20"/>
          <w:szCs w:val="20"/>
          <w:color w:val="auto"/>
        </w:rPr>
      </w:pPr>
    </w:p>
    <w:p>
      <w:pPr>
        <w:jc w:val="both"/>
        <w:ind w:right="180" w:firstLine="648"/>
        <w:spacing w:after="0" w:line="226" w:lineRule="auto"/>
        <w:rPr>
          <w:sz w:val="20"/>
          <w:szCs w:val="20"/>
          <w:color w:val="auto"/>
        </w:rPr>
      </w:pPr>
      <w:r>
        <w:rPr>
          <w:rFonts w:ascii="Arial" w:cs="Arial" w:eastAsia="Arial" w:hAnsi="Arial"/>
          <w:sz w:val="18"/>
          <w:szCs w:val="18"/>
          <w:b w:val="1"/>
          <w:bCs w:val="1"/>
          <w:color w:val="auto"/>
        </w:rPr>
        <w:t xml:space="preserve">12.10. Electronic Signatures. </w:t>
      </w:r>
      <w:r>
        <w:rPr>
          <w:rFonts w:ascii="Arial" w:cs="Arial" w:eastAsia="Arial" w:hAnsi="Arial"/>
          <w:sz w:val="18"/>
          <w:szCs w:val="18"/>
          <w:color w:val="auto"/>
        </w:rPr>
        <w:t>This Agreement and any amendments thereto, to the extent signed and delivered by means of a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machine or electronic scan (including in the form of an Adobe Acrobat PDF file format), shall be treated as an original agreement and shall be considered to have the same binding legal effect as if it were the original signed version delivered in person.</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12.11. Counterparts. </w:t>
      </w:r>
      <w:r>
        <w:rPr>
          <w:rFonts w:ascii="Arial" w:cs="Arial" w:eastAsia="Arial" w:hAnsi="Arial"/>
          <w:sz w:val="16"/>
          <w:szCs w:val="16"/>
          <w:color w:val="auto"/>
        </w:rPr>
        <w:t>This Agreement may be executed in any number of counterparts, each of which shall be an original and all of which</w:t>
      </w:r>
    </w:p>
    <w:p>
      <w:pPr>
        <w:spacing w:after="0" w:line="25" w:lineRule="exact"/>
        <w:rPr>
          <w:sz w:val="20"/>
          <w:szCs w:val="20"/>
          <w:color w:val="auto"/>
        </w:rPr>
      </w:pPr>
    </w:p>
    <w:p>
      <w:pPr>
        <w:jc w:val="both"/>
        <w:ind w:right="180"/>
        <w:spacing w:after="0" w:line="234" w:lineRule="auto"/>
        <w:rPr>
          <w:sz w:val="20"/>
          <w:szCs w:val="20"/>
          <w:color w:val="auto"/>
        </w:rPr>
      </w:pPr>
      <w:r>
        <w:rPr>
          <w:rFonts w:ascii="Arial" w:cs="Arial" w:eastAsia="Arial" w:hAnsi="Arial"/>
          <w:sz w:val="16"/>
          <w:szCs w:val="16"/>
          <w:color w:val="auto"/>
        </w:rPr>
        <w:t>shall together constitute the same instrument. It shall not be necessary for any counterpart to bear the signature of all Parties. Counsel for any Party shall be authorized to assemble a composite counterpart which shall consist of one copy of each page, except the signature pages, together with multiple counterpart signature pages executed on behalf of every party to this Agreement. The composite counterpart may then be used by any Party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all purposes as the complete and executed Agreement.</w:t>
      </w:r>
    </w:p>
    <w:p>
      <w:pPr>
        <w:spacing w:after="0" w:line="205" w:lineRule="exact"/>
        <w:rPr>
          <w:sz w:val="20"/>
          <w:szCs w:val="20"/>
          <w:color w:val="auto"/>
        </w:rPr>
      </w:pPr>
    </w:p>
    <w:p>
      <w:pPr>
        <w:jc w:val="both"/>
        <w:ind w:right="160" w:firstLine="648"/>
        <w:spacing w:after="0" w:line="243" w:lineRule="auto"/>
        <w:rPr>
          <w:sz w:val="20"/>
          <w:szCs w:val="20"/>
          <w:color w:val="auto"/>
        </w:rPr>
      </w:pPr>
      <w:r>
        <w:rPr>
          <w:rFonts w:ascii="Arial" w:cs="Arial" w:eastAsia="Arial" w:hAnsi="Arial"/>
          <w:sz w:val="16"/>
          <w:szCs w:val="16"/>
          <w:b w:val="1"/>
          <w:bCs w:val="1"/>
          <w:color w:val="auto"/>
        </w:rPr>
        <w:t xml:space="preserve">12.12. Good Faith Negotiations. </w:t>
      </w:r>
      <w:r>
        <w:rPr>
          <w:rFonts w:ascii="Arial" w:cs="Arial" w:eastAsia="Arial" w:hAnsi="Arial"/>
          <w:sz w:val="16"/>
          <w:szCs w:val="16"/>
          <w:color w:val="auto"/>
        </w:rPr>
        <w:t>The Parties each acknowledge that the negotiations leading up to this Agreement were conducted</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and at arm’s length; this Agreement is made and executed by each Party’s own free will; and no Party has been improperly influenced or induced to enter this Agreement as a result of any act or action on the part of any other Party or employee, agent, attorney or representative of any</w:t>
      </w:r>
    </w:p>
    <w:p>
      <w:pPr>
        <w:spacing w:after="0" w:line="1" w:lineRule="exact"/>
        <w:rPr>
          <w:sz w:val="20"/>
          <w:szCs w:val="20"/>
          <w:color w:val="auto"/>
        </w:rPr>
      </w:pPr>
    </w:p>
    <w:p>
      <w:pPr>
        <w:jc w:val="both"/>
        <w:ind w:right="180"/>
        <w:spacing w:after="0" w:line="218" w:lineRule="auto"/>
        <w:rPr>
          <w:sz w:val="20"/>
          <w:szCs w:val="20"/>
          <w:color w:val="auto"/>
        </w:rPr>
      </w:pPr>
      <w:r>
        <w:rPr>
          <w:rFonts w:ascii="Arial" w:cs="Arial" w:eastAsia="Arial" w:hAnsi="Arial"/>
          <w:sz w:val="18"/>
          <w:szCs w:val="18"/>
          <w:color w:val="auto"/>
        </w:rPr>
        <w:t>other Party. The Parties acknowledge that they entered into this Agreement to compromise permanently and settle the claims of any Participating Claimant, on the one hand, against Settling Defendants and/or Released Parties on the other hand, settled by the execution of this Agreement and the Participating Claimant’s individual Release.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12.13. Construction. </w:t>
      </w:r>
      <w:r>
        <w:rPr>
          <w:rFonts w:ascii="Arial" w:cs="Arial" w:eastAsia="Arial" w:hAnsi="Arial"/>
          <w:sz w:val="17"/>
          <w:szCs w:val="17"/>
          <w:color w:val="auto"/>
        </w:rPr>
        <w:t>The Parties understand and agree that each term and condition of this Agreement has been mutually negotiated,</w:t>
      </w:r>
    </w:p>
    <w:p>
      <w:pPr>
        <w:spacing w:after="0" w:line="14" w:lineRule="exact"/>
        <w:rPr>
          <w:sz w:val="20"/>
          <w:szCs w:val="20"/>
          <w:color w:val="auto"/>
        </w:rPr>
      </w:pPr>
    </w:p>
    <w:p>
      <w:pPr>
        <w:jc w:val="both"/>
        <w:ind w:right="180"/>
        <w:spacing w:after="0" w:line="226" w:lineRule="auto"/>
        <w:rPr>
          <w:sz w:val="20"/>
          <w:szCs w:val="20"/>
          <w:color w:val="auto"/>
        </w:rPr>
      </w:pPr>
      <w:r>
        <w:rPr>
          <w:rFonts w:ascii="Arial" w:cs="Arial" w:eastAsia="Arial" w:hAnsi="Arial"/>
          <w:sz w:val="18"/>
          <w:szCs w:val="18"/>
          <w:color w:val="auto"/>
        </w:rPr>
        <w:t>prepared, and drafted, and if at any time the Parties are required to interpret or construe any term or condition, no consideration shall be given to the issue of which Party actually prepared, drafted, or requested any term or condition.</w:t>
      </w:r>
    </w:p>
    <w:p>
      <w:pPr>
        <w:spacing w:after="0" w:line="198"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16"/>
          <w:szCs w:val="16"/>
          <w:b w:val="1"/>
          <w:bCs w:val="1"/>
          <w:color w:val="auto"/>
        </w:rPr>
        <w:t xml:space="preserve">12.14. Headings; References. </w:t>
      </w:r>
      <w:r>
        <w:rPr>
          <w:rFonts w:ascii="Arial" w:cs="Arial" w:eastAsia="Arial" w:hAnsi="Arial"/>
          <w:sz w:val="16"/>
          <w:szCs w:val="16"/>
          <w:color w:val="auto"/>
        </w:rPr>
        <w:t>The headings of the Table of Contents, Sections, and/or sub-sections of this Agreement are for convenience</w:t>
      </w:r>
      <w:r>
        <w:rPr>
          <w:rFonts w:ascii="Arial" w:cs="Arial" w:eastAsia="Arial" w:hAnsi="Arial"/>
          <w:sz w:val="16"/>
          <w:szCs w:val="16"/>
          <w:b w:val="1"/>
          <w:bCs w:val="1"/>
          <w:color w:val="auto"/>
        </w:rPr>
        <w:t xml:space="preserve"> </w:t>
      </w:r>
      <w:r>
        <w:rPr>
          <w:rFonts w:ascii="Arial" w:cs="Arial" w:eastAsia="Arial" w:hAnsi="Arial"/>
          <w:sz w:val="16"/>
          <w:szCs w:val="16"/>
          <w:color w:val="auto"/>
        </w:rPr>
        <w:t>only and are not intended to be a part of or to affect the meaning or interpretation of this Agreement. The words “include” and “including” and</w:t>
      </w:r>
    </w:p>
    <w:p>
      <w:pPr>
        <w:spacing w:after="0" w:line="1" w:lineRule="exact"/>
        <w:rPr>
          <w:sz w:val="20"/>
          <w:szCs w:val="20"/>
          <w:color w:val="auto"/>
        </w:rPr>
      </w:pPr>
    </w:p>
    <w:p>
      <w:pPr>
        <w:jc w:val="both"/>
        <w:ind w:right="180"/>
        <w:spacing w:after="0" w:line="234" w:lineRule="auto"/>
        <w:rPr>
          <w:sz w:val="20"/>
          <w:szCs w:val="20"/>
          <w:color w:val="auto"/>
        </w:rPr>
      </w:pPr>
      <w:r>
        <w:rPr>
          <w:rFonts w:ascii="Arial" w:cs="Arial" w:eastAsia="Arial" w:hAnsi="Arial"/>
          <w:sz w:val="16"/>
          <w:szCs w:val="16"/>
          <w:color w:val="auto"/>
        </w:rPr>
        <w:t>words of similar import when used in this Agreement or any Exhibit are not limiting and shall be construed to be followed by the words “but not limited to,” whether or not they are in fact followed by those words. The definitions in this Agreement or any Exhibit apply to the singular as well as the plural forms of such terms. Words of any gender (masculine, feminine, neuter) mean and include correlative words of the other genders. As used</w:t>
      </w:r>
    </w:p>
    <w:p>
      <w:pPr>
        <w:spacing w:after="0" w:line="2" w:lineRule="exact"/>
        <w:rPr>
          <w:sz w:val="20"/>
          <w:szCs w:val="20"/>
          <w:color w:val="auto"/>
        </w:rPr>
      </w:pPr>
    </w:p>
    <w:p>
      <w:pPr>
        <w:jc w:val="both"/>
        <w:ind w:right="180"/>
        <w:spacing w:after="0" w:line="234" w:lineRule="auto"/>
        <w:rPr>
          <w:sz w:val="20"/>
          <w:szCs w:val="20"/>
          <w:color w:val="auto"/>
        </w:rPr>
      </w:pPr>
      <w:r>
        <w:rPr>
          <w:rFonts w:ascii="Arial" w:cs="Arial" w:eastAsia="Arial" w:hAnsi="Arial"/>
          <w:sz w:val="16"/>
          <w:szCs w:val="16"/>
          <w:color w:val="auto"/>
        </w:rPr>
        <w:t>herein or in any Exhibit, the symbol “$” shall mean United States dollars. References to instruments or documents being delivered or submitted “by” any Person include (whether or not so specified) delivery or submission on behalf of such Person by his counsel whether or not so specified, provided that if any particular instrument or document must be executed by a particular Person, it must (unless otherwise expressly specified herein)</w:t>
      </w:r>
    </w:p>
    <w:p>
      <w:pPr>
        <w:spacing w:after="0" w:line="2" w:lineRule="exact"/>
        <w:rPr>
          <w:sz w:val="20"/>
          <w:szCs w:val="20"/>
          <w:color w:val="auto"/>
        </w:rPr>
      </w:pPr>
    </w:p>
    <w:p>
      <w:pPr>
        <w:jc w:val="both"/>
        <w:ind w:right="180"/>
        <w:spacing w:after="0" w:line="226" w:lineRule="auto"/>
        <w:rPr>
          <w:sz w:val="20"/>
          <w:szCs w:val="20"/>
          <w:color w:val="auto"/>
        </w:rPr>
      </w:pPr>
      <w:r>
        <w:rPr>
          <w:rFonts w:ascii="Arial" w:cs="Arial" w:eastAsia="Arial" w:hAnsi="Arial"/>
          <w:sz w:val="18"/>
          <w:szCs w:val="18"/>
          <w:color w:val="auto"/>
        </w:rPr>
        <w:t>be executed by that Person. References to any particular Section shall be deemed to refer to any and all sub-sections of that Section and any and all sub-sub-Sections of those sub-Sections, and so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880"/>
          </w:cols>
          <w:pgMar w:left="440" w:top="1327" w:right="579" w:bottom="1440" w:gutter="0" w:footer="0" w:header="0"/>
        </w:sectPr>
      </w:pPr>
    </w:p>
    <w:bookmarkStart w:id="137" w:name="page138"/>
    <w:bookmarkEnd w:id="137"/>
    <w:p>
      <w:pPr>
        <w:ind w:left="640"/>
        <w:spacing w:after="0"/>
        <w:rPr>
          <w:sz w:val="20"/>
          <w:szCs w:val="20"/>
          <w:color w:val="auto"/>
        </w:rPr>
      </w:pPr>
      <w:r>
        <w:rPr>
          <w:rFonts w:ascii="Arial" w:cs="Arial" w:eastAsia="Arial" w:hAnsi="Arial"/>
          <w:sz w:val="17"/>
          <w:szCs w:val="17"/>
          <w:b w:val="1"/>
          <w:bCs w:val="1"/>
          <w:color w:val="auto"/>
        </w:rPr>
        <w:t xml:space="preserve">12.15. Third Party Beneficiaries; Assignment. </w:t>
      </w:r>
      <w:r>
        <w:rPr>
          <w:rFonts w:ascii="Arial" w:cs="Arial" w:eastAsia="Arial" w:hAnsi="Arial"/>
          <w:sz w:val="17"/>
          <w:szCs w:val="17"/>
          <w:color w:val="auto"/>
        </w:rPr>
        <w:t>Except for Participating Claimants and the Released Parties and their respective</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successors and assigns, no provision of this Agreement is intended to create any third-party beneficiary to this Agreement. With the exception of the Sterigenics US, solely as funder of the Escrow Account, and Sotera Health Company, solely as guarantor of Sterigenics US’s Escrow Account funding obligation, and notwithstanding any other provision herein, none of the Released Parties has any obligation to the Participating Claimants,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financial or otherwise, under this Agreement or otherwise as a result of or in consideration for the Participating Claimants opting into the settlement or for releasing and covenanting not to sue the Released Parties. This Agreement shall be binding upon and inure to the benefit of the Parties hereto and the Released Parties and their respective successors and permitted assigns; provided, however, that neither this Agreement nor any of the rights,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interests, or obligations hereunder may be assigned by the Participating Claimants or Plaintiffs’ Counsel without the prior written consent of Settling Defendants. No right in a Claim or right to release a Claim may be assigned by any Participating Claimant after the Execution Date without the prior written consent of Settling Defendants. Any assignment in violation of this </w:t>
      </w:r>
      <w:r>
        <w:rPr>
          <w:rFonts w:ascii="Arial" w:cs="Arial" w:eastAsia="Arial" w:hAnsi="Arial"/>
          <w:sz w:val="16"/>
          <w:szCs w:val="16"/>
          <w:u w:val="single" w:color="auto"/>
          <w:color w:val="auto"/>
        </w:rPr>
        <w:t>Section 12.15</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Any Party shall have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right to seek to avoid the effect of any such assignment made in violation of this section in proceedings before an appropriate court.</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12.16. Amendments. </w:t>
      </w:r>
      <w:r>
        <w:rPr>
          <w:rFonts w:ascii="Arial" w:cs="Arial" w:eastAsia="Arial" w:hAnsi="Arial"/>
          <w:sz w:val="18"/>
          <w:szCs w:val="18"/>
          <w:color w:val="auto"/>
        </w:rPr>
        <w:t>This Agreement may be amended by (and only by) a written instrument signed by the Parties.</w:t>
      </w:r>
    </w:p>
    <w:p>
      <w:pPr>
        <w:spacing w:after="0" w:line="22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12.17. Further Assurances. </w:t>
      </w:r>
      <w:r>
        <w:rPr>
          <w:rFonts w:ascii="Arial" w:cs="Arial" w:eastAsia="Arial" w:hAnsi="Arial"/>
          <w:sz w:val="18"/>
          <w:szCs w:val="18"/>
          <w:color w:val="auto"/>
        </w:rPr>
        <w:t>The Parties shall take such reasonable actions consistent with the terms of this Agreement as may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be requested by the other Party, and otherwise reasonably cooperate with the other Party in a manner consistent with the terms of this Agreement, as may be reasonably necessary to effectuate the intent, terms, and purposes of this Agreement.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12.18. Privileges Retained. </w:t>
      </w:r>
      <w:r>
        <w:rPr>
          <w:rFonts w:ascii="Arial" w:cs="Arial" w:eastAsia="Arial" w:hAnsi="Arial"/>
          <w:sz w:val="17"/>
          <w:szCs w:val="17"/>
          <w:color w:val="auto"/>
        </w:rPr>
        <w:t>Nothing in this Agreement, or the negotiations or proceedings relating to it, is intended to be, nor shall be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deemed to constitute, a waiver of any applicable privileges or immunities, including (without limitation) the attorney-client privilege, the joint-defense privilege, the common interest privilege, and any attorney work product protections or immunities.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 xml:space="preserve">12.19. Construction. </w:t>
      </w:r>
      <w:r>
        <w:rPr>
          <w:rFonts w:ascii="Arial" w:cs="Arial" w:eastAsia="Arial" w:hAnsi="Arial"/>
          <w:sz w:val="16"/>
          <w:szCs w:val="16"/>
          <w:color w:val="auto"/>
        </w:rPr>
        <w:t>In the event any court, arbitrator, or other adjudicative body of competent jurisdiction is called upon to interpret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language of this Agreement shall be construed as a whole, according to its fair meaning and intent, and not strictly for or against any Party, regardless of which Party drafted or was principally responsible for drafting the Agreement or any specific term or condition hereof. No Party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may offer in evidence or otherwise use, for purposes of suggesting any interpretation of this Agreement, any prior drafts of this Agreement.</w:t>
      </w:r>
    </w:p>
    <w:p>
      <w:pPr>
        <w:spacing w:after="0" w:line="21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b w:val="1"/>
          <w:bCs w:val="1"/>
          <w:color w:val="auto"/>
        </w:rPr>
        <w:t xml:space="preserve">12.20. Entire Agreement. </w:t>
      </w:r>
      <w:r>
        <w:rPr>
          <w:rFonts w:ascii="Arial" w:cs="Arial" w:eastAsia="Arial" w:hAnsi="Arial"/>
          <w:sz w:val="16"/>
          <w:szCs w:val="16"/>
          <w:color w:val="auto"/>
        </w:rPr>
        <w:t>This Agreement, including (without limitation) each Participating Claimant’s executed Opt In Form,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and Declaration of Counsel, contains the entire agreement between Plaintiffs’ Counsel and Participating Claimants and Settling Defendants with respect to the subject matter hereof, and supersedes and cancels all previous agreements, negotiations, and commitments in writing between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Parties with respect to the subject matter hereof.</w:t>
      </w:r>
    </w:p>
    <w:p>
      <w:pPr>
        <w:spacing w:after="0" w:line="273" w:lineRule="exact"/>
        <w:rPr>
          <w:sz w:val="20"/>
          <w:szCs w:val="20"/>
          <w:color w:val="auto"/>
        </w:rPr>
      </w:pPr>
    </w:p>
    <w:p>
      <w:pPr>
        <w:ind w:right="280" w:firstLine="648"/>
        <w:spacing w:after="0" w:line="250" w:lineRule="auto"/>
        <w:rPr>
          <w:sz w:val="20"/>
          <w:szCs w:val="20"/>
          <w:color w:val="auto"/>
        </w:rPr>
      </w:pPr>
      <w:r>
        <w:rPr>
          <w:rFonts w:ascii="Arial" w:cs="Arial" w:eastAsia="Arial" w:hAnsi="Arial"/>
          <w:sz w:val="18"/>
          <w:szCs w:val="18"/>
          <w:b w:val="1"/>
          <w:bCs w:val="1"/>
          <w:color w:val="auto"/>
        </w:rPr>
        <w:t xml:space="preserve">12.21. Survival. </w:t>
      </w:r>
      <w:r>
        <w:rPr>
          <w:rFonts w:ascii="Arial" w:cs="Arial" w:eastAsia="Arial" w:hAnsi="Arial"/>
          <w:sz w:val="18"/>
          <w:szCs w:val="18"/>
          <w:color w:val="auto"/>
        </w:rPr>
        <w:t>Notwithstanding anything to the contrary in this Agreement, the obligations of the Parties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00"/>
          </w:cols>
          <w:pgMar w:left="440" w:top="1323" w:right="75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dates indicated below.</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SETTLING DEFENDANTS:</w:t>
      </w:r>
    </w:p>
    <w:p>
      <w:pPr>
        <w:spacing w:after="0" w:line="1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STERIGENICS U.S., LLC</w:t>
      </w:r>
    </w:p>
    <w:p>
      <w:pPr>
        <w:spacing w:after="0"/>
        <w:rPr>
          <w:sz w:val="20"/>
          <w:szCs w:val="20"/>
          <w:color w:val="auto"/>
        </w:rPr>
      </w:pPr>
      <w:r>
        <w:rPr>
          <w:rFonts w:ascii="Arial" w:cs="Arial" w:eastAsia="Arial" w:hAnsi="Arial"/>
          <w:sz w:val="18"/>
          <w:szCs w:val="18"/>
          <w:color w:val="auto"/>
        </w:rPr>
        <w:t>DATED: March 28, 2023</w:t>
      </w:r>
    </w:p>
    <w:p>
      <w:pPr>
        <w:spacing w:after="0" w:line="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Matthew J. Klaben</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w:t>
      </w:r>
    </w:p>
    <w:p>
      <w:pPr>
        <w:ind w:left="5220"/>
        <w:spacing w:after="0" w:line="203" w:lineRule="auto"/>
        <w:rPr>
          <w:sz w:val="20"/>
          <w:szCs w:val="20"/>
          <w:color w:val="auto"/>
        </w:rPr>
      </w:pPr>
      <w:r>
        <w:rPr>
          <w:rFonts w:ascii="Arial" w:cs="Arial" w:eastAsia="Arial" w:hAnsi="Arial"/>
          <w:sz w:val="18"/>
          <w:szCs w:val="18"/>
          <w:color w:val="auto"/>
        </w:rPr>
        <w:t>General Counsel and</w:t>
      </w:r>
    </w:p>
    <w:p>
      <w:pPr>
        <w:ind w:left="5220"/>
        <w:spacing w:after="0"/>
        <w:rPr>
          <w:sz w:val="20"/>
          <w:szCs w:val="20"/>
          <w:color w:val="auto"/>
        </w:rPr>
      </w:pPr>
      <w:r>
        <w:rPr>
          <w:rFonts w:ascii="Arial" w:cs="Arial" w:eastAsia="Arial" w:hAnsi="Arial"/>
          <w:sz w:val="18"/>
          <w:szCs w:val="18"/>
          <w:color w:val="auto"/>
        </w:rPr>
        <w:t>Secretary</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SOTERA HEALTH LLC</w:t>
      </w:r>
    </w:p>
    <w:p>
      <w:pPr>
        <w:spacing w:after="0"/>
        <w:rPr>
          <w:sz w:val="20"/>
          <w:szCs w:val="20"/>
          <w:color w:val="auto"/>
        </w:rPr>
      </w:pPr>
      <w:r>
        <w:rPr>
          <w:rFonts w:ascii="Arial" w:cs="Arial" w:eastAsia="Arial" w:hAnsi="Arial"/>
          <w:sz w:val="18"/>
          <w:szCs w:val="18"/>
          <w:color w:val="auto"/>
        </w:rPr>
        <w:t>DATED: March 28, 2023</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Matthew J. Klaben</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w:t>
      </w:r>
    </w:p>
    <w:p>
      <w:pPr>
        <w:ind w:left="5220"/>
        <w:spacing w:after="0" w:line="219" w:lineRule="auto"/>
        <w:rPr>
          <w:sz w:val="20"/>
          <w:szCs w:val="20"/>
          <w:color w:val="auto"/>
        </w:rPr>
      </w:pPr>
      <w:r>
        <w:rPr>
          <w:rFonts w:ascii="Arial" w:cs="Arial" w:eastAsia="Arial" w:hAnsi="Arial"/>
          <w:sz w:val="18"/>
          <w:szCs w:val="18"/>
          <w:color w:val="auto"/>
        </w:rPr>
        <w:t>General Counsel and</w:t>
      </w:r>
    </w:p>
    <w:p>
      <w:pPr>
        <w:ind w:left="5220"/>
        <w:spacing w:after="0"/>
        <w:rPr>
          <w:sz w:val="20"/>
          <w:szCs w:val="20"/>
          <w:color w:val="auto"/>
        </w:rPr>
      </w:pPr>
      <w:r>
        <w:rPr>
          <w:rFonts w:ascii="Arial" w:cs="Arial" w:eastAsia="Arial" w:hAnsi="Arial"/>
          <w:sz w:val="18"/>
          <w:szCs w:val="18"/>
          <w:color w:val="auto"/>
        </w:rPr>
        <w:t>Secretary</w:t>
      </w: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 xml:space="preserve">GUARANTOR, solely as to its obligations under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SOTERA HEALTH COMPANY</w:t>
      </w:r>
    </w:p>
    <w:p>
      <w:pPr>
        <w:spacing w:after="0"/>
        <w:rPr>
          <w:sz w:val="20"/>
          <w:szCs w:val="20"/>
          <w:color w:val="auto"/>
        </w:rPr>
      </w:pPr>
      <w:r>
        <w:rPr>
          <w:rFonts w:ascii="Arial" w:cs="Arial" w:eastAsia="Arial" w:hAnsi="Arial"/>
          <w:sz w:val="18"/>
          <w:szCs w:val="18"/>
          <w:color w:val="auto"/>
        </w:rPr>
        <w:t>DATED: March 28, 2023</w:t>
      </w:r>
    </w:p>
    <w:p>
      <w:pPr>
        <w:spacing w:after="0" w:line="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Alex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Alex Dimitrief</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w:t>
      </w:r>
    </w:p>
    <w:p>
      <w:pPr>
        <w:ind w:left="5220"/>
        <w:spacing w:after="0" w:line="203" w:lineRule="auto"/>
        <w:rPr>
          <w:sz w:val="20"/>
          <w:szCs w:val="20"/>
          <w:color w:val="auto"/>
        </w:rPr>
      </w:pPr>
      <w:r>
        <w:rPr>
          <w:rFonts w:ascii="Arial" w:cs="Arial" w:eastAsia="Arial" w:hAnsi="Arial"/>
          <w:sz w:val="18"/>
          <w:szCs w:val="18"/>
          <w:color w:val="auto"/>
        </w:rPr>
        <w:t>General Counsel and</w:t>
      </w:r>
    </w:p>
    <w:p>
      <w:pPr>
        <w:ind w:left="5220"/>
        <w:spacing w:after="0"/>
        <w:rPr>
          <w:sz w:val="20"/>
          <w:szCs w:val="20"/>
          <w:color w:val="auto"/>
        </w:rPr>
      </w:pPr>
      <w:r>
        <w:rPr>
          <w:rFonts w:ascii="Arial" w:cs="Arial" w:eastAsia="Arial" w:hAnsi="Arial"/>
          <w:sz w:val="18"/>
          <w:szCs w:val="18"/>
          <w:color w:val="auto"/>
        </w:rPr>
        <w:t>Secretary</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PLAINTIFF'S EXECUTIVE COMMITTEE</w:t>
      </w:r>
    </w:p>
    <w:p>
      <w:pPr>
        <w:spacing w:after="0" w:line="19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ROMANUCCI &amp; BLANDIN, LLC</w:t>
      </w:r>
    </w:p>
    <w:p>
      <w:pPr>
        <w:spacing w:after="0"/>
        <w:rPr>
          <w:sz w:val="20"/>
          <w:szCs w:val="20"/>
          <w:color w:val="auto"/>
        </w:rPr>
      </w:pPr>
      <w:r>
        <w:rPr>
          <w:rFonts w:ascii="Arial" w:cs="Arial" w:eastAsia="Arial" w:hAnsi="Arial"/>
          <w:sz w:val="20"/>
          <w:szCs w:val="20"/>
          <w:color w:val="auto"/>
        </w:rPr>
        <w:t>DATED: March 28, 2023</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Antonio Romanucci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Antonio Romanucci</w:t>
      </w:r>
    </w:p>
    <w:p>
      <w:pPr>
        <w:spacing w:after="0" w:line="30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SMITH LACIEN, LLP</w:t>
      </w:r>
    </w:p>
    <w:p>
      <w:pPr>
        <w:spacing w:after="0"/>
        <w:rPr>
          <w:sz w:val="20"/>
          <w:szCs w:val="20"/>
          <w:color w:val="auto"/>
        </w:rPr>
      </w:pPr>
      <w:r>
        <w:rPr>
          <w:rFonts w:ascii="Arial" w:cs="Arial" w:eastAsia="Arial" w:hAnsi="Arial"/>
          <w:sz w:val="20"/>
          <w:szCs w:val="20"/>
          <w:color w:val="auto"/>
        </w:rPr>
        <w:t>DATED: March 28, 2023</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Brian LaCien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LaCien</w:t>
      </w:r>
    </w:p>
    <w:p>
      <w:pPr>
        <w:spacing w:after="0" w:line="30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TOMASIK KOTIN KASSERMAN, LLC</w:t>
      </w:r>
    </w:p>
    <w:p>
      <w:pPr>
        <w:spacing w:after="0"/>
        <w:rPr>
          <w:sz w:val="20"/>
          <w:szCs w:val="20"/>
          <w:color w:val="auto"/>
        </w:rPr>
      </w:pPr>
      <w:r>
        <w:rPr>
          <w:rFonts w:ascii="Arial" w:cs="Arial" w:eastAsia="Arial" w:hAnsi="Arial"/>
          <w:sz w:val="20"/>
          <w:szCs w:val="20"/>
          <w:color w:val="auto"/>
        </w:rPr>
        <w:t>DATED: March 28, 2023</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Daniel M. Kotin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Daniel M. Kotin</w:t>
      </w:r>
    </w:p>
    <w:p>
      <w:pPr>
        <w:spacing w:after="0" w:line="30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THE COLLINS LAW FIRM, P.C.</w:t>
      </w:r>
    </w:p>
    <w:p>
      <w:pPr>
        <w:spacing w:after="0"/>
        <w:rPr>
          <w:sz w:val="20"/>
          <w:szCs w:val="20"/>
          <w:color w:val="auto"/>
        </w:rPr>
      </w:pPr>
      <w:r>
        <w:rPr>
          <w:rFonts w:ascii="Arial" w:cs="Arial" w:eastAsia="Arial" w:hAnsi="Arial"/>
          <w:sz w:val="20"/>
          <w:szCs w:val="20"/>
          <w:color w:val="auto"/>
        </w:rPr>
        <w:t>DATED: March 28, 2023</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Shawn M.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Shawn M. Collins</w:t>
      </w:r>
    </w:p>
    <w:p>
      <w:pPr>
        <w:spacing w:after="0" w:line="30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HART MCLAUGHLIN &amp; ELDRIDGE, LLC</w:t>
      </w:r>
    </w:p>
    <w:p>
      <w:pPr>
        <w:spacing w:after="0"/>
        <w:rPr>
          <w:sz w:val="20"/>
          <w:szCs w:val="20"/>
          <w:color w:val="auto"/>
        </w:rPr>
      </w:pPr>
      <w:r>
        <w:rPr>
          <w:rFonts w:ascii="Arial" w:cs="Arial" w:eastAsia="Arial" w:hAnsi="Arial"/>
          <w:sz w:val="20"/>
          <w:szCs w:val="20"/>
          <w:color w:val="auto"/>
        </w:rPr>
        <w:t>DATED: March 28, 2023</w:t>
      </w:r>
    </w:p>
    <w:p>
      <w:pPr>
        <w:sectPr>
          <w:pgSz w:w="11900" w:h="16838" w:orient="portrait"/>
          <w:cols w:equalWidth="0" w:num="1">
            <w:col w:w="10139"/>
          </w:cols>
          <w:pgMar w:left="320" w:top="675" w:right="1440" w:bottom="1440" w:gutter="0" w:footer="0" w:header="0"/>
        </w:sectPr>
      </w:pPr>
    </w:p>
    <w:p>
      <w:pPr>
        <w:spacing w:after="0" w:line="1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 Steven A.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29210</wp:posOffset>
            </wp:positionV>
            <wp:extent cx="13544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Steven A. Hart</w:t>
      </w:r>
    </w:p>
    <w:p>
      <w:pPr>
        <w:sectPr>
          <w:pgSz w:w="11900" w:h="16838" w:orient="portrait"/>
          <w:cols w:equalWidth="0" w:num="1">
            <w:col w:w="10139"/>
          </w:cols>
          <w:pgMar w:left="320" w:top="675" w:right="1440" w:bottom="1440" w:gutter="0" w:footer="0" w:header="0"/>
          <w:type w:val="continuous"/>
        </w:sectPr>
      </w:pPr>
    </w:p>
    <w:bookmarkStart w:id="139" w:name="page140"/>
    <w:bookmarkEnd w:id="139"/>
    <w:p>
      <w:pPr>
        <w:ind w:left="5200"/>
        <w:spacing w:after="0"/>
        <w:rPr>
          <w:sz w:val="20"/>
          <w:szCs w:val="20"/>
          <w:color w:val="auto"/>
        </w:rPr>
      </w:pPr>
      <w:r>
        <w:rPr>
          <w:rFonts w:ascii="Arial" w:cs="Arial" w:eastAsia="Arial" w:hAnsi="Arial"/>
          <w:sz w:val="20"/>
          <w:szCs w:val="20"/>
          <w:color w:val="auto"/>
        </w:rPr>
        <w:t>MINER, BARNHILL &amp; GALLAND, P.C.</w:t>
      </w:r>
    </w:p>
    <w:p>
      <w:pPr>
        <w:spacing w:after="0"/>
        <w:rPr>
          <w:sz w:val="20"/>
          <w:szCs w:val="20"/>
          <w:color w:val="auto"/>
        </w:rPr>
      </w:pPr>
      <w:r>
        <w:rPr>
          <w:rFonts w:ascii="Arial" w:cs="Arial" w:eastAsia="Arial" w:hAnsi="Arial"/>
          <w:sz w:val="20"/>
          <w:szCs w:val="20"/>
          <w:color w:val="auto"/>
        </w:rPr>
        <w:t>DATED: March 28, 2023</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Deanna N. Pihos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Deanna N. Pihos</w:t>
      </w:r>
    </w:p>
    <w:p>
      <w:pPr>
        <w:spacing w:after="0" w:line="306" w:lineRule="exact"/>
        <w:rPr>
          <w:sz w:val="20"/>
          <w:szCs w:val="20"/>
          <w:color w:val="auto"/>
        </w:rPr>
      </w:pPr>
    </w:p>
    <w:p>
      <w:pPr>
        <w:jc w:val="right"/>
        <w:ind w:right="1499"/>
        <w:spacing w:after="0"/>
        <w:rPr>
          <w:sz w:val="20"/>
          <w:szCs w:val="20"/>
          <w:color w:val="auto"/>
        </w:rPr>
      </w:pPr>
      <w:r>
        <w:rPr>
          <w:rFonts w:ascii="Arial" w:cs="Arial" w:eastAsia="Arial" w:hAnsi="Arial"/>
          <w:sz w:val="20"/>
          <w:szCs w:val="20"/>
          <w:color w:val="auto"/>
        </w:rPr>
        <w:t>SALVI, SCHOSTOK &amp; PRITCHARD P.C.</w:t>
      </w:r>
    </w:p>
    <w:p>
      <w:pPr>
        <w:spacing w:after="0"/>
        <w:rPr>
          <w:sz w:val="20"/>
          <w:szCs w:val="20"/>
          <w:color w:val="auto"/>
        </w:rPr>
      </w:pPr>
      <w:r>
        <w:rPr>
          <w:rFonts w:ascii="Arial" w:cs="Arial" w:eastAsia="Arial" w:hAnsi="Arial"/>
          <w:sz w:val="20"/>
          <w:szCs w:val="20"/>
          <w:color w:val="auto"/>
        </w:rPr>
        <w:t>DATED: March 28, 2023</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Patrick A. Salvi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3544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Patrick A. Salvi II</w:t>
      </w:r>
    </w:p>
    <w:p>
      <w:pPr>
        <w:sectPr>
          <w:pgSz w:w="11900" w:h="16838" w:orient="portrait"/>
          <w:cols w:equalWidth="0" w:num="1">
            <w:col w:w="10139"/>
          </w:cols>
          <w:pgMar w:left="320" w:top="908" w:right="14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 Willowbrook Group Settlement Agreement by and between</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Plaintiffs' Executive Committee, Sotera Health, and Sterigenics US</w:t>
      </w:r>
      <w:r>
        <w:rPr>
          <w:rFonts w:ascii="Arial" w:cs="Arial" w:eastAsia="Arial" w:hAnsi="Arial"/>
          <w:sz w:val="20"/>
          <w:szCs w:val="20"/>
          <w:color w:val="auto"/>
        </w:rPr>
        <w:t>]</w:t>
      </w:r>
    </w:p>
    <w:p>
      <w:pPr>
        <w:sectPr>
          <w:pgSz w:w="11900" w:h="16838" w:orient="portrait"/>
          <w:cols w:equalWidth="0" w:num="1">
            <w:col w:w="10139"/>
          </w:cols>
          <w:pgMar w:left="320" w:top="908" w:right="1440" w:bottom="542" w:gutter="0" w:footer="0" w:header="0"/>
          <w:type w:val="continuous"/>
        </w:sectPr>
      </w:pPr>
    </w:p>
    <w:bookmarkStart w:id="140" w:name="page141"/>
    <w:bookmarkEnd w:id="140"/>
    <w:p>
      <w:pPr>
        <w:jc w:val="right"/>
        <w:ind w:right="1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2</w:t>
      </w: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jc w:val="center"/>
        <w:spacing w:after="0"/>
        <w:rPr>
          <w:sz w:val="20"/>
          <w:szCs w:val="20"/>
          <w:color w:val="auto"/>
        </w:rPr>
      </w:pPr>
      <w:r>
        <w:rPr>
          <w:rFonts w:ascii="Arial" w:cs="Arial" w:eastAsia="Arial" w:hAnsi="Arial"/>
          <w:sz w:val="20"/>
          <w:szCs w:val="20"/>
          <w:color w:val="auto"/>
        </w:rPr>
        <w:t>Form of Opt-In Form</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auto"/>
        </w:rPr>
        <w:t>Willowbrook Ethylene Oxide Settlement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-240665</wp:posOffset>
            </wp:positionV>
            <wp:extent cx="6275070" cy="66522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275070"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FFFFFF"/>
        </w:rPr>
        <w:t>I. Opt-In Form</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 Settlement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has been entered into with Sotera Health LLC and Sterigenics</w:t>
      </w:r>
    </w:p>
    <w:p>
      <w:pPr>
        <w:spacing w:after="0" w:line="6" w:lineRule="exact"/>
        <w:rPr>
          <w:sz w:val="20"/>
          <w:szCs w:val="20"/>
          <w:color w:val="auto"/>
        </w:rPr>
      </w:pPr>
    </w:p>
    <w:p>
      <w:pPr>
        <w:jc w:val="both"/>
        <w:ind w:left="200" w:right="179"/>
        <w:spacing w:after="0" w:line="226" w:lineRule="auto"/>
        <w:rPr>
          <w:sz w:val="20"/>
          <w:szCs w:val="20"/>
          <w:color w:val="auto"/>
        </w:rPr>
      </w:pPr>
      <w:r>
        <w:rPr>
          <w:rFonts w:ascii="Arial" w:cs="Arial" w:eastAsia="Arial" w:hAnsi="Arial"/>
          <w:sz w:val="18"/>
          <w:szCs w:val="18"/>
          <w:color w:val="auto"/>
        </w:rPr>
        <w:t>U.S., LLC relating to claims for injuries arising from or relating to the alleged use and emission of ethylene oxide from Sterigenics US’s operations in and around Willowbrook, Illinois and related claims (collectively,</w:t>
      </w:r>
    </w:p>
    <w:p>
      <w:pPr>
        <w:jc w:val="center"/>
        <w:ind w:right="-20"/>
        <w:spacing w:after="0" w:line="224"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Claims</w:t>
      </w:r>
      <w:r>
        <w:rPr>
          <w:rFonts w:ascii="Arial" w:cs="Arial" w:eastAsia="Arial" w:hAnsi="Arial"/>
          <w:sz w:val="19"/>
          <w:szCs w:val="19"/>
          <w:color w:val="auto"/>
        </w:rPr>
        <w:t>”). As part of the Agreement, the parties have established a settlement program (“</w:t>
      </w:r>
      <w:r>
        <w:rPr>
          <w:rFonts w:ascii="Arial" w:cs="Arial" w:eastAsia="Arial" w:hAnsi="Arial"/>
          <w:sz w:val="19"/>
          <w:szCs w:val="19"/>
          <w:b w:val="1"/>
          <w:bCs w:val="1"/>
          <w:color w:val="auto"/>
        </w:rPr>
        <w:t>Program</w:t>
      </w:r>
      <w:r>
        <w:rPr>
          <w:rFonts w:ascii="Arial" w:cs="Arial" w:eastAsia="Arial" w:hAnsi="Arial"/>
          <w:sz w:val="19"/>
          <w:szCs w:val="19"/>
          <w:color w:val="auto"/>
        </w:rPr>
        <w:t>”)</w:t>
      </w:r>
    </w:p>
    <w:p>
      <w:pPr>
        <w:ind w:left="200" w:right="179"/>
        <w:spacing w:after="0" w:line="220" w:lineRule="auto"/>
        <w:rPr>
          <w:sz w:val="20"/>
          <w:szCs w:val="20"/>
          <w:color w:val="auto"/>
        </w:rPr>
      </w:pPr>
      <w:r>
        <w:rPr>
          <w:rFonts w:ascii="Arial" w:cs="Arial" w:eastAsia="Arial" w:hAnsi="Arial"/>
          <w:sz w:val="20"/>
          <w:szCs w:val="20"/>
          <w:color w:val="auto"/>
        </w:rPr>
        <w:t>under which a claims administrator may review and evaluate my Claims, as well as the Claims of others, to determine potential settlement offer amounts.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 understand that I may be eligible to participate in the Program to resolve any and all Claims I may have</w:t>
      </w:r>
    </w:p>
    <w:p>
      <w:pPr>
        <w:ind w:left="200" w:right="179"/>
        <w:spacing w:after="0" w:line="226" w:lineRule="auto"/>
        <w:rPr>
          <w:sz w:val="20"/>
          <w:szCs w:val="20"/>
          <w:color w:val="auto"/>
        </w:rPr>
      </w:pPr>
      <w:r>
        <w:rPr>
          <w:rFonts w:ascii="Arial" w:cs="Arial" w:eastAsia="Arial" w:hAnsi="Arial"/>
          <w:sz w:val="18"/>
          <w:szCs w:val="18"/>
          <w:color w:val="auto"/>
        </w:rPr>
        <w:t>against Sterigenics U.S., LLC, Sotera Health LLC, Sotera Health Company, and others listed in the Release Agreement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from, relating to, or in connection with the alleged use or emission</w:t>
      </w:r>
    </w:p>
    <w:p>
      <w:pPr>
        <w:jc w:val="center"/>
        <w:spacing w:after="0" w:line="224" w:lineRule="auto"/>
        <w:rPr>
          <w:sz w:val="20"/>
          <w:szCs w:val="20"/>
          <w:color w:val="auto"/>
        </w:rPr>
      </w:pPr>
      <w:r>
        <w:rPr>
          <w:rFonts w:ascii="Arial" w:cs="Arial" w:eastAsia="Arial" w:hAnsi="Arial"/>
          <w:sz w:val="19"/>
          <w:szCs w:val="19"/>
          <w:color w:val="auto"/>
        </w:rPr>
        <w:t>of ethylene oxide from Sterigenics U.S., LLC’s or any other Released Party’s operations in and around</w:t>
      </w:r>
    </w:p>
    <w:p>
      <w:pPr>
        <w:ind w:left="200" w:right="199"/>
        <w:spacing w:after="0" w:line="226" w:lineRule="auto"/>
        <w:rPr>
          <w:sz w:val="20"/>
          <w:szCs w:val="20"/>
          <w:color w:val="auto"/>
        </w:rPr>
      </w:pPr>
      <w:r>
        <w:rPr>
          <w:rFonts w:ascii="Arial" w:cs="Arial" w:eastAsia="Arial" w:hAnsi="Arial"/>
          <w:sz w:val="18"/>
          <w:szCs w:val="18"/>
          <w:color w:val="auto"/>
        </w:rPr>
        <w:t>Willowbrook, Illinois. I understand that, under the terms of the Program, my Claims will be reviewed and evaluated by a claims administrator using objective criteria. I understand that the claims administrator has</w:t>
      </w:r>
    </w:p>
    <w:p>
      <w:pPr>
        <w:jc w:val="center"/>
        <w:ind w:right="-20"/>
        <w:spacing w:after="0" w:line="236" w:lineRule="auto"/>
        <w:rPr>
          <w:sz w:val="20"/>
          <w:szCs w:val="20"/>
          <w:color w:val="auto"/>
        </w:rPr>
      </w:pPr>
      <w:r>
        <w:rPr>
          <w:rFonts w:ascii="Arial" w:cs="Arial" w:eastAsia="Arial" w:hAnsi="Arial"/>
          <w:sz w:val="18"/>
          <w:szCs w:val="18"/>
          <w:color w:val="auto"/>
        </w:rPr>
        <w:t>determined a potential settlement offer amount for my Claims, based on the claims administrator’s review of</w:t>
      </w:r>
    </w:p>
    <w:p>
      <w:pPr>
        <w:spacing w:after="0" w:line="1" w:lineRule="exact"/>
        <w:rPr>
          <w:sz w:val="20"/>
          <w:szCs w:val="20"/>
          <w:color w:val="auto"/>
        </w:rPr>
      </w:pPr>
    </w:p>
    <w:p>
      <w:pPr>
        <w:ind w:left="200" w:right="179"/>
        <w:spacing w:after="0" w:line="215" w:lineRule="auto"/>
        <w:rPr>
          <w:sz w:val="20"/>
          <w:szCs w:val="20"/>
          <w:color w:val="auto"/>
        </w:rPr>
      </w:pPr>
      <w:r>
        <w:rPr>
          <w:rFonts w:ascii="Arial" w:cs="Arial" w:eastAsia="Arial" w:hAnsi="Arial"/>
          <w:sz w:val="19"/>
          <w:szCs w:val="19"/>
          <w:color w:val="auto"/>
        </w:rPr>
        <w:t>the facts of my Claims and the objective criteria of the Program as determined by the plaintiffs’ counsel that established the Program. I may decide whether or not to accept the settlement offer amount. I also</w:t>
      </w:r>
    </w:p>
    <w:p>
      <w:pPr>
        <w:jc w:val="center"/>
        <w:ind w:right="-20"/>
        <w:spacing w:after="0" w:line="234" w:lineRule="auto"/>
        <w:rPr>
          <w:sz w:val="20"/>
          <w:szCs w:val="20"/>
          <w:color w:val="auto"/>
        </w:rPr>
      </w:pPr>
      <w:r>
        <w:rPr>
          <w:rFonts w:ascii="Arial" w:cs="Arial" w:eastAsia="Arial" w:hAnsi="Arial"/>
          <w:sz w:val="18"/>
          <w:szCs w:val="18"/>
          <w:color w:val="auto"/>
        </w:rPr>
        <w:t>understand that the receipt of any settlement amount, even if I accept it, is contingent on my agreement to (a)</w:t>
      </w:r>
    </w:p>
    <w:p>
      <w:pPr>
        <w:spacing w:after="0" w:line="1" w:lineRule="exact"/>
        <w:rPr>
          <w:sz w:val="20"/>
          <w:szCs w:val="20"/>
          <w:color w:val="auto"/>
        </w:rPr>
      </w:pPr>
    </w:p>
    <w:p>
      <w:pPr>
        <w:ind w:left="200" w:right="199"/>
        <w:spacing w:after="0" w:line="226" w:lineRule="auto"/>
        <w:rPr>
          <w:sz w:val="20"/>
          <w:szCs w:val="20"/>
          <w:color w:val="auto"/>
        </w:rPr>
      </w:pPr>
      <w:r>
        <w:rPr>
          <w:rFonts w:ascii="Arial" w:cs="Arial" w:eastAsia="Arial" w:hAnsi="Arial"/>
          <w:sz w:val="18"/>
          <w:szCs w:val="18"/>
          <w:color w:val="auto"/>
        </w:rPr>
        <w:t>this Opt-In Form and (b) the Release Agreement accompanying this form (the “</w:t>
      </w:r>
      <w:r>
        <w:rPr>
          <w:rFonts w:ascii="Arial" w:cs="Arial" w:eastAsia="Arial" w:hAnsi="Arial"/>
          <w:sz w:val="18"/>
          <w:szCs w:val="18"/>
          <w:b w:val="1"/>
          <w:bCs w:val="1"/>
          <w:color w:val="auto"/>
        </w:rPr>
        <w:t>Release</w:t>
      </w:r>
      <w:r>
        <w:rPr>
          <w:rFonts w:ascii="Arial" w:cs="Arial" w:eastAsia="Arial" w:hAnsi="Arial"/>
          <w:sz w:val="18"/>
          <w:szCs w:val="18"/>
          <w:color w:val="auto"/>
        </w:rPr>
        <w:t>”). I further understand that my receipt of settlement funds is also contingent on events outside of my control, including</w:t>
      </w:r>
    </w:p>
    <w:p>
      <w:pPr>
        <w:spacing w:after="0" w:line="2" w:lineRule="exact"/>
        <w:rPr>
          <w:sz w:val="20"/>
          <w:szCs w:val="20"/>
          <w:color w:val="auto"/>
        </w:rPr>
      </w:pPr>
    </w:p>
    <w:p>
      <w:pPr>
        <w:ind w:left="200" w:right="179"/>
        <w:spacing w:after="0" w:line="227" w:lineRule="auto"/>
        <w:rPr>
          <w:sz w:val="20"/>
          <w:szCs w:val="20"/>
          <w:color w:val="auto"/>
        </w:rPr>
      </w:pPr>
      <w:r>
        <w:rPr>
          <w:rFonts w:ascii="Arial" w:cs="Arial" w:eastAsia="Arial" w:hAnsi="Arial"/>
          <w:sz w:val="20"/>
          <w:szCs w:val="20"/>
          <w:color w:val="auto"/>
        </w:rPr>
        <w:t>the decisions by others to participate in the Program. The deadline to opt into the Program and submit the required information is ______.</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 further understand that if I opt into the Program, I am agreeing:</w:t>
      </w:r>
    </w:p>
    <w:p>
      <w:pPr>
        <w:spacing w:after="0" w:line="216" w:lineRule="exact"/>
        <w:rPr>
          <w:sz w:val="20"/>
          <w:szCs w:val="20"/>
          <w:color w:val="auto"/>
        </w:rPr>
      </w:pPr>
    </w:p>
    <w:p>
      <w:pPr>
        <w:ind w:left="620" w:hanging="325"/>
        <w:spacing w:after="0"/>
        <w:tabs>
          <w:tab w:leader="none" w:pos="6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That I have a right to make an informed decision about whether to opt into the Program.</w:t>
      </w:r>
    </w:p>
    <w:p>
      <w:pPr>
        <w:spacing w:after="0" w:line="215" w:lineRule="exact"/>
        <w:rPr>
          <w:rFonts w:ascii="Arial" w:cs="Arial" w:eastAsia="Arial" w:hAnsi="Arial"/>
          <w:sz w:val="20"/>
          <w:szCs w:val="20"/>
          <w:color w:val="auto"/>
        </w:rPr>
      </w:pPr>
    </w:p>
    <w:p>
      <w:pPr>
        <w:jc w:val="both"/>
        <w:ind w:left="620" w:right="179" w:hanging="324"/>
        <w:spacing w:after="0" w:line="231" w:lineRule="auto"/>
        <w:tabs>
          <w:tab w:leader="none" w:pos="62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That I have been informed of the amount of my settlement offer, and of the method by which that amount was determined as described above. I have also been informed of the terms of the Agreement, this Opt-In Form, and the Release, and have had a full opportunity to consult with my lawyer about the meaning and significance of the terms and consequences of opting in.</w:t>
      </w:r>
    </w:p>
    <w:p>
      <w:pPr>
        <w:spacing w:after="0" w:line="198" w:lineRule="exact"/>
        <w:rPr>
          <w:rFonts w:ascii="Arial" w:cs="Arial" w:eastAsia="Arial" w:hAnsi="Arial"/>
          <w:sz w:val="19"/>
          <w:szCs w:val="19"/>
          <w:color w:val="auto"/>
        </w:rPr>
      </w:pPr>
    </w:p>
    <w:p>
      <w:pPr>
        <w:jc w:val="both"/>
        <w:ind w:left="620" w:right="179" w:hanging="324"/>
        <w:spacing w:after="0" w:line="223" w:lineRule="auto"/>
        <w:tabs>
          <w:tab w:leader="none" w:pos="6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That any available appeals of the amount of any payment allocated to my Claims will be resolved by the claims administrator, and that the claims administrator’s decisions will be final and binding, with no right to appeal.</w:t>
      </w:r>
    </w:p>
    <w:p>
      <w:pPr>
        <w:spacing w:after="0" w:line="195" w:lineRule="exact"/>
        <w:rPr>
          <w:rFonts w:ascii="Arial" w:cs="Arial" w:eastAsia="Arial" w:hAnsi="Arial"/>
          <w:sz w:val="20"/>
          <w:szCs w:val="20"/>
          <w:color w:val="auto"/>
        </w:rPr>
      </w:pPr>
    </w:p>
    <w:p>
      <w:pPr>
        <w:ind w:left="620" w:right="179" w:hanging="324"/>
        <w:spacing w:after="0" w:line="257" w:lineRule="auto"/>
        <w:tabs>
          <w:tab w:leader="none" w:pos="62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That Released Parties and their lawyers have played no role in, will play no role in, and neither take nor bear any responsibility for the allocation of settlement funds among claimants.</w:t>
      </w:r>
    </w:p>
    <w:p>
      <w:pPr>
        <w:spacing w:after="0" w:line="180" w:lineRule="exact"/>
        <w:rPr>
          <w:rFonts w:ascii="Arial" w:cs="Arial" w:eastAsia="Arial" w:hAnsi="Arial"/>
          <w:sz w:val="19"/>
          <w:szCs w:val="19"/>
          <w:color w:val="auto"/>
        </w:rPr>
      </w:pPr>
    </w:p>
    <w:p>
      <w:pPr>
        <w:jc w:val="both"/>
        <w:ind w:left="620" w:right="179" w:hanging="324"/>
        <w:spacing w:after="0" w:line="223" w:lineRule="auto"/>
        <w:tabs>
          <w:tab w:leader="none" w:pos="6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That I will be bound by the terms of the Agreement, this Opt-In Form, the Release, and the jurisdiction of the claims administrator with regard to the determination of my settlement offer amount under the Program.</w:t>
      </w:r>
    </w:p>
    <w:p>
      <w:pPr>
        <w:spacing w:after="0" w:line="195" w:lineRule="exact"/>
        <w:rPr>
          <w:rFonts w:ascii="Arial" w:cs="Arial" w:eastAsia="Arial" w:hAnsi="Arial"/>
          <w:sz w:val="20"/>
          <w:szCs w:val="20"/>
          <w:color w:val="auto"/>
        </w:rPr>
      </w:pPr>
    </w:p>
    <w:p>
      <w:pPr>
        <w:ind w:left="620" w:hanging="331"/>
        <w:spacing w:after="0"/>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That I will dismiss with prejudice my pending Claims in accordance with the terms of the Agreement.</w:t>
      </w:r>
    </w:p>
    <w:p>
      <w:pPr>
        <w:sectPr>
          <w:pgSz w:w="11900" w:h="16838" w:orient="portrait"/>
          <w:cols w:equalWidth="0" w:num="1">
            <w:col w:w="9019"/>
          </w:cols>
          <w:pgMar w:left="1440" w:top="746" w:right="1440"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256"/>
        </w:trPr>
        <w:tc>
          <w:tcPr>
            <w:tcW w:w="2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gridSpan w:val="2"/>
          </w:tcPr>
          <w:p>
            <w:pPr>
              <w:ind w:left="620"/>
              <w:spacing w:after="0"/>
              <w:rPr>
                <w:sz w:val="20"/>
                <w:szCs w:val="20"/>
                <w:color w:val="auto"/>
              </w:rPr>
            </w:pPr>
            <w:r>
              <w:rPr>
                <w:rFonts w:ascii="Arial" w:cs="Arial" w:eastAsia="Arial" w:hAnsi="Arial"/>
                <w:sz w:val="20"/>
                <w:szCs w:val="20"/>
                <w:color w:val="auto"/>
                <w:w w:val="84"/>
              </w:rPr>
              <w:t xml:space="preserve">Page </w:t>
            </w:r>
            <w:r>
              <w:rPr>
                <w:rFonts w:ascii="Arial" w:cs="Arial" w:eastAsia="Arial" w:hAnsi="Arial"/>
                <w:sz w:val="20"/>
                <w:szCs w:val="20"/>
                <w:b w:val="1"/>
                <w:bCs w:val="1"/>
                <w:color w:val="auto"/>
                <w:w w:val="84"/>
              </w:rPr>
              <w:t>2</w:t>
            </w:r>
            <w:r>
              <w:rPr>
                <w:rFonts w:ascii="Arial" w:cs="Arial" w:eastAsia="Arial" w:hAnsi="Arial"/>
                <w:sz w:val="20"/>
                <w:szCs w:val="20"/>
                <w:color w:val="auto"/>
                <w:w w:val="84"/>
              </w:rPr>
              <w:t xml:space="preserve"> of </w:t>
            </w:r>
            <w:r>
              <w:rPr>
                <w:rFonts w:ascii="Arial" w:cs="Arial" w:eastAsia="Arial" w:hAnsi="Arial"/>
                <w:sz w:val="20"/>
                <w:szCs w:val="20"/>
                <w:b w:val="1"/>
                <w:bCs w:val="1"/>
                <w:color w:val="auto"/>
                <w:w w:val="84"/>
              </w:rPr>
              <w:t>2</w:t>
            </w:r>
          </w:p>
        </w:tc>
        <w:tc>
          <w:tcPr>
            <w:tcW w:w="0" w:type="dxa"/>
            <w:vAlign w:val="bottom"/>
          </w:tcPr>
          <w:p>
            <w:pPr>
              <w:spacing w:after="0"/>
              <w:rPr>
                <w:sz w:val="1"/>
                <w:szCs w:val="1"/>
                <w:color w:val="auto"/>
              </w:rPr>
            </w:pPr>
          </w:p>
        </w:tc>
      </w:tr>
      <w:tr>
        <w:trPr>
          <w:trHeight w:val="239"/>
        </w:trPr>
        <w:tc>
          <w:tcPr>
            <w:tcW w:w="2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460" w:type="dxa"/>
            <w:vAlign w:val="bottom"/>
            <w:tcBorders>
              <w:left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w:t>
            </w:r>
          </w:p>
        </w:tc>
        <w:tc>
          <w:tcPr>
            <w:tcW w:w="7000" w:type="dxa"/>
            <w:vAlign w:val="bottom"/>
            <w:tcBorders>
              <w:right w:val="single" w:sz="8" w:color="auto"/>
            </w:tcBorders>
            <w:gridSpan w:val="10"/>
          </w:tcPr>
          <w:p>
            <w:pPr>
              <w:ind w:left="100"/>
              <w:spacing w:after="0"/>
              <w:rPr>
                <w:sz w:val="20"/>
                <w:szCs w:val="20"/>
                <w:color w:val="auto"/>
              </w:rPr>
            </w:pPr>
            <w:r>
              <w:rPr>
                <w:rFonts w:ascii="Arial" w:cs="Arial" w:eastAsia="Arial" w:hAnsi="Arial"/>
                <w:sz w:val="20"/>
                <w:szCs w:val="20"/>
                <w:color w:val="auto"/>
              </w:rPr>
              <w:t xml:space="preserve">I elect </w:t>
            </w:r>
            <w:r>
              <w:rPr>
                <w:rFonts w:ascii="Arial" w:cs="Arial" w:eastAsia="Arial" w:hAnsi="Arial"/>
                <w:sz w:val="20"/>
                <w:szCs w:val="20"/>
                <w:b w:val="1"/>
                <w:bCs w:val="1"/>
                <w:color w:val="auto"/>
              </w:rPr>
              <w:t>TO OPT INTO</w:t>
            </w:r>
            <w:r>
              <w:rPr>
                <w:rFonts w:ascii="Arial" w:cs="Arial" w:eastAsia="Arial" w:hAnsi="Arial"/>
                <w:sz w:val="20"/>
                <w:szCs w:val="20"/>
                <w:color w:val="auto"/>
              </w:rPr>
              <w:t xml:space="preserve"> the Willowbrook Ethylene Oxide Settlement Program.</w:t>
            </w:r>
          </w:p>
        </w:tc>
        <w:tc>
          <w:tcPr>
            <w:tcW w:w="0" w:type="dxa"/>
            <w:vAlign w:val="bottom"/>
          </w:tcPr>
          <w:p>
            <w:pPr>
              <w:spacing w:after="0"/>
              <w:rPr>
                <w:sz w:val="1"/>
                <w:szCs w:val="1"/>
                <w:color w:val="auto"/>
              </w:rPr>
            </w:pPr>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460" w:type="dxa"/>
            <w:vAlign w:val="bottom"/>
            <w:tcBorders>
              <w:left w:val="single" w:sz="8" w:color="auto"/>
              <w:right w:val="single" w:sz="8" w:color="auto"/>
            </w:tcBorders>
            <w:vMerge w:val="restart"/>
          </w:tcPr>
          <w:p>
            <w:pPr>
              <w:ind w:left="1160"/>
              <w:spacing w:after="0"/>
              <w:rPr>
                <w:sz w:val="20"/>
                <w:szCs w:val="20"/>
                <w:color w:val="auto"/>
              </w:rPr>
            </w:pPr>
            <w:r>
              <w:rPr>
                <w:rFonts w:ascii="Arial" w:cs="Arial" w:eastAsia="Arial" w:hAnsi="Arial"/>
                <w:sz w:val="20"/>
                <w:szCs w:val="20"/>
                <w:color w:val="auto"/>
              </w:rPr>
              <w:t>□</w:t>
            </w:r>
          </w:p>
        </w:tc>
        <w:tc>
          <w:tcPr>
            <w:tcW w:w="7000" w:type="dxa"/>
            <w:vAlign w:val="bottom"/>
            <w:tcBorders>
              <w:right w:val="single" w:sz="8" w:color="auto"/>
            </w:tcBorders>
            <w:gridSpan w:val="10"/>
          </w:tcPr>
          <w:p>
            <w:pPr>
              <w:ind w:left="100"/>
              <w:spacing w:after="0"/>
              <w:rPr>
                <w:sz w:val="20"/>
                <w:szCs w:val="20"/>
                <w:color w:val="auto"/>
              </w:rPr>
            </w:pPr>
            <w:r>
              <w:rPr>
                <w:rFonts w:ascii="Arial" w:cs="Arial" w:eastAsia="Arial" w:hAnsi="Arial"/>
                <w:sz w:val="20"/>
                <w:szCs w:val="20"/>
                <w:color w:val="auto"/>
              </w:rPr>
              <w:t xml:space="preserve">I elect to </w:t>
            </w:r>
            <w:r>
              <w:rPr>
                <w:rFonts w:ascii="Arial" w:cs="Arial" w:eastAsia="Arial" w:hAnsi="Arial"/>
                <w:sz w:val="20"/>
                <w:szCs w:val="20"/>
                <w:b w:val="1"/>
                <w:bCs w:val="1"/>
                <w:color w:val="auto"/>
              </w:rPr>
              <w:t>NOT</w:t>
            </w:r>
            <w:r>
              <w:rPr>
                <w:rFonts w:ascii="Arial" w:cs="Arial" w:eastAsia="Arial" w:hAnsi="Arial"/>
                <w:sz w:val="20"/>
                <w:szCs w:val="20"/>
                <w:color w:val="auto"/>
              </w:rPr>
              <w:t xml:space="preserve"> opt into the Willowbrook Ethylene Oxide Settlement Program. I</w:t>
            </w:r>
          </w:p>
        </w:tc>
        <w:tc>
          <w:tcPr>
            <w:tcW w:w="0" w:type="dxa"/>
            <w:vAlign w:val="bottom"/>
          </w:tcPr>
          <w:p>
            <w:pPr>
              <w:spacing w:after="0"/>
              <w:rPr>
                <w:sz w:val="1"/>
                <w:szCs w:val="1"/>
                <w:color w:val="auto"/>
              </w:rPr>
            </w:pPr>
          </w:p>
        </w:tc>
      </w:tr>
      <w:tr>
        <w:trPr>
          <w:trHeight w:val="179"/>
        </w:trPr>
        <w:tc>
          <w:tcPr>
            <w:tcW w:w="2460" w:type="dxa"/>
            <w:vAlign w:val="bottom"/>
            <w:tcBorders>
              <w:left w:val="single" w:sz="8" w:color="auto"/>
              <w:right w:val="single" w:sz="8" w:color="auto"/>
            </w:tcBorders>
            <w:vMerge w:val="continue"/>
          </w:tcPr>
          <w:p>
            <w:pPr>
              <w:spacing w:after="0"/>
              <w:rPr>
                <w:sz w:val="15"/>
                <w:szCs w:val="15"/>
                <w:color w:val="auto"/>
              </w:rPr>
            </w:pPr>
          </w:p>
        </w:tc>
        <w:tc>
          <w:tcPr>
            <w:tcW w:w="960" w:type="dxa"/>
            <w:vAlign w:val="bottom"/>
            <w:gridSpan w:val="2"/>
          </w:tcPr>
          <w:p>
            <w:pPr>
              <w:ind w:left="100"/>
              <w:spacing w:after="0" w:line="179" w:lineRule="exact"/>
              <w:rPr>
                <w:sz w:val="20"/>
                <w:szCs w:val="20"/>
                <w:color w:val="auto"/>
              </w:rPr>
            </w:pPr>
            <w:r>
              <w:rPr>
                <w:rFonts w:ascii="Arial" w:cs="Arial" w:eastAsia="Arial" w:hAnsi="Arial"/>
                <w:sz w:val="20"/>
                <w:szCs w:val="20"/>
                <w:color w:val="auto"/>
                <w:w w:val="83"/>
              </w:rPr>
              <w:t>understand</w:t>
            </w:r>
          </w:p>
        </w:tc>
        <w:tc>
          <w:tcPr>
            <w:tcW w:w="420" w:type="dxa"/>
            <w:vAlign w:val="bottom"/>
            <w:tcBorders>
              <w:top w:val="single" w:sz="8" w:color="auto"/>
            </w:tcBorders>
          </w:tcPr>
          <w:p>
            <w:pPr>
              <w:ind w:left="80"/>
              <w:spacing w:after="0" w:line="179" w:lineRule="exact"/>
              <w:rPr>
                <w:sz w:val="20"/>
                <w:szCs w:val="20"/>
                <w:color w:val="auto"/>
              </w:rPr>
            </w:pPr>
            <w:r>
              <w:rPr>
                <w:rFonts w:ascii="Arial" w:cs="Arial" w:eastAsia="Arial" w:hAnsi="Arial"/>
                <w:sz w:val="20"/>
                <w:szCs w:val="20"/>
                <w:color w:val="auto"/>
                <w:w w:val="95"/>
              </w:rPr>
              <w:t>that</w:t>
            </w:r>
          </w:p>
        </w:tc>
        <w:tc>
          <w:tcPr>
            <w:tcW w:w="5620" w:type="dxa"/>
            <w:vAlign w:val="bottom"/>
            <w:tcBorders>
              <w:right w:val="single" w:sz="8" w:color="auto"/>
            </w:tcBorders>
            <w:gridSpan w:val="7"/>
          </w:tcPr>
          <w:p>
            <w:pPr>
              <w:ind w:left="20"/>
              <w:spacing w:after="0" w:line="179" w:lineRule="exact"/>
              <w:rPr>
                <w:sz w:val="20"/>
                <w:szCs w:val="20"/>
                <w:color w:val="auto"/>
              </w:rPr>
            </w:pPr>
            <w:r>
              <w:rPr>
                <w:rFonts w:ascii="Arial" w:cs="Arial" w:eastAsia="Arial" w:hAnsi="Arial"/>
                <w:sz w:val="20"/>
                <w:szCs w:val="20"/>
                <w:color w:val="auto"/>
                <w:w w:val="94"/>
              </w:rPr>
              <w:t>by not opting in, I am not entitled to any compensation through the</w:t>
            </w:r>
          </w:p>
        </w:tc>
        <w:tc>
          <w:tcPr>
            <w:tcW w:w="0" w:type="dxa"/>
            <w:vAlign w:val="bottom"/>
          </w:tcPr>
          <w:p>
            <w:pPr>
              <w:spacing w:after="0"/>
              <w:rPr>
                <w:sz w:val="1"/>
                <w:szCs w:val="1"/>
                <w:color w:val="auto"/>
              </w:rPr>
            </w:pPr>
          </w:p>
        </w:tc>
      </w:tr>
      <w:tr>
        <w:trPr>
          <w:trHeight w:val="192"/>
        </w:trPr>
        <w:tc>
          <w:tcPr>
            <w:tcW w:w="2460" w:type="dxa"/>
            <w:vAlign w:val="bottom"/>
            <w:tcBorders>
              <w:left w:val="single" w:sz="8" w:color="auto"/>
              <w:right w:val="single" w:sz="8" w:color="auto"/>
            </w:tcBorders>
          </w:tcPr>
          <w:p>
            <w:pPr>
              <w:spacing w:after="0"/>
              <w:rPr>
                <w:sz w:val="16"/>
                <w:szCs w:val="16"/>
                <w:color w:val="auto"/>
              </w:rPr>
            </w:pPr>
          </w:p>
        </w:tc>
        <w:tc>
          <w:tcPr>
            <w:tcW w:w="7000" w:type="dxa"/>
            <w:vAlign w:val="bottom"/>
            <w:tcBorders>
              <w:right w:val="single" w:sz="8" w:color="auto"/>
            </w:tcBorders>
            <w:gridSpan w:val="10"/>
          </w:tcPr>
          <w:p>
            <w:pPr>
              <w:ind w:left="100"/>
              <w:spacing w:after="0" w:line="192" w:lineRule="exact"/>
              <w:rPr>
                <w:sz w:val="20"/>
                <w:szCs w:val="20"/>
                <w:color w:val="auto"/>
              </w:rPr>
            </w:pPr>
            <w:r>
              <w:rPr>
                <w:rFonts w:ascii="Arial" w:cs="Arial" w:eastAsia="Arial" w:hAnsi="Arial"/>
                <w:sz w:val="20"/>
                <w:szCs w:val="20"/>
                <w:color w:val="auto"/>
                <w:w w:val="93"/>
              </w:rPr>
              <w:t>Willowbrook Ethylene Oxide Settlement Program. I acknowledge that I am required</w:t>
            </w:r>
          </w:p>
        </w:tc>
        <w:tc>
          <w:tcPr>
            <w:tcW w:w="0" w:type="dxa"/>
            <w:vAlign w:val="bottom"/>
          </w:tcPr>
          <w:p>
            <w:pPr>
              <w:spacing w:after="0"/>
              <w:rPr>
                <w:sz w:val="1"/>
                <w:szCs w:val="1"/>
                <w:color w:val="auto"/>
              </w:rPr>
            </w:pPr>
          </w:p>
        </w:tc>
      </w:tr>
      <w:tr>
        <w:trPr>
          <w:trHeight w:val="213"/>
        </w:trPr>
        <w:tc>
          <w:tcPr>
            <w:tcW w:w="2460" w:type="dxa"/>
            <w:vAlign w:val="bottom"/>
            <w:tcBorders>
              <w:left w:val="single" w:sz="8" w:color="auto"/>
              <w:right w:val="single" w:sz="8" w:color="auto"/>
            </w:tcBorders>
          </w:tcPr>
          <w:p>
            <w:pPr>
              <w:spacing w:after="0"/>
              <w:rPr>
                <w:sz w:val="18"/>
                <w:szCs w:val="18"/>
                <w:color w:val="auto"/>
              </w:rPr>
            </w:pPr>
          </w:p>
        </w:tc>
        <w:tc>
          <w:tcPr>
            <w:tcW w:w="2860" w:type="dxa"/>
            <w:vAlign w:val="bottom"/>
            <w:gridSpan w:val="5"/>
          </w:tcPr>
          <w:p>
            <w:pPr>
              <w:ind w:left="100"/>
              <w:spacing w:after="0" w:line="212" w:lineRule="exact"/>
              <w:rPr>
                <w:sz w:val="20"/>
                <w:szCs w:val="20"/>
                <w:color w:val="auto"/>
              </w:rPr>
            </w:pPr>
            <w:r>
              <w:rPr>
                <w:rFonts w:ascii="Arial" w:cs="Arial" w:eastAsia="Arial" w:hAnsi="Arial"/>
                <w:sz w:val="20"/>
                <w:szCs w:val="20"/>
                <w:color w:val="auto"/>
              </w:rPr>
              <w:t>to</w:t>
            </w: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Borders>
              <w:left w:val="single" w:sz="8" w:color="auto"/>
              <w:right w:val="single" w:sz="8" w:color="auto"/>
            </w:tcBorders>
          </w:tcPr>
          <w:p>
            <w:pPr>
              <w:spacing w:after="0"/>
              <w:rPr>
                <w:sz w:val="19"/>
                <w:szCs w:val="19"/>
                <w:color w:val="auto"/>
              </w:rPr>
            </w:pPr>
          </w:p>
        </w:tc>
        <w:tc>
          <w:tcPr>
            <w:tcW w:w="7000" w:type="dxa"/>
            <w:vAlign w:val="bottom"/>
            <w:tcBorders>
              <w:right w:val="single" w:sz="8" w:color="auto"/>
            </w:tcBorders>
            <w:gridSpan w:val="10"/>
          </w:tcPr>
          <w:p>
            <w:pPr>
              <w:ind w:left="100"/>
              <w:spacing w:after="0"/>
              <w:rPr>
                <w:sz w:val="20"/>
                <w:szCs w:val="20"/>
                <w:color w:val="auto"/>
              </w:rPr>
            </w:pPr>
            <w:r>
              <w:rPr>
                <w:rFonts w:ascii="Arial" w:cs="Arial" w:eastAsia="Arial" w:hAnsi="Arial"/>
                <w:sz w:val="20"/>
                <w:szCs w:val="20"/>
                <w:color w:val="auto"/>
                <w:w w:val="95"/>
              </w:rPr>
              <w:t>complete a Claimant Fact Sheet and Mental Health Addendum (if applicable) and</w:t>
            </w:r>
          </w:p>
        </w:tc>
        <w:tc>
          <w:tcPr>
            <w:tcW w:w="0" w:type="dxa"/>
            <w:vAlign w:val="bottom"/>
          </w:tcPr>
          <w:p>
            <w:pPr>
              <w:spacing w:after="0"/>
              <w:rPr>
                <w:sz w:val="1"/>
                <w:szCs w:val="1"/>
                <w:color w:val="auto"/>
              </w:rPr>
            </w:pPr>
          </w:p>
        </w:tc>
      </w:tr>
      <w:tr>
        <w:trPr>
          <w:trHeight w:val="255"/>
        </w:trPr>
        <w:tc>
          <w:tcPr>
            <w:tcW w:w="2460" w:type="dxa"/>
            <w:vAlign w:val="bottom"/>
            <w:tcBorders>
              <w:left w:val="single" w:sz="8" w:color="auto"/>
              <w:bottom w:val="single" w:sz="8" w:color="auto"/>
              <w:right w:val="single" w:sz="8" w:color="auto"/>
            </w:tcBorders>
          </w:tcPr>
          <w:p>
            <w:pPr>
              <w:spacing w:after="0"/>
              <w:rPr>
                <w:sz w:val="22"/>
                <w:szCs w:val="22"/>
                <w:color w:val="auto"/>
              </w:rPr>
            </w:pPr>
          </w:p>
        </w:tc>
        <w:tc>
          <w:tcPr>
            <w:tcW w:w="7000" w:type="dxa"/>
            <w:vAlign w:val="bottom"/>
            <w:tcBorders>
              <w:bottom w:val="single" w:sz="8" w:color="auto"/>
              <w:right w:val="single" w:sz="8" w:color="auto"/>
            </w:tcBorders>
            <w:gridSpan w:val="10"/>
          </w:tcPr>
          <w:p>
            <w:pPr>
              <w:ind w:left="100"/>
              <w:spacing w:after="0"/>
              <w:rPr>
                <w:sz w:val="20"/>
                <w:szCs w:val="20"/>
                <w:color w:val="auto"/>
              </w:rPr>
            </w:pPr>
            <w:r>
              <w:rPr>
                <w:rFonts w:ascii="Arial" w:cs="Arial" w:eastAsia="Arial" w:hAnsi="Arial"/>
                <w:sz w:val="20"/>
                <w:szCs w:val="20"/>
                <w:color w:val="auto"/>
                <w:w w:val="95"/>
              </w:rPr>
              <w:t>provide the Claims Administrator further information about my claims and injuries.</w:t>
            </w:r>
          </w:p>
        </w:tc>
        <w:tc>
          <w:tcPr>
            <w:tcW w:w="0" w:type="dxa"/>
            <w:vAlign w:val="bottom"/>
          </w:tcPr>
          <w:p>
            <w:pPr>
              <w:spacing w:after="0"/>
              <w:rPr>
                <w:sz w:val="1"/>
                <w:szCs w:val="1"/>
                <w:color w:val="auto"/>
              </w:rPr>
            </w:pPr>
          </w:p>
        </w:tc>
      </w:tr>
      <w:tr>
        <w:trPr>
          <w:trHeight w:val="187"/>
        </w:trPr>
        <w:tc>
          <w:tcPr>
            <w:tcW w:w="246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Claimant Signature</w:t>
            </w:r>
          </w:p>
        </w:tc>
        <w:tc>
          <w:tcPr>
            <w:tcW w:w="6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b w:val="1"/>
                <w:bCs w:val="1"/>
                <w:color w:val="auto"/>
              </w:rPr>
              <w:t>Date</w:t>
            </w:r>
          </w:p>
        </w:tc>
        <w:tc>
          <w:tcPr>
            <w:tcW w:w="500" w:type="dxa"/>
            <w:vAlign w:val="bottom"/>
          </w:tcPr>
          <w:p>
            <w:pPr>
              <w:spacing w:after="0"/>
              <w:rPr>
                <w:sz w:val="16"/>
                <w:szCs w:val="16"/>
                <w:color w:val="auto"/>
              </w:rPr>
            </w:pPr>
          </w:p>
        </w:tc>
        <w:tc>
          <w:tcPr>
            <w:tcW w:w="152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  /   (MM)</w:t>
            </w:r>
          </w:p>
        </w:tc>
        <w:tc>
          <w:tcPr>
            <w:tcW w:w="0" w:type="dxa"/>
            <w:vAlign w:val="bottom"/>
          </w:tcPr>
          <w:p>
            <w:pPr>
              <w:spacing w:after="0"/>
              <w:rPr>
                <w:sz w:val="1"/>
                <w:szCs w:val="1"/>
                <w:color w:val="auto"/>
              </w:rPr>
            </w:pPr>
          </w:p>
        </w:tc>
      </w:tr>
      <w:tr>
        <w:trPr>
          <w:trHeight w:val="20"/>
        </w:trPr>
        <w:tc>
          <w:tcPr>
            <w:tcW w:w="2460" w:type="dxa"/>
            <w:vAlign w:val="bottom"/>
            <w:tcBorders>
              <w:left w:val="single" w:sz="8" w:color="auto"/>
            </w:tcBorders>
            <w:vMerge w:val="continue"/>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460" w:type="dxa"/>
            <w:vAlign w:val="bottom"/>
            <w:tcBorders>
              <w:lef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(DD) (YEAR)</w:t>
            </w:r>
          </w:p>
        </w:tc>
        <w:tc>
          <w:tcPr>
            <w:tcW w:w="0" w:type="dxa"/>
            <w:vAlign w:val="bottom"/>
          </w:tcPr>
          <w:p>
            <w:pPr>
              <w:spacing w:after="0"/>
              <w:rPr>
                <w:sz w:val="1"/>
                <w:szCs w:val="1"/>
                <w:color w:val="auto"/>
              </w:rPr>
            </w:pPr>
          </w:p>
        </w:tc>
      </w:tr>
      <w:tr>
        <w:trPr>
          <w:trHeight w:val="65"/>
        </w:trPr>
        <w:tc>
          <w:tcPr>
            <w:tcW w:w="246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4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6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Printed Name</w:t>
            </w:r>
          </w:p>
        </w:tc>
        <w:tc>
          <w:tcPr>
            <w:tcW w:w="66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gridSpan w:val="4"/>
          </w:tcPr>
          <w:p>
            <w:pPr>
              <w:ind w:left="100"/>
              <w:spacing w:after="0"/>
              <w:rPr>
                <w:sz w:val="20"/>
                <w:szCs w:val="20"/>
                <w:color w:val="auto"/>
              </w:rPr>
            </w:pPr>
            <w:r>
              <w:rPr>
                <w:rFonts w:ascii="Arial" w:cs="Arial" w:eastAsia="Arial" w:hAnsi="Arial"/>
                <w:sz w:val="14"/>
                <w:szCs w:val="14"/>
                <w:color w:val="auto"/>
              </w:rPr>
              <w:t>First</w:t>
            </w:r>
          </w:p>
        </w:tc>
        <w:tc>
          <w:tcPr>
            <w:tcW w:w="14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w:t>
            </w:r>
          </w:p>
        </w:tc>
        <w:tc>
          <w:tcPr>
            <w:tcW w:w="720" w:type="dxa"/>
            <w:vAlign w:val="bottom"/>
          </w:tcPr>
          <w:p>
            <w:pPr>
              <w:ind w:left="100"/>
              <w:spacing w:after="0"/>
              <w:rPr>
                <w:sz w:val="20"/>
                <w:szCs w:val="20"/>
                <w:color w:val="auto"/>
              </w:rPr>
            </w:pPr>
            <w:r>
              <w:rPr>
                <w:rFonts w:ascii="Arial" w:cs="Arial" w:eastAsia="Arial" w:hAnsi="Arial"/>
                <w:sz w:val="14"/>
                <w:szCs w:val="14"/>
                <w:color w:val="auto"/>
              </w:rPr>
              <w:t>Last</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460" w:type="dxa"/>
            <w:vAlign w:val="bottom"/>
            <w:tcBorders>
              <w:left w:val="single" w:sz="8" w:color="auto"/>
              <w:bottom w:val="single" w:sz="8" w:color="auto"/>
            </w:tcBorders>
            <w:vMerge w:val="continue"/>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385445</wp:posOffset>
            </wp:positionV>
            <wp:extent cx="6000750" cy="18262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00075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FFFFFF"/>
        </w:rPr>
        <w:t>II. Claimant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Name of Injured Party</w:t>
            </w:r>
          </w:p>
        </w:tc>
        <w:tc>
          <w:tcPr>
            <w:tcW w:w="2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First</w:t>
            </w:r>
          </w:p>
        </w:tc>
        <w:tc>
          <w:tcPr>
            <w:tcW w:w="14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MI</w:t>
            </w:r>
          </w:p>
        </w:tc>
        <w:tc>
          <w:tcPr>
            <w:tcW w:w="27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Last</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right w:val="single" w:sz="8" w:color="auto"/>
            </w:tcBorders>
            <w:vMerge w:val="continue"/>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w w:val="95"/>
              </w:rPr>
              <w:t>Name of Legal Representative of</w:t>
            </w: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First</w:t>
            </w:r>
          </w:p>
        </w:tc>
        <w:tc>
          <w:tcPr>
            <w:tcW w:w="14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w:t>
            </w:r>
          </w:p>
        </w:tc>
        <w:tc>
          <w:tcPr>
            <w:tcW w:w="2720" w:type="dxa"/>
            <w:vAlign w:val="bottom"/>
          </w:tcPr>
          <w:p>
            <w:pPr>
              <w:ind w:left="100"/>
              <w:spacing w:after="0"/>
              <w:rPr>
                <w:sz w:val="20"/>
                <w:szCs w:val="20"/>
                <w:color w:val="auto"/>
              </w:rPr>
            </w:pPr>
            <w:r>
              <w:rPr>
                <w:rFonts w:ascii="Arial" w:cs="Arial" w:eastAsia="Arial" w:hAnsi="Arial"/>
                <w:sz w:val="14"/>
                <w:szCs w:val="14"/>
                <w:color w:val="auto"/>
              </w:rPr>
              <w:t>Last</w:t>
            </w:r>
          </w:p>
        </w:tc>
        <w:tc>
          <w:tcPr>
            <w:tcW w:w="0" w:type="dxa"/>
            <w:vAlign w:val="bottom"/>
          </w:tcPr>
          <w:p>
            <w:pPr>
              <w:spacing w:after="0"/>
              <w:rPr>
                <w:sz w:val="1"/>
                <w:szCs w:val="1"/>
                <w:color w:val="auto"/>
              </w:rPr>
            </w:pPr>
          </w:p>
        </w:tc>
      </w:tr>
      <w:tr>
        <w:trPr>
          <w:trHeight w:val="146"/>
        </w:trPr>
        <w:tc>
          <w:tcPr>
            <w:tcW w:w="3120" w:type="dxa"/>
            <w:vAlign w:val="bottom"/>
            <w:tcBorders>
              <w:right w:val="single" w:sz="8" w:color="auto"/>
            </w:tcBorders>
            <w:vMerge w:val="continue"/>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12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w w:val="89"/>
              </w:rPr>
              <w:t>Estate or Dependent (if applicable)</w:t>
            </w:r>
          </w:p>
        </w:tc>
        <w:tc>
          <w:tcPr>
            <w:tcW w:w="220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312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1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Name of Claimant’s Counsel</w:t>
            </w: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First</w:t>
            </w:r>
          </w:p>
        </w:tc>
        <w:tc>
          <w:tcPr>
            <w:tcW w:w="14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w:t>
            </w:r>
          </w:p>
        </w:tc>
        <w:tc>
          <w:tcPr>
            <w:tcW w:w="2720" w:type="dxa"/>
            <w:vAlign w:val="bottom"/>
          </w:tcPr>
          <w:p>
            <w:pPr>
              <w:ind w:left="100"/>
              <w:spacing w:after="0"/>
              <w:rPr>
                <w:sz w:val="20"/>
                <w:szCs w:val="20"/>
                <w:color w:val="auto"/>
              </w:rPr>
            </w:pPr>
            <w:r>
              <w:rPr>
                <w:rFonts w:ascii="Arial" w:cs="Arial" w:eastAsia="Arial" w:hAnsi="Arial"/>
                <w:sz w:val="14"/>
                <w:szCs w:val="14"/>
                <w:color w:val="auto"/>
              </w:rPr>
              <w:t>Last</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right w:val="single" w:sz="8" w:color="auto"/>
            </w:tcBorders>
            <w:vMerge w:val="continue"/>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Law Firm Name</w:t>
            </w:r>
          </w:p>
        </w:tc>
        <w:tc>
          <w:tcPr>
            <w:tcW w:w="22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rPr>
              <w:t>Law</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120" w:type="dxa"/>
            <w:vAlign w:val="bottom"/>
            <w:tcBorders>
              <w:right w:val="single" w:sz="8" w:color="auto"/>
            </w:tcBorders>
            <w:vMerge w:val="continue"/>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20"/>
                <w:szCs w:val="20"/>
                <w:b w:val="1"/>
                <w:bCs w:val="1"/>
                <w:color w:val="auto"/>
              </w:rPr>
              <w:t>Firm</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2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Address</w:t>
            </w: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479"/>
          </w:cols>
          <w:pgMar w:left="980" w:top="751"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Page 1 of 3</w:t>
      </w:r>
    </w:p>
    <w:p>
      <w:pPr>
        <w:spacing w:after="0" w:line="279"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u w:val="single" w:color="auto"/>
          <w:color w:val="auto"/>
        </w:rPr>
        <w:t>EXHIBIT B</w:t>
      </w:r>
    </w:p>
    <w:p>
      <w:pPr>
        <w:jc w:val="center"/>
        <w:ind w:right="640"/>
        <w:spacing w:after="0"/>
        <w:rPr>
          <w:sz w:val="20"/>
          <w:szCs w:val="20"/>
          <w:color w:val="auto"/>
        </w:rPr>
      </w:pPr>
      <w:r>
        <w:rPr>
          <w:rFonts w:ascii="Arial" w:cs="Arial" w:eastAsia="Arial" w:hAnsi="Arial"/>
          <w:sz w:val="20"/>
          <w:szCs w:val="20"/>
          <w:color w:val="auto"/>
        </w:rPr>
        <w:t>Form of Declaration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163195</wp:posOffset>
            </wp:positionV>
            <wp:extent cx="6111875" cy="3857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111875" cy="3857625"/>
                    </a:xfrm>
                    <a:prstGeom prst="rect">
                      <a:avLst/>
                    </a:prstGeom>
                    <a:noFill/>
                  </pic:spPr>
                </pic:pic>
              </a:graphicData>
            </a:graphic>
          </wp:anchor>
        </w:drawing>
      </w:r>
    </w:p>
    <w:p>
      <w:pPr>
        <w:spacing w:after="0" w:line="277" w:lineRule="exact"/>
        <w:rPr>
          <w:sz w:val="20"/>
          <w:szCs w:val="20"/>
          <w:color w:val="auto"/>
        </w:rPr>
      </w:pPr>
    </w:p>
    <w:p>
      <w:pPr>
        <w:jc w:val="center"/>
        <w:ind w:right="1060"/>
        <w:spacing w:after="0"/>
        <w:rPr>
          <w:sz w:val="20"/>
          <w:szCs w:val="20"/>
          <w:color w:val="auto"/>
        </w:rPr>
      </w:pPr>
      <w:r>
        <w:rPr>
          <w:rFonts w:ascii="Arial" w:cs="Arial" w:eastAsia="Arial" w:hAnsi="Arial"/>
          <w:sz w:val="32"/>
          <w:szCs w:val="32"/>
          <w:b w:val="1"/>
          <w:bCs w:val="1"/>
          <w:color w:val="221F1F"/>
        </w:rPr>
        <w:t>Declaration of</w:t>
      </w:r>
    </w:p>
    <w:p>
      <w:pPr>
        <w:spacing w:after="0" w:line="6" w:lineRule="exact"/>
        <w:rPr>
          <w:sz w:val="20"/>
          <w:szCs w:val="20"/>
          <w:color w:val="auto"/>
        </w:rPr>
      </w:pPr>
    </w:p>
    <w:p>
      <w:pPr>
        <w:jc w:val="center"/>
        <w:ind w:right="1060"/>
        <w:spacing w:after="0"/>
        <w:rPr>
          <w:sz w:val="20"/>
          <w:szCs w:val="20"/>
          <w:color w:val="auto"/>
        </w:rPr>
      </w:pPr>
      <w:r>
        <w:rPr>
          <w:rFonts w:ascii="Arial" w:cs="Arial" w:eastAsia="Arial" w:hAnsi="Arial"/>
          <w:sz w:val="32"/>
          <w:szCs w:val="32"/>
          <w:b w:val="1"/>
          <w:bCs w:val="1"/>
          <w:color w:val="221F1F"/>
        </w:rPr>
        <w:t>Counsel</w:t>
      </w:r>
    </w:p>
    <w:p>
      <w:pPr>
        <w:spacing w:after="0" w:line="109"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221F1F"/>
        </w:rPr>
        <w:t>INSTRUCTIONS</w:t>
      </w:r>
    </w:p>
    <w:p>
      <w:pPr>
        <w:spacing w:after="0" w:line="293" w:lineRule="exact"/>
        <w:rPr>
          <w:sz w:val="20"/>
          <w:szCs w:val="20"/>
          <w:color w:val="auto"/>
        </w:rPr>
      </w:pPr>
    </w:p>
    <w:p>
      <w:pPr>
        <w:jc w:val="both"/>
        <w:ind w:right="1120"/>
        <w:spacing w:after="0" w:line="257" w:lineRule="auto"/>
        <w:rPr>
          <w:sz w:val="20"/>
          <w:szCs w:val="20"/>
          <w:color w:val="auto"/>
        </w:rPr>
      </w:pPr>
      <w:r>
        <w:rPr>
          <w:rFonts w:ascii="Arial" w:cs="Arial" w:eastAsia="Arial" w:hAnsi="Arial"/>
          <w:sz w:val="21"/>
          <w:szCs w:val="21"/>
          <w:color w:val="221F1F"/>
        </w:rPr>
        <w:t>Capitalized terms not defined in this Declaration of Counsel have the meanings provided in the Willowbrook Group Settlement Agreement between and among Plaintiffs’ Executive Committee, Sotera Health LLC, and Sterigenics U.S., LLC, dated March 28, 2023 (the “</w:t>
      </w:r>
      <w:r>
        <w:rPr>
          <w:rFonts w:ascii="Arial" w:cs="Arial" w:eastAsia="Arial" w:hAnsi="Arial"/>
          <w:sz w:val="21"/>
          <w:szCs w:val="21"/>
          <w:u w:val="single" w:color="auto"/>
          <w:color w:val="221F1F"/>
        </w:rPr>
        <w:t>Settlement Agreement</w:t>
      </w:r>
      <w:r>
        <w:rPr>
          <w:rFonts w:ascii="Arial" w:cs="Arial" w:eastAsia="Arial" w:hAnsi="Arial"/>
          <w:sz w:val="21"/>
          <w:szCs w:val="21"/>
          <w:color w:val="221F1F"/>
        </w:rPr>
        <w:t>”).</w:t>
      </w:r>
    </w:p>
    <w:p>
      <w:pPr>
        <w:spacing w:after="0" w:line="183" w:lineRule="exact"/>
        <w:rPr>
          <w:sz w:val="20"/>
          <w:szCs w:val="20"/>
          <w:color w:val="auto"/>
        </w:rPr>
      </w:pPr>
    </w:p>
    <w:p>
      <w:pPr>
        <w:ind w:right="1420"/>
        <w:spacing w:after="0" w:line="250" w:lineRule="auto"/>
        <w:rPr>
          <w:sz w:val="20"/>
          <w:szCs w:val="20"/>
          <w:color w:val="auto"/>
        </w:rPr>
      </w:pPr>
      <w:r>
        <w:rPr>
          <w:rFonts w:ascii="Arial" w:cs="Arial" w:eastAsia="Arial" w:hAnsi="Arial"/>
          <w:sz w:val="22"/>
          <w:szCs w:val="22"/>
          <w:color w:val="221F1F"/>
        </w:rPr>
        <w:t>The completed and signed Declaration of Counsel must be submitted to the Claims Administrator on or before [OPT-IN DATE].</w:t>
      </w:r>
    </w:p>
    <w:p>
      <w:pPr>
        <w:spacing w:after="0" w:line="202" w:lineRule="exact"/>
        <w:rPr>
          <w:sz w:val="20"/>
          <w:szCs w:val="20"/>
          <w:color w:val="auto"/>
        </w:rPr>
      </w:pPr>
    </w:p>
    <w:p>
      <w:pPr>
        <w:ind w:right="1340"/>
        <w:spacing w:after="0" w:line="236" w:lineRule="auto"/>
        <w:rPr>
          <w:sz w:val="20"/>
          <w:szCs w:val="20"/>
          <w:color w:val="auto"/>
        </w:rPr>
      </w:pPr>
      <w:r>
        <w:rPr>
          <w:rFonts w:ascii="Arial" w:cs="Arial" w:eastAsia="Arial" w:hAnsi="Arial"/>
          <w:sz w:val="22"/>
          <w:szCs w:val="22"/>
          <w:color w:val="221F1F"/>
        </w:rPr>
        <w:t xml:space="preserve">As set forth in Section 3.3 of the Settlement Agreement, timely submission of this completed and signed Declaration of Counsel, along with a completed and signed Opt In Form and Release, is </w:t>
      </w:r>
      <w:r>
        <w:rPr>
          <w:rFonts w:ascii="Arial" w:cs="Arial" w:eastAsia="Arial" w:hAnsi="Arial"/>
          <w:sz w:val="22"/>
          <w:szCs w:val="22"/>
          <w:b w:val="1"/>
          <w:bCs w:val="1"/>
          <w:u w:val="single" w:color="auto"/>
          <w:color w:val="221F1F"/>
        </w:rPr>
        <w:t>required</w:t>
      </w:r>
      <w:r>
        <w:rPr>
          <w:rFonts w:ascii="Arial" w:cs="Arial" w:eastAsia="Arial" w:hAnsi="Arial"/>
          <w:sz w:val="22"/>
          <w:szCs w:val="22"/>
          <w:color w:val="221F1F"/>
        </w:rPr>
        <w:t xml:space="preserve"> for a Claimant to Opt In to the Settlement Program.</w:t>
      </w:r>
    </w:p>
    <w:p>
      <w:pPr>
        <w:spacing w:after="0" w:line="212" w:lineRule="exact"/>
        <w:rPr>
          <w:sz w:val="20"/>
          <w:szCs w:val="20"/>
          <w:color w:val="auto"/>
        </w:rPr>
      </w:pPr>
    </w:p>
    <w:p>
      <w:pPr>
        <w:ind w:right="960"/>
        <w:spacing w:after="0" w:line="287" w:lineRule="auto"/>
        <w:rPr>
          <w:sz w:val="20"/>
          <w:szCs w:val="20"/>
          <w:color w:val="auto"/>
        </w:rPr>
      </w:pPr>
      <w:r>
        <w:rPr>
          <w:rFonts w:ascii="Arial" w:cs="Arial" w:eastAsia="Arial" w:hAnsi="Arial"/>
          <w:sz w:val="19"/>
          <w:szCs w:val="19"/>
          <w:i w:val="1"/>
          <w:iCs w:val="1"/>
          <w:color w:val="221F1F"/>
        </w:rPr>
        <w:t>Please note</w:t>
      </w:r>
      <w:r>
        <w:rPr>
          <w:rFonts w:ascii="Arial" w:cs="Arial" w:eastAsia="Arial" w:hAnsi="Arial"/>
          <w:sz w:val="19"/>
          <w:szCs w:val="19"/>
          <w:color w:val="221F1F"/>
        </w:rPr>
        <w:t>: As set forth in Sections 3.4 and 3.5 of the Settlement Agreement, even if a client does not opt</w:t>
      </w:r>
      <w:r>
        <w:rPr>
          <w:rFonts w:ascii="Arial" w:cs="Arial" w:eastAsia="Arial" w:hAnsi="Arial"/>
          <w:sz w:val="19"/>
          <w:szCs w:val="19"/>
          <w:i w:val="1"/>
          <w:iCs w:val="1"/>
          <w:color w:val="221F1F"/>
        </w:rPr>
        <w:t xml:space="preserve"> </w:t>
      </w:r>
      <w:r>
        <w:rPr>
          <w:rFonts w:ascii="Arial" w:cs="Arial" w:eastAsia="Arial" w:hAnsi="Arial"/>
          <w:sz w:val="19"/>
          <w:szCs w:val="19"/>
          <w:color w:val="221F1F"/>
        </w:rPr>
        <w:t>into the settlement, becomes unreachable during the administration process, or has a claim that is determined by the Claims Administrator to be invalid, frivolous, or otherwise not compensable, counsel agrees to complete and submit a Claimant Fact Sheet and, if applicable, a Mental Health Addendum, for that client.</w:t>
      </w:r>
    </w:p>
    <w:p>
      <w:pPr>
        <w:spacing w:after="0" w:line="170" w:lineRule="exact"/>
        <w:rPr>
          <w:sz w:val="20"/>
          <w:szCs w:val="20"/>
          <w:color w:val="auto"/>
        </w:rPr>
      </w:pPr>
    </w:p>
    <w:p>
      <w:pPr>
        <w:ind w:right="960"/>
        <w:spacing w:after="0"/>
        <w:rPr>
          <w:sz w:val="20"/>
          <w:szCs w:val="20"/>
          <w:color w:val="auto"/>
        </w:rPr>
      </w:pPr>
      <w:r>
        <w:rPr>
          <w:rFonts w:ascii="Arial" w:cs="Arial" w:eastAsia="Arial" w:hAnsi="Arial"/>
          <w:sz w:val="22"/>
          <w:szCs w:val="22"/>
          <w:color w:val="221F1F"/>
        </w:rPr>
        <w:t>For completion of the Claimant Information section below, Plaintiffs’ Counsel may submit this form with Claimant information for more than one Claimant by attaching an Excel spreadsheet with the columns for all information requested by the section.</w:t>
      </w:r>
    </w:p>
    <w:p>
      <w:pPr>
        <w:sectPr>
          <w:pgSz w:w="11900" w:h="16838" w:orient="portrait"/>
          <w:cols w:equalWidth="0" w:num="1">
            <w:col w:w="10380"/>
          </w:cols>
          <w:pgMar w:left="1080" w:top="787"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026150" cy="6231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026150" cy="6231890"/>
                    </a:xfrm>
                    <a:prstGeom prst="rect">
                      <a:avLst/>
                    </a:prstGeom>
                    <a:noFill/>
                  </pic:spPr>
                </pic:pic>
              </a:graphicData>
            </a:graphic>
          </wp:anchor>
        </w:drawing>
      </w:r>
    </w:p>
    <w:p>
      <w:pPr>
        <w:spacing w:after="0" w:line="300"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221F1F"/>
        </w:rPr>
        <w:t>Declaration of Counsel</w:t>
      </w:r>
    </w:p>
    <w:p>
      <w:pPr>
        <w:spacing w:after="0" w:line="307"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22"/>
          <w:szCs w:val="22"/>
          <w:b w:val="1"/>
          <w:bCs w:val="1"/>
          <w:color w:val="221F1F"/>
        </w:rPr>
        <w:t>I,</w:t>
      </w:r>
      <w:r>
        <w:rPr>
          <w:sz w:val="20"/>
          <w:szCs w:val="20"/>
          <w:color w:val="auto"/>
        </w:rPr>
        <w:tab/>
      </w:r>
      <w:r>
        <w:rPr>
          <w:rFonts w:ascii="Arial" w:cs="Arial" w:eastAsia="Arial" w:hAnsi="Arial"/>
          <w:sz w:val="19"/>
          <w:szCs w:val="19"/>
          <w:b w:val="1"/>
          <w:bCs w:val="1"/>
          <w:color w:val="221F1F"/>
        </w:rPr>
        <w:t>, hereby certify as follows: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221F1F"/>
        </w:rPr>
        <w:t>I am an attorney in good standing who is admitted to practice law in the State of</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221F1F"/>
        </w:rPr>
        <w:t>.</w:t>
      </w:r>
    </w:p>
    <w:p>
      <w:pPr>
        <w:spacing w:after="0" w:line="206" w:lineRule="exact"/>
        <w:rPr>
          <w:sz w:val="20"/>
          <w:szCs w:val="20"/>
          <w:color w:val="auto"/>
        </w:rPr>
      </w:pPr>
    </w:p>
    <w:p>
      <w:pPr>
        <w:jc w:val="both"/>
        <w:ind w:left="300" w:right="1280"/>
        <w:spacing w:after="0" w:line="245" w:lineRule="auto"/>
        <w:rPr>
          <w:sz w:val="20"/>
          <w:szCs w:val="20"/>
          <w:color w:val="auto"/>
        </w:rPr>
      </w:pPr>
      <w:r>
        <w:rPr>
          <w:rFonts w:ascii="Arial" w:cs="Arial" w:eastAsia="Arial" w:hAnsi="Arial"/>
          <w:sz w:val="19"/>
          <w:szCs w:val="19"/>
          <w:b w:val="1"/>
          <w:bCs w:val="1"/>
          <w:color w:val="221F1F"/>
        </w:rPr>
        <w:t>I represent the Claimant identified below (“my Client”) in connection with my Client’s Claims. I have personally reviewed and am fully familiar with my Client’s settlement offer amount, the allocation matrix used by the Claims Administrator to determine each Claimant’s settlement offer amount in the Settlement Program, the Settlement Agreement, Opt In Form, and Release, and I believe that the Settlement Program presents a fair, just, and efficient method for resolving my Client’s Claims. I provided the Opt In Form and Release to my Client, along with the aggregate settlement disclosure documents, and have been available to discuss with my Client their terms and conditions to enable my Client to make an informed decision about whether to accept his/her settlement offer and Opt In to the Settlement Program.</w:t>
      </w:r>
    </w:p>
    <w:p>
      <w:pPr>
        <w:spacing w:after="0" w:line="72"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221F1F"/>
        </w:rPr>
        <w:t>CLAIMANT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Borders>
              <w:top w:val="single" w:sz="8" w:color="221F1F"/>
            </w:tcBorders>
          </w:tcPr>
          <w:p>
            <w:pPr>
              <w:spacing w:after="0"/>
              <w:rPr>
                <w:sz w:val="13"/>
                <w:szCs w:val="13"/>
                <w:color w:val="auto"/>
              </w:rPr>
            </w:pPr>
          </w:p>
        </w:tc>
        <w:tc>
          <w:tcPr>
            <w:tcW w:w="2440" w:type="dxa"/>
            <w:vAlign w:val="bottom"/>
            <w:tcBorders>
              <w:top w:val="single" w:sz="8" w:color="221F1F"/>
              <w:right w:val="single" w:sz="8" w:color="221F1F"/>
            </w:tcBorders>
            <w:gridSpan w:val="2"/>
            <w:vMerge w:val="restart"/>
          </w:tcPr>
          <w:p>
            <w:pPr>
              <w:ind w:left="80"/>
              <w:spacing w:after="0"/>
              <w:rPr>
                <w:sz w:val="20"/>
                <w:szCs w:val="20"/>
                <w:color w:val="auto"/>
              </w:rPr>
            </w:pPr>
            <w:r>
              <w:rPr>
                <w:rFonts w:ascii="Arial" w:cs="Arial" w:eastAsia="Arial" w:hAnsi="Arial"/>
                <w:sz w:val="20"/>
                <w:szCs w:val="20"/>
                <w:b w:val="1"/>
                <w:bCs w:val="1"/>
                <w:color w:val="221F1F"/>
              </w:rPr>
              <w:t>Claimant Name</w:t>
            </w:r>
          </w:p>
        </w:tc>
        <w:tc>
          <w:tcPr>
            <w:tcW w:w="80" w:type="dxa"/>
            <w:vAlign w:val="bottom"/>
            <w:tcBorders>
              <w:top w:val="single" w:sz="8" w:color="221F1F"/>
            </w:tcBorders>
          </w:tcPr>
          <w:p>
            <w:pPr>
              <w:spacing w:after="0"/>
              <w:rPr>
                <w:sz w:val="13"/>
                <w:szCs w:val="13"/>
                <w:color w:val="auto"/>
              </w:rPr>
            </w:pPr>
          </w:p>
        </w:tc>
        <w:tc>
          <w:tcPr>
            <w:tcW w:w="400" w:type="dxa"/>
            <w:vAlign w:val="bottom"/>
            <w:tcBorders>
              <w:top w:val="single" w:sz="8" w:color="221F1F"/>
            </w:tcBorders>
            <w:gridSpan w:val="2"/>
          </w:tcPr>
          <w:p>
            <w:pPr>
              <w:ind w:left="40"/>
              <w:spacing w:after="0"/>
              <w:rPr>
                <w:sz w:val="20"/>
                <w:szCs w:val="20"/>
                <w:color w:val="auto"/>
              </w:rPr>
            </w:pPr>
            <w:r>
              <w:rPr>
                <w:rFonts w:ascii="Arial" w:cs="Arial" w:eastAsia="Arial" w:hAnsi="Arial"/>
                <w:sz w:val="13"/>
                <w:szCs w:val="13"/>
                <w:color w:val="221F1F"/>
              </w:rPr>
              <w:t>Last</w:t>
            </w:r>
          </w:p>
        </w:tc>
        <w:tc>
          <w:tcPr>
            <w:tcW w:w="120" w:type="dxa"/>
            <w:vAlign w:val="bottom"/>
            <w:tcBorders>
              <w:top w:val="single" w:sz="8" w:color="221F1F"/>
            </w:tcBorders>
          </w:tcPr>
          <w:p>
            <w:pPr>
              <w:spacing w:after="0"/>
              <w:rPr>
                <w:sz w:val="13"/>
                <w:szCs w:val="13"/>
                <w:color w:val="auto"/>
              </w:rPr>
            </w:pPr>
          </w:p>
        </w:tc>
        <w:tc>
          <w:tcPr>
            <w:tcW w:w="200" w:type="dxa"/>
            <w:vAlign w:val="bottom"/>
            <w:tcBorders>
              <w:top w:val="single" w:sz="8" w:color="221F1F"/>
            </w:tcBorders>
          </w:tcPr>
          <w:p>
            <w:pPr>
              <w:spacing w:after="0"/>
              <w:rPr>
                <w:sz w:val="13"/>
                <w:szCs w:val="13"/>
                <w:color w:val="auto"/>
              </w:rPr>
            </w:pPr>
          </w:p>
        </w:tc>
        <w:tc>
          <w:tcPr>
            <w:tcW w:w="60" w:type="dxa"/>
            <w:vAlign w:val="bottom"/>
            <w:tcBorders>
              <w:top w:val="single" w:sz="8" w:color="221F1F"/>
            </w:tcBorders>
          </w:tcPr>
          <w:p>
            <w:pPr>
              <w:spacing w:after="0"/>
              <w:rPr>
                <w:sz w:val="13"/>
                <w:szCs w:val="13"/>
                <w:color w:val="auto"/>
              </w:rPr>
            </w:pPr>
          </w:p>
        </w:tc>
        <w:tc>
          <w:tcPr>
            <w:tcW w:w="200" w:type="dxa"/>
            <w:vAlign w:val="bottom"/>
            <w:tcBorders>
              <w:top w:val="single" w:sz="8" w:color="221F1F"/>
            </w:tcBorders>
          </w:tcPr>
          <w:p>
            <w:pPr>
              <w:spacing w:after="0"/>
              <w:rPr>
                <w:sz w:val="13"/>
                <w:szCs w:val="13"/>
                <w:color w:val="auto"/>
              </w:rPr>
            </w:pPr>
          </w:p>
        </w:tc>
        <w:tc>
          <w:tcPr>
            <w:tcW w:w="60" w:type="dxa"/>
            <w:vAlign w:val="bottom"/>
            <w:tcBorders>
              <w:top w:val="single" w:sz="8" w:color="221F1F"/>
            </w:tcBorders>
          </w:tcPr>
          <w:p>
            <w:pPr>
              <w:spacing w:after="0"/>
              <w:rPr>
                <w:sz w:val="13"/>
                <w:szCs w:val="13"/>
                <w:color w:val="auto"/>
              </w:rPr>
            </w:pPr>
          </w:p>
        </w:tc>
        <w:tc>
          <w:tcPr>
            <w:tcW w:w="200" w:type="dxa"/>
            <w:vAlign w:val="bottom"/>
            <w:tcBorders>
              <w:top w:val="single" w:sz="8" w:color="221F1F"/>
            </w:tcBorders>
          </w:tcPr>
          <w:p>
            <w:pPr>
              <w:spacing w:after="0"/>
              <w:rPr>
                <w:sz w:val="13"/>
                <w:szCs w:val="13"/>
                <w:color w:val="auto"/>
              </w:rPr>
            </w:pPr>
          </w:p>
        </w:tc>
        <w:tc>
          <w:tcPr>
            <w:tcW w:w="840" w:type="dxa"/>
            <w:vAlign w:val="bottom"/>
            <w:tcBorders>
              <w:top w:val="single" w:sz="8" w:color="221F1F"/>
            </w:tcBorders>
          </w:tcPr>
          <w:p>
            <w:pPr>
              <w:spacing w:after="0"/>
              <w:rPr>
                <w:sz w:val="13"/>
                <w:szCs w:val="13"/>
                <w:color w:val="auto"/>
              </w:rPr>
            </w:pPr>
          </w:p>
        </w:tc>
        <w:tc>
          <w:tcPr>
            <w:tcW w:w="320" w:type="dxa"/>
            <w:vAlign w:val="bottom"/>
            <w:tcBorders>
              <w:top w:val="single" w:sz="8" w:color="221F1F"/>
            </w:tcBorders>
          </w:tcPr>
          <w:p>
            <w:pPr>
              <w:spacing w:after="0"/>
              <w:rPr>
                <w:sz w:val="13"/>
                <w:szCs w:val="13"/>
                <w:color w:val="auto"/>
              </w:rPr>
            </w:pPr>
          </w:p>
        </w:tc>
        <w:tc>
          <w:tcPr>
            <w:tcW w:w="560" w:type="dxa"/>
            <w:vAlign w:val="bottom"/>
            <w:tcBorders>
              <w:top w:val="single" w:sz="8" w:color="221F1F"/>
            </w:tcBorders>
          </w:tcPr>
          <w:p>
            <w:pPr>
              <w:spacing w:after="0"/>
              <w:rPr>
                <w:sz w:val="13"/>
                <w:szCs w:val="13"/>
                <w:color w:val="auto"/>
              </w:rPr>
            </w:pPr>
          </w:p>
        </w:tc>
        <w:tc>
          <w:tcPr>
            <w:tcW w:w="120" w:type="dxa"/>
            <w:vAlign w:val="bottom"/>
            <w:tcBorders>
              <w:top w:val="single" w:sz="8" w:color="221F1F"/>
            </w:tcBorders>
          </w:tcPr>
          <w:p>
            <w:pPr>
              <w:spacing w:after="0"/>
              <w:rPr>
                <w:sz w:val="13"/>
                <w:szCs w:val="13"/>
                <w:color w:val="auto"/>
              </w:rPr>
            </w:pPr>
          </w:p>
        </w:tc>
        <w:tc>
          <w:tcPr>
            <w:tcW w:w="240" w:type="dxa"/>
            <w:vAlign w:val="bottom"/>
            <w:tcBorders>
              <w:top w:val="single" w:sz="8" w:color="221F1F"/>
            </w:tcBorders>
          </w:tcPr>
          <w:p>
            <w:pPr>
              <w:spacing w:after="0"/>
              <w:rPr>
                <w:sz w:val="13"/>
                <w:szCs w:val="13"/>
                <w:color w:val="auto"/>
              </w:rPr>
            </w:pPr>
          </w:p>
        </w:tc>
        <w:tc>
          <w:tcPr>
            <w:tcW w:w="140" w:type="dxa"/>
            <w:vAlign w:val="bottom"/>
            <w:tcBorders>
              <w:top w:val="single" w:sz="8" w:color="221F1F"/>
              <w:right w:val="single" w:sz="8" w:color="221F1F"/>
            </w:tcBorders>
          </w:tcPr>
          <w:p>
            <w:pPr>
              <w:spacing w:after="0"/>
              <w:rPr>
                <w:sz w:val="13"/>
                <w:szCs w:val="13"/>
                <w:color w:val="auto"/>
              </w:rPr>
            </w:pPr>
          </w:p>
        </w:tc>
        <w:tc>
          <w:tcPr>
            <w:tcW w:w="420" w:type="dxa"/>
            <w:vAlign w:val="bottom"/>
            <w:tcBorders>
              <w:top w:val="single" w:sz="8" w:color="221F1F"/>
            </w:tcBorders>
            <w:gridSpan w:val="2"/>
          </w:tcPr>
          <w:p>
            <w:pPr>
              <w:ind w:left="160"/>
              <w:spacing w:after="0"/>
              <w:rPr>
                <w:sz w:val="20"/>
                <w:szCs w:val="20"/>
                <w:color w:val="auto"/>
              </w:rPr>
            </w:pPr>
            <w:r>
              <w:rPr>
                <w:rFonts w:ascii="Arial" w:cs="Arial" w:eastAsia="Arial" w:hAnsi="Arial"/>
                <w:sz w:val="13"/>
                <w:szCs w:val="13"/>
                <w:color w:val="221F1F"/>
                <w:w w:val="94"/>
              </w:rPr>
              <w:t>First</w:t>
            </w:r>
          </w:p>
        </w:tc>
        <w:tc>
          <w:tcPr>
            <w:tcW w:w="120" w:type="dxa"/>
            <w:vAlign w:val="bottom"/>
            <w:tcBorders>
              <w:top w:val="single" w:sz="8" w:color="221F1F"/>
            </w:tcBorders>
          </w:tcPr>
          <w:p>
            <w:pPr>
              <w:spacing w:after="0"/>
              <w:rPr>
                <w:sz w:val="13"/>
                <w:szCs w:val="13"/>
                <w:color w:val="auto"/>
              </w:rPr>
            </w:pPr>
          </w:p>
        </w:tc>
        <w:tc>
          <w:tcPr>
            <w:tcW w:w="540" w:type="dxa"/>
            <w:vAlign w:val="bottom"/>
            <w:tcBorders>
              <w:top w:val="single" w:sz="8" w:color="221F1F"/>
            </w:tcBorders>
          </w:tcPr>
          <w:p>
            <w:pPr>
              <w:spacing w:after="0"/>
              <w:rPr>
                <w:sz w:val="13"/>
                <w:szCs w:val="13"/>
                <w:color w:val="auto"/>
              </w:rPr>
            </w:pPr>
          </w:p>
        </w:tc>
        <w:tc>
          <w:tcPr>
            <w:tcW w:w="240" w:type="dxa"/>
            <w:vAlign w:val="bottom"/>
            <w:tcBorders>
              <w:top w:val="single" w:sz="8" w:color="221F1F"/>
            </w:tcBorders>
          </w:tcPr>
          <w:p>
            <w:pPr>
              <w:spacing w:after="0"/>
              <w:rPr>
                <w:sz w:val="13"/>
                <w:szCs w:val="13"/>
                <w:color w:val="auto"/>
              </w:rPr>
            </w:pPr>
          </w:p>
        </w:tc>
        <w:tc>
          <w:tcPr>
            <w:tcW w:w="320" w:type="dxa"/>
            <w:vAlign w:val="bottom"/>
            <w:tcBorders>
              <w:top w:val="single" w:sz="8" w:color="221F1F"/>
            </w:tcBorders>
          </w:tcPr>
          <w:p>
            <w:pPr>
              <w:spacing w:after="0"/>
              <w:rPr>
                <w:sz w:val="13"/>
                <w:szCs w:val="13"/>
                <w:color w:val="auto"/>
              </w:rPr>
            </w:pPr>
          </w:p>
        </w:tc>
        <w:tc>
          <w:tcPr>
            <w:tcW w:w="60" w:type="dxa"/>
            <w:vAlign w:val="bottom"/>
            <w:tcBorders>
              <w:top w:val="single" w:sz="8" w:color="221F1F"/>
            </w:tcBorders>
          </w:tcPr>
          <w:p>
            <w:pPr>
              <w:spacing w:after="0"/>
              <w:rPr>
                <w:sz w:val="13"/>
                <w:szCs w:val="13"/>
                <w:color w:val="auto"/>
              </w:rPr>
            </w:pPr>
          </w:p>
        </w:tc>
        <w:tc>
          <w:tcPr>
            <w:tcW w:w="100" w:type="dxa"/>
            <w:vAlign w:val="bottom"/>
            <w:tcBorders>
              <w:top w:val="single" w:sz="8" w:color="221F1F"/>
            </w:tcBorders>
          </w:tcPr>
          <w:p>
            <w:pPr>
              <w:spacing w:after="0"/>
              <w:rPr>
                <w:sz w:val="13"/>
                <w:szCs w:val="13"/>
                <w:color w:val="auto"/>
              </w:rPr>
            </w:pPr>
          </w:p>
        </w:tc>
        <w:tc>
          <w:tcPr>
            <w:tcW w:w="80" w:type="dxa"/>
            <w:vAlign w:val="bottom"/>
            <w:tcBorders>
              <w:top w:val="single" w:sz="8" w:color="221F1F"/>
            </w:tcBorders>
          </w:tcPr>
          <w:p>
            <w:pPr>
              <w:spacing w:after="0"/>
              <w:rPr>
                <w:sz w:val="13"/>
                <w:szCs w:val="13"/>
                <w:color w:val="auto"/>
              </w:rPr>
            </w:pPr>
          </w:p>
        </w:tc>
        <w:tc>
          <w:tcPr>
            <w:tcW w:w="200" w:type="dxa"/>
            <w:vAlign w:val="bottom"/>
            <w:tcBorders>
              <w:top w:val="single" w:sz="8" w:color="221F1F"/>
            </w:tcBorders>
          </w:tcPr>
          <w:p>
            <w:pPr>
              <w:spacing w:after="0"/>
              <w:rPr>
                <w:sz w:val="13"/>
                <w:szCs w:val="13"/>
                <w:color w:val="auto"/>
              </w:rPr>
            </w:pPr>
          </w:p>
        </w:tc>
        <w:tc>
          <w:tcPr>
            <w:tcW w:w="360" w:type="dxa"/>
            <w:vAlign w:val="bottom"/>
            <w:tcBorders>
              <w:top w:val="single" w:sz="8" w:color="221F1F"/>
              <w:right w:val="single" w:sz="8" w:color="221F1F"/>
            </w:tcBorders>
          </w:tcPr>
          <w:p>
            <w:pPr>
              <w:spacing w:after="0"/>
              <w:rPr>
                <w:sz w:val="13"/>
                <w:szCs w:val="13"/>
                <w:color w:val="auto"/>
              </w:rPr>
            </w:pPr>
          </w:p>
        </w:tc>
        <w:tc>
          <w:tcPr>
            <w:tcW w:w="1040" w:type="dxa"/>
            <w:vAlign w:val="bottom"/>
            <w:tcBorders>
              <w:top w:val="single" w:sz="8" w:color="221F1F"/>
            </w:tcBorders>
          </w:tcPr>
          <w:p>
            <w:pPr>
              <w:ind w:left="140"/>
              <w:spacing w:after="0"/>
              <w:rPr>
                <w:sz w:val="20"/>
                <w:szCs w:val="20"/>
                <w:color w:val="auto"/>
              </w:rPr>
            </w:pPr>
            <w:r>
              <w:rPr>
                <w:rFonts w:ascii="Arial" w:cs="Arial" w:eastAsia="Arial" w:hAnsi="Arial"/>
                <w:sz w:val="13"/>
                <w:szCs w:val="13"/>
                <w:color w:val="221F1F"/>
              </w:rPr>
              <w:t>Middle</w:t>
            </w:r>
          </w:p>
        </w:tc>
        <w:tc>
          <w:tcPr>
            <w:tcW w:w="20" w:type="dxa"/>
            <w:vAlign w:val="bottom"/>
            <w:tcBorders>
              <w:top w:val="single" w:sz="8" w:color="221F1F"/>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21F1F"/>
            </w:tcBorders>
          </w:tcPr>
          <w:p>
            <w:pPr>
              <w:spacing w:after="0"/>
              <w:rPr>
                <w:sz w:val="8"/>
                <w:szCs w:val="8"/>
                <w:color w:val="auto"/>
              </w:rPr>
            </w:pPr>
          </w:p>
        </w:tc>
        <w:tc>
          <w:tcPr>
            <w:tcW w:w="2440" w:type="dxa"/>
            <w:vAlign w:val="bottom"/>
            <w:tcBorders>
              <w:bottom w:val="single" w:sz="8" w:color="221F1F"/>
              <w:right w:val="single" w:sz="8" w:color="221F1F"/>
            </w:tcBorders>
            <w:gridSpan w:val="2"/>
            <w:vMerge w:val="continue"/>
          </w:tcPr>
          <w:p>
            <w:pPr>
              <w:spacing w:after="0"/>
              <w:rPr>
                <w:sz w:val="8"/>
                <w:szCs w:val="8"/>
                <w:color w:val="auto"/>
              </w:rPr>
            </w:pPr>
          </w:p>
        </w:tc>
        <w:tc>
          <w:tcPr>
            <w:tcW w:w="80" w:type="dxa"/>
            <w:vAlign w:val="bottom"/>
            <w:tcBorders>
              <w:bottom w:val="single" w:sz="8" w:color="221F1F"/>
            </w:tcBorders>
          </w:tcPr>
          <w:p>
            <w:pPr>
              <w:spacing w:after="0"/>
              <w:rPr>
                <w:sz w:val="8"/>
                <w:szCs w:val="8"/>
                <w:color w:val="auto"/>
              </w:rPr>
            </w:pPr>
          </w:p>
        </w:tc>
        <w:tc>
          <w:tcPr>
            <w:tcW w:w="140" w:type="dxa"/>
            <w:vAlign w:val="bottom"/>
            <w:tcBorders>
              <w:bottom w:val="single" w:sz="8" w:color="221F1F"/>
            </w:tcBorders>
          </w:tcPr>
          <w:p>
            <w:pPr>
              <w:spacing w:after="0"/>
              <w:rPr>
                <w:sz w:val="8"/>
                <w:szCs w:val="8"/>
                <w:color w:val="auto"/>
              </w:rPr>
            </w:pPr>
          </w:p>
        </w:tc>
        <w:tc>
          <w:tcPr>
            <w:tcW w:w="260" w:type="dxa"/>
            <w:vAlign w:val="bottom"/>
            <w:tcBorders>
              <w:bottom w:val="single" w:sz="8" w:color="221F1F"/>
            </w:tcBorders>
          </w:tcPr>
          <w:p>
            <w:pPr>
              <w:spacing w:after="0"/>
              <w:rPr>
                <w:sz w:val="8"/>
                <w:szCs w:val="8"/>
                <w:color w:val="auto"/>
              </w:rPr>
            </w:pPr>
          </w:p>
        </w:tc>
        <w:tc>
          <w:tcPr>
            <w:tcW w:w="120" w:type="dxa"/>
            <w:vAlign w:val="bottom"/>
            <w:tcBorders>
              <w:bottom w:val="single" w:sz="8" w:color="221F1F"/>
            </w:tcBorders>
          </w:tcPr>
          <w:p>
            <w:pPr>
              <w:spacing w:after="0"/>
              <w:rPr>
                <w:sz w:val="8"/>
                <w:szCs w:val="8"/>
                <w:color w:val="auto"/>
              </w:rPr>
            </w:pPr>
          </w:p>
        </w:tc>
        <w:tc>
          <w:tcPr>
            <w:tcW w:w="200" w:type="dxa"/>
            <w:vAlign w:val="bottom"/>
            <w:tcBorders>
              <w:bottom w:val="single" w:sz="8" w:color="221F1F"/>
            </w:tcBorders>
          </w:tcPr>
          <w:p>
            <w:pPr>
              <w:spacing w:after="0"/>
              <w:rPr>
                <w:sz w:val="8"/>
                <w:szCs w:val="8"/>
                <w:color w:val="auto"/>
              </w:rPr>
            </w:pPr>
          </w:p>
        </w:tc>
        <w:tc>
          <w:tcPr>
            <w:tcW w:w="60" w:type="dxa"/>
            <w:vAlign w:val="bottom"/>
            <w:tcBorders>
              <w:bottom w:val="single" w:sz="8" w:color="221F1F"/>
            </w:tcBorders>
          </w:tcPr>
          <w:p>
            <w:pPr>
              <w:spacing w:after="0"/>
              <w:rPr>
                <w:sz w:val="8"/>
                <w:szCs w:val="8"/>
                <w:color w:val="auto"/>
              </w:rPr>
            </w:pPr>
          </w:p>
        </w:tc>
        <w:tc>
          <w:tcPr>
            <w:tcW w:w="200" w:type="dxa"/>
            <w:vAlign w:val="bottom"/>
            <w:tcBorders>
              <w:bottom w:val="single" w:sz="8" w:color="221F1F"/>
            </w:tcBorders>
          </w:tcPr>
          <w:p>
            <w:pPr>
              <w:spacing w:after="0"/>
              <w:rPr>
                <w:sz w:val="8"/>
                <w:szCs w:val="8"/>
                <w:color w:val="auto"/>
              </w:rPr>
            </w:pPr>
          </w:p>
        </w:tc>
        <w:tc>
          <w:tcPr>
            <w:tcW w:w="60" w:type="dxa"/>
            <w:vAlign w:val="bottom"/>
            <w:tcBorders>
              <w:bottom w:val="single" w:sz="8" w:color="221F1F"/>
            </w:tcBorders>
          </w:tcPr>
          <w:p>
            <w:pPr>
              <w:spacing w:after="0"/>
              <w:rPr>
                <w:sz w:val="8"/>
                <w:szCs w:val="8"/>
                <w:color w:val="auto"/>
              </w:rPr>
            </w:pPr>
          </w:p>
        </w:tc>
        <w:tc>
          <w:tcPr>
            <w:tcW w:w="200" w:type="dxa"/>
            <w:vAlign w:val="bottom"/>
            <w:tcBorders>
              <w:bottom w:val="single" w:sz="8" w:color="221F1F"/>
            </w:tcBorders>
          </w:tcPr>
          <w:p>
            <w:pPr>
              <w:spacing w:after="0"/>
              <w:rPr>
                <w:sz w:val="8"/>
                <w:szCs w:val="8"/>
                <w:color w:val="auto"/>
              </w:rPr>
            </w:pPr>
          </w:p>
        </w:tc>
        <w:tc>
          <w:tcPr>
            <w:tcW w:w="840" w:type="dxa"/>
            <w:vAlign w:val="bottom"/>
            <w:tcBorders>
              <w:bottom w:val="single" w:sz="8" w:color="221F1F"/>
            </w:tcBorders>
          </w:tcPr>
          <w:p>
            <w:pPr>
              <w:spacing w:after="0"/>
              <w:rPr>
                <w:sz w:val="8"/>
                <w:szCs w:val="8"/>
                <w:color w:val="auto"/>
              </w:rPr>
            </w:pPr>
          </w:p>
        </w:tc>
        <w:tc>
          <w:tcPr>
            <w:tcW w:w="320" w:type="dxa"/>
            <w:vAlign w:val="bottom"/>
            <w:tcBorders>
              <w:bottom w:val="single" w:sz="8" w:color="221F1F"/>
            </w:tcBorders>
          </w:tcPr>
          <w:p>
            <w:pPr>
              <w:spacing w:after="0"/>
              <w:rPr>
                <w:sz w:val="8"/>
                <w:szCs w:val="8"/>
                <w:color w:val="auto"/>
              </w:rPr>
            </w:pPr>
          </w:p>
        </w:tc>
        <w:tc>
          <w:tcPr>
            <w:tcW w:w="560" w:type="dxa"/>
            <w:vAlign w:val="bottom"/>
            <w:tcBorders>
              <w:bottom w:val="single" w:sz="8" w:color="221F1F"/>
            </w:tcBorders>
          </w:tcPr>
          <w:p>
            <w:pPr>
              <w:spacing w:after="0"/>
              <w:rPr>
                <w:sz w:val="8"/>
                <w:szCs w:val="8"/>
                <w:color w:val="auto"/>
              </w:rPr>
            </w:pPr>
          </w:p>
        </w:tc>
        <w:tc>
          <w:tcPr>
            <w:tcW w:w="120" w:type="dxa"/>
            <w:vAlign w:val="bottom"/>
            <w:tcBorders>
              <w:bottom w:val="single" w:sz="8" w:color="221F1F"/>
            </w:tcBorders>
          </w:tcPr>
          <w:p>
            <w:pPr>
              <w:spacing w:after="0"/>
              <w:rPr>
                <w:sz w:val="8"/>
                <w:szCs w:val="8"/>
                <w:color w:val="auto"/>
              </w:rPr>
            </w:pPr>
          </w:p>
        </w:tc>
        <w:tc>
          <w:tcPr>
            <w:tcW w:w="240" w:type="dxa"/>
            <w:vAlign w:val="bottom"/>
            <w:tcBorders>
              <w:bottom w:val="single" w:sz="8" w:color="221F1F"/>
            </w:tcBorders>
          </w:tcPr>
          <w:p>
            <w:pPr>
              <w:spacing w:after="0"/>
              <w:rPr>
                <w:sz w:val="8"/>
                <w:szCs w:val="8"/>
                <w:color w:val="auto"/>
              </w:rPr>
            </w:pPr>
          </w:p>
        </w:tc>
        <w:tc>
          <w:tcPr>
            <w:tcW w:w="140" w:type="dxa"/>
            <w:vAlign w:val="bottom"/>
            <w:tcBorders>
              <w:bottom w:val="single" w:sz="8" w:color="221F1F"/>
              <w:right w:val="single" w:sz="8" w:color="221F1F"/>
            </w:tcBorders>
          </w:tcPr>
          <w:p>
            <w:pPr>
              <w:spacing w:after="0"/>
              <w:rPr>
                <w:sz w:val="8"/>
                <w:szCs w:val="8"/>
                <w:color w:val="auto"/>
              </w:rPr>
            </w:pPr>
          </w:p>
        </w:tc>
        <w:tc>
          <w:tcPr>
            <w:tcW w:w="320" w:type="dxa"/>
            <w:vAlign w:val="bottom"/>
            <w:tcBorders>
              <w:bottom w:val="single" w:sz="8" w:color="221F1F"/>
            </w:tcBorders>
          </w:tcPr>
          <w:p>
            <w:pPr>
              <w:spacing w:after="0"/>
              <w:rPr>
                <w:sz w:val="8"/>
                <w:szCs w:val="8"/>
                <w:color w:val="auto"/>
              </w:rPr>
            </w:pPr>
          </w:p>
        </w:tc>
        <w:tc>
          <w:tcPr>
            <w:tcW w:w="100" w:type="dxa"/>
            <w:vAlign w:val="bottom"/>
            <w:tcBorders>
              <w:bottom w:val="single" w:sz="8" w:color="221F1F"/>
            </w:tcBorders>
          </w:tcPr>
          <w:p>
            <w:pPr>
              <w:spacing w:after="0"/>
              <w:rPr>
                <w:sz w:val="8"/>
                <w:szCs w:val="8"/>
                <w:color w:val="auto"/>
              </w:rPr>
            </w:pPr>
          </w:p>
        </w:tc>
        <w:tc>
          <w:tcPr>
            <w:tcW w:w="120" w:type="dxa"/>
            <w:vAlign w:val="bottom"/>
            <w:tcBorders>
              <w:bottom w:val="single" w:sz="8" w:color="221F1F"/>
            </w:tcBorders>
          </w:tcPr>
          <w:p>
            <w:pPr>
              <w:spacing w:after="0"/>
              <w:rPr>
                <w:sz w:val="8"/>
                <w:szCs w:val="8"/>
                <w:color w:val="auto"/>
              </w:rPr>
            </w:pPr>
          </w:p>
        </w:tc>
        <w:tc>
          <w:tcPr>
            <w:tcW w:w="540" w:type="dxa"/>
            <w:vAlign w:val="bottom"/>
            <w:tcBorders>
              <w:bottom w:val="single" w:sz="8" w:color="221F1F"/>
            </w:tcBorders>
          </w:tcPr>
          <w:p>
            <w:pPr>
              <w:spacing w:after="0"/>
              <w:rPr>
                <w:sz w:val="8"/>
                <w:szCs w:val="8"/>
                <w:color w:val="auto"/>
              </w:rPr>
            </w:pPr>
          </w:p>
        </w:tc>
        <w:tc>
          <w:tcPr>
            <w:tcW w:w="240" w:type="dxa"/>
            <w:vAlign w:val="bottom"/>
            <w:tcBorders>
              <w:bottom w:val="single" w:sz="8" w:color="221F1F"/>
            </w:tcBorders>
          </w:tcPr>
          <w:p>
            <w:pPr>
              <w:spacing w:after="0"/>
              <w:rPr>
                <w:sz w:val="8"/>
                <w:szCs w:val="8"/>
                <w:color w:val="auto"/>
              </w:rPr>
            </w:pPr>
          </w:p>
        </w:tc>
        <w:tc>
          <w:tcPr>
            <w:tcW w:w="320" w:type="dxa"/>
            <w:vAlign w:val="bottom"/>
            <w:tcBorders>
              <w:bottom w:val="single" w:sz="8" w:color="221F1F"/>
            </w:tcBorders>
          </w:tcPr>
          <w:p>
            <w:pPr>
              <w:spacing w:after="0"/>
              <w:rPr>
                <w:sz w:val="8"/>
                <w:szCs w:val="8"/>
                <w:color w:val="auto"/>
              </w:rPr>
            </w:pPr>
          </w:p>
        </w:tc>
        <w:tc>
          <w:tcPr>
            <w:tcW w:w="60" w:type="dxa"/>
            <w:vAlign w:val="bottom"/>
            <w:tcBorders>
              <w:bottom w:val="single" w:sz="8" w:color="221F1F"/>
            </w:tcBorders>
          </w:tcPr>
          <w:p>
            <w:pPr>
              <w:spacing w:after="0"/>
              <w:rPr>
                <w:sz w:val="8"/>
                <w:szCs w:val="8"/>
                <w:color w:val="auto"/>
              </w:rPr>
            </w:pPr>
          </w:p>
        </w:tc>
        <w:tc>
          <w:tcPr>
            <w:tcW w:w="100" w:type="dxa"/>
            <w:vAlign w:val="bottom"/>
            <w:tcBorders>
              <w:bottom w:val="single" w:sz="8" w:color="221F1F"/>
            </w:tcBorders>
          </w:tcPr>
          <w:p>
            <w:pPr>
              <w:spacing w:after="0"/>
              <w:rPr>
                <w:sz w:val="8"/>
                <w:szCs w:val="8"/>
                <w:color w:val="auto"/>
              </w:rPr>
            </w:pPr>
          </w:p>
        </w:tc>
        <w:tc>
          <w:tcPr>
            <w:tcW w:w="80" w:type="dxa"/>
            <w:vAlign w:val="bottom"/>
            <w:tcBorders>
              <w:bottom w:val="single" w:sz="8" w:color="221F1F"/>
            </w:tcBorders>
          </w:tcPr>
          <w:p>
            <w:pPr>
              <w:spacing w:after="0"/>
              <w:rPr>
                <w:sz w:val="8"/>
                <w:szCs w:val="8"/>
                <w:color w:val="auto"/>
              </w:rPr>
            </w:pPr>
          </w:p>
        </w:tc>
        <w:tc>
          <w:tcPr>
            <w:tcW w:w="200" w:type="dxa"/>
            <w:vAlign w:val="bottom"/>
            <w:tcBorders>
              <w:bottom w:val="single" w:sz="8" w:color="221F1F"/>
            </w:tcBorders>
          </w:tcPr>
          <w:p>
            <w:pPr>
              <w:spacing w:after="0"/>
              <w:rPr>
                <w:sz w:val="8"/>
                <w:szCs w:val="8"/>
                <w:color w:val="auto"/>
              </w:rPr>
            </w:pPr>
          </w:p>
        </w:tc>
        <w:tc>
          <w:tcPr>
            <w:tcW w:w="360" w:type="dxa"/>
            <w:vAlign w:val="bottom"/>
            <w:tcBorders>
              <w:bottom w:val="single" w:sz="8" w:color="221F1F"/>
              <w:right w:val="single" w:sz="8" w:color="221F1F"/>
            </w:tcBorders>
          </w:tcPr>
          <w:p>
            <w:pPr>
              <w:spacing w:after="0"/>
              <w:rPr>
                <w:sz w:val="8"/>
                <w:szCs w:val="8"/>
                <w:color w:val="auto"/>
              </w:rPr>
            </w:pPr>
          </w:p>
        </w:tc>
        <w:tc>
          <w:tcPr>
            <w:tcW w:w="1040" w:type="dxa"/>
            <w:vAlign w:val="bottom"/>
            <w:tcBorders>
              <w:bottom w:val="single" w:sz="8" w:color="221F1F"/>
            </w:tcBorders>
          </w:tcPr>
          <w:p>
            <w:pPr>
              <w:spacing w:after="0"/>
              <w:rPr>
                <w:sz w:val="8"/>
                <w:szCs w:val="8"/>
                <w:color w:val="auto"/>
              </w:rPr>
            </w:pPr>
          </w:p>
        </w:tc>
        <w:tc>
          <w:tcPr>
            <w:tcW w:w="20" w:type="dxa"/>
            <w:vAlign w:val="bottom"/>
            <w:tcBorders>
              <w:bottom w:val="single" w:sz="8" w:color="221F1F"/>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Borders>
              <w:right w:val="single" w:sz="8" w:color="221F1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221F1F"/>
                <w:w w:val="97"/>
              </w:rPr>
              <w:t>Street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440" w:type="dxa"/>
            <w:vAlign w:val="bottom"/>
            <w:tcBorders>
              <w:right w:val="single" w:sz="8" w:color="221F1F"/>
            </w:tcBorders>
            <w:gridSpan w:val="2"/>
          </w:tcPr>
          <w:p>
            <w:pPr>
              <w:ind w:left="80"/>
              <w:spacing w:after="0"/>
              <w:rPr>
                <w:sz w:val="20"/>
                <w:szCs w:val="20"/>
                <w:color w:val="auto"/>
              </w:rPr>
            </w:pPr>
            <w:r>
              <w:rPr>
                <w:rFonts w:ascii="Arial" w:cs="Arial" w:eastAsia="Arial" w:hAnsi="Arial"/>
                <w:sz w:val="20"/>
                <w:szCs w:val="20"/>
                <w:b w:val="1"/>
                <w:bCs w:val="1"/>
                <w:color w:val="221F1F"/>
              </w:rPr>
              <w:t>Claimant Address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480" w:type="dxa"/>
            <w:vAlign w:val="bottom"/>
            <w:tcBorders>
              <w:right w:val="single" w:sz="8" w:color="221F1F"/>
            </w:tcBorders>
          </w:tcPr>
          <w:p>
            <w:pPr>
              <w:spacing w:after="0"/>
              <w:rPr>
                <w:sz w:val="3"/>
                <w:szCs w:val="3"/>
                <w:color w:val="auto"/>
              </w:rPr>
            </w:pPr>
          </w:p>
        </w:tc>
        <w:tc>
          <w:tcPr>
            <w:tcW w:w="80" w:type="dxa"/>
            <w:vAlign w:val="bottom"/>
            <w:tcBorders>
              <w:bottom w:val="single" w:sz="8" w:color="221F1F"/>
            </w:tcBorders>
          </w:tcPr>
          <w:p>
            <w:pPr>
              <w:spacing w:after="0"/>
              <w:rPr>
                <w:sz w:val="3"/>
                <w:szCs w:val="3"/>
                <w:color w:val="auto"/>
              </w:rPr>
            </w:pPr>
          </w:p>
        </w:tc>
        <w:tc>
          <w:tcPr>
            <w:tcW w:w="140" w:type="dxa"/>
            <w:vAlign w:val="bottom"/>
            <w:tcBorders>
              <w:bottom w:val="single" w:sz="8" w:color="221F1F"/>
            </w:tcBorders>
          </w:tcPr>
          <w:p>
            <w:pPr>
              <w:spacing w:after="0"/>
              <w:rPr>
                <w:sz w:val="3"/>
                <w:szCs w:val="3"/>
                <w:color w:val="auto"/>
              </w:rPr>
            </w:pPr>
          </w:p>
        </w:tc>
        <w:tc>
          <w:tcPr>
            <w:tcW w:w="260" w:type="dxa"/>
            <w:vAlign w:val="bottom"/>
            <w:tcBorders>
              <w:bottom w:val="single" w:sz="8" w:color="221F1F"/>
            </w:tcBorders>
          </w:tcPr>
          <w:p>
            <w:pPr>
              <w:spacing w:after="0"/>
              <w:rPr>
                <w:sz w:val="3"/>
                <w:szCs w:val="3"/>
                <w:color w:val="auto"/>
              </w:rPr>
            </w:pPr>
          </w:p>
        </w:tc>
        <w:tc>
          <w:tcPr>
            <w:tcW w:w="120" w:type="dxa"/>
            <w:vAlign w:val="bottom"/>
            <w:tcBorders>
              <w:bottom w:val="single" w:sz="8" w:color="221F1F"/>
            </w:tcBorders>
          </w:tcPr>
          <w:p>
            <w:pPr>
              <w:spacing w:after="0"/>
              <w:rPr>
                <w:sz w:val="3"/>
                <w:szCs w:val="3"/>
                <w:color w:val="auto"/>
              </w:rPr>
            </w:pPr>
          </w:p>
        </w:tc>
        <w:tc>
          <w:tcPr>
            <w:tcW w:w="200" w:type="dxa"/>
            <w:vAlign w:val="bottom"/>
            <w:tcBorders>
              <w:bottom w:val="single" w:sz="8" w:color="221F1F"/>
            </w:tcBorders>
          </w:tcPr>
          <w:p>
            <w:pPr>
              <w:spacing w:after="0"/>
              <w:rPr>
                <w:sz w:val="3"/>
                <w:szCs w:val="3"/>
                <w:color w:val="auto"/>
              </w:rPr>
            </w:pPr>
          </w:p>
        </w:tc>
        <w:tc>
          <w:tcPr>
            <w:tcW w:w="60" w:type="dxa"/>
            <w:vAlign w:val="bottom"/>
            <w:tcBorders>
              <w:bottom w:val="single" w:sz="8" w:color="221F1F"/>
            </w:tcBorders>
          </w:tcPr>
          <w:p>
            <w:pPr>
              <w:spacing w:after="0"/>
              <w:rPr>
                <w:sz w:val="3"/>
                <w:szCs w:val="3"/>
                <w:color w:val="auto"/>
              </w:rPr>
            </w:pPr>
          </w:p>
        </w:tc>
        <w:tc>
          <w:tcPr>
            <w:tcW w:w="200" w:type="dxa"/>
            <w:vAlign w:val="bottom"/>
            <w:tcBorders>
              <w:bottom w:val="single" w:sz="8" w:color="221F1F"/>
            </w:tcBorders>
          </w:tcPr>
          <w:p>
            <w:pPr>
              <w:spacing w:after="0"/>
              <w:rPr>
                <w:sz w:val="3"/>
                <w:szCs w:val="3"/>
                <w:color w:val="auto"/>
              </w:rPr>
            </w:pPr>
          </w:p>
        </w:tc>
        <w:tc>
          <w:tcPr>
            <w:tcW w:w="60" w:type="dxa"/>
            <w:vAlign w:val="bottom"/>
            <w:tcBorders>
              <w:bottom w:val="single" w:sz="8" w:color="221F1F"/>
            </w:tcBorders>
          </w:tcPr>
          <w:p>
            <w:pPr>
              <w:spacing w:after="0"/>
              <w:rPr>
                <w:sz w:val="3"/>
                <w:szCs w:val="3"/>
                <w:color w:val="auto"/>
              </w:rPr>
            </w:pPr>
          </w:p>
        </w:tc>
        <w:tc>
          <w:tcPr>
            <w:tcW w:w="200" w:type="dxa"/>
            <w:vAlign w:val="bottom"/>
            <w:tcBorders>
              <w:bottom w:val="single" w:sz="8" w:color="221F1F"/>
            </w:tcBorders>
          </w:tcPr>
          <w:p>
            <w:pPr>
              <w:spacing w:after="0"/>
              <w:rPr>
                <w:sz w:val="3"/>
                <w:szCs w:val="3"/>
                <w:color w:val="auto"/>
              </w:rPr>
            </w:pPr>
          </w:p>
        </w:tc>
        <w:tc>
          <w:tcPr>
            <w:tcW w:w="840" w:type="dxa"/>
            <w:vAlign w:val="bottom"/>
            <w:tcBorders>
              <w:bottom w:val="single" w:sz="8" w:color="221F1F"/>
            </w:tcBorders>
          </w:tcPr>
          <w:p>
            <w:pPr>
              <w:spacing w:after="0"/>
              <w:rPr>
                <w:sz w:val="3"/>
                <w:szCs w:val="3"/>
                <w:color w:val="auto"/>
              </w:rPr>
            </w:pPr>
          </w:p>
        </w:tc>
        <w:tc>
          <w:tcPr>
            <w:tcW w:w="320" w:type="dxa"/>
            <w:vAlign w:val="bottom"/>
            <w:tcBorders>
              <w:bottom w:val="single" w:sz="8" w:color="221F1F"/>
            </w:tcBorders>
          </w:tcPr>
          <w:p>
            <w:pPr>
              <w:spacing w:after="0"/>
              <w:rPr>
                <w:sz w:val="3"/>
                <w:szCs w:val="3"/>
                <w:color w:val="auto"/>
              </w:rPr>
            </w:pPr>
          </w:p>
        </w:tc>
        <w:tc>
          <w:tcPr>
            <w:tcW w:w="560" w:type="dxa"/>
            <w:vAlign w:val="bottom"/>
            <w:tcBorders>
              <w:bottom w:val="single" w:sz="8" w:color="221F1F"/>
            </w:tcBorders>
          </w:tcPr>
          <w:p>
            <w:pPr>
              <w:spacing w:after="0"/>
              <w:rPr>
                <w:sz w:val="3"/>
                <w:szCs w:val="3"/>
                <w:color w:val="auto"/>
              </w:rPr>
            </w:pPr>
          </w:p>
        </w:tc>
        <w:tc>
          <w:tcPr>
            <w:tcW w:w="120" w:type="dxa"/>
            <w:vAlign w:val="bottom"/>
            <w:tcBorders>
              <w:bottom w:val="single" w:sz="8" w:color="221F1F"/>
            </w:tcBorders>
          </w:tcPr>
          <w:p>
            <w:pPr>
              <w:spacing w:after="0"/>
              <w:rPr>
                <w:sz w:val="3"/>
                <w:szCs w:val="3"/>
                <w:color w:val="auto"/>
              </w:rPr>
            </w:pPr>
          </w:p>
        </w:tc>
        <w:tc>
          <w:tcPr>
            <w:tcW w:w="700" w:type="dxa"/>
            <w:vAlign w:val="bottom"/>
            <w:tcBorders>
              <w:bottom w:val="single" w:sz="8" w:color="221F1F"/>
            </w:tcBorders>
            <w:gridSpan w:val="3"/>
          </w:tcPr>
          <w:p>
            <w:pPr>
              <w:spacing w:after="0"/>
              <w:rPr>
                <w:sz w:val="3"/>
                <w:szCs w:val="3"/>
                <w:color w:val="auto"/>
              </w:rPr>
            </w:pPr>
          </w:p>
        </w:tc>
        <w:tc>
          <w:tcPr>
            <w:tcW w:w="100" w:type="dxa"/>
            <w:vAlign w:val="bottom"/>
            <w:tcBorders>
              <w:bottom w:val="single" w:sz="8" w:color="221F1F"/>
            </w:tcBorders>
          </w:tcPr>
          <w:p>
            <w:pPr>
              <w:spacing w:after="0"/>
              <w:rPr>
                <w:sz w:val="3"/>
                <w:szCs w:val="3"/>
                <w:color w:val="auto"/>
              </w:rPr>
            </w:pPr>
          </w:p>
        </w:tc>
        <w:tc>
          <w:tcPr>
            <w:tcW w:w="660" w:type="dxa"/>
            <w:vAlign w:val="bottom"/>
            <w:tcBorders>
              <w:bottom w:val="single" w:sz="8" w:color="221F1F"/>
            </w:tcBorders>
            <w:gridSpan w:val="2"/>
          </w:tcPr>
          <w:p>
            <w:pPr>
              <w:spacing w:after="0"/>
              <w:rPr>
                <w:sz w:val="3"/>
                <w:szCs w:val="3"/>
                <w:color w:val="auto"/>
              </w:rPr>
            </w:pPr>
          </w:p>
        </w:tc>
        <w:tc>
          <w:tcPr>
            <w:tcW w:w="240" w:type="dxa"/>
            <w:vAlign w:val="bottom"/>
            <w:tcBorders>
              <w:bottom w:val="single" w:sz="8" w:color="221F1F"/>
            </w:tcBorders>
          </w:tcPr>
          <w:p>
            <w:pPr>
              <w:spacing w:after="0"/>
              <w:rPr>
                <w:sz w:val="3"/>
                <w:szCs w:val="3"/>
                <w:color w:val="auto"/>
              </w:rPr>
            </w:pPr>
          </w:p>
        </w:tc>
        <w:tc>
          <w:tcPr>
            <w:tcW w:w="320" w:type="dxa"/>
            <w:vAlign w:val="bottom"/>
            <w:tcBorders>
              <w:bottom w:val="single" w:sz="8" w:color="221F1F"/>
            </w:tcBorders>
          </w:tcPr>
          <w:p>
            <w:pPr>
              <w:spacing w:after="0"/>
              <w:rPr>
                <w:sz w:val="3"/>
                <w:szCs w:val="3"/>
                <w:color w:val="auto"/>
              </w:rPr>
            </w:pPr>
          </w:p>
        </w:tc>
        <w:tc>
          <w:tcPr>
            <w:tcW w:w="60" w:type="dxa"/>
            <w:vAlign w:val="bottom"/>
            <w:tcBorders>
              <w:bottom w:val="single" w:sz="8" w:color="221F1F"/>
            </w:tcBorders>
          </w:tcPr>
          <w:p>
            <w:pPr>
              <w:spacing w:after="0"/>
              <w:rPr>
                <w:sz w:val="3"/>
                <w:szCs w:val="3"/>
                <w:color w:val="auto"/>
              </w:rPr>
            </w:pPr>
          </w:p>
        </w:tc>
        <w:tc>
          <w:tcPr>
            <w:tcW w:w="100" w:type="dxa"/>
            <w:vAlign w:val="bottom"/>
            <w:tcBorders>
              <w:bottom w:val="single" w:sz="8" w:color="221F1F"/>
            </w:tcBorders>
          </w:tcPr>
          <w:p>
            <w:pPr>
              <w:spacing w:after="0"/>
              <w:rPr>
                <w:sz w:val="3"/>
                <w:szCs w:val="3"/>
                <w:color w:val="auto"/>
              </w:rPr>
            </w:pPr>
          </w:p>
        </w:tc>
        <w:tc>
          <w:tcPr>
            <w:tcW w:w="80" w:type="dxa"/>
            <w:vAlign w:val="bottom"/>
            <w:tcBorders>
              <w:bottom w:val="single" w:sz="8" w:color="221F1F"/>
            </w:tcBorders>
          </w:tcPr>
          <w:p>
            <w:pPr>
              <w:spacing w:after="0"/>
              <w:rPr>
                <w:sz w:val="3"/>
                <w:szCs w:val="3"/>
                <w:color w:val="auto"/>
              </w:rPr>
            </w:pPr>
          </w:p>
        </w:tc>
        <w:tc>
          <w:tcPr>
            <w:tcW w:w="200" w:type="dxa"/>
            <w:vAlign w:val="bottom"/>
            <w:tcBorders>
              <w:bottom w:val="single" w:sz="8" w:color="221F1F"/>
            </w:tcBorders>
          </w:tcPr>
          <w:p>
            <w:pPr>
              <w:spacing w:after="0"/>
              <w:rPr>
                <w:sz w:val="3"/>
                <w:szCs w:val="3"/>
                <w:color w:val="auto"/>
              </w:rPr>
            </w:pPr>
          </w:p>
        </w:tc>
        <w:tc>
          <w:tcPr>
            <w:tcW w:w="1400" w:type="dxa"/>
            <w:vAlign w:val="bottom"/>
            <w:tcBorders>
              <w:bottom w:val="single" w:sz="8" w:color="221F1F"/>
            </w:tcBorders>
            <w:gridSpan w:val="2"/>
          </w:tcPr>
          <w:p>
            <w:pPr>
              <w:spacing w:after="0"/>
              <w:rPr>
                <w:sz w:val="3"/>
                <w:szCs w:val="3"/>
                <w:color w:val="auto"/>
              </w:rPr>
            </w:pPr>
          </w:p>
        </w:tc>
        <w:tc>
          <w:tcPr>
            <w:tcW w:w="20" w:type="dxa"/>
            <w:vAlign w:val="bottom"/>
            <w:tcBorders>
              <w:bottom w:val="single" w:sz="8" w:color="221F1F"/>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Borders>
              <w:right w:val="single" w:sz="8" w:color="221F1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221F1F"/>
              </w:rPr>
              <w:t>City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221F1F"/>
            </w:tcBorders>
          </w:tcPr>
          <w:p>
            <w:pPr>
              <w:spacing w:after="0"/>
              <w:rPr>
                <w:sz w:val="13"/>
                <w:szCs w:val="13"/>
                <w:color w:val="auto"/>
              </w:rPr>
            </w:pPr>
          </w:p>
        </w:tc>
        <w:tc>
          <w:tcPr>
            <w:tcW w:w="700" w:type="dxa"/>
            <w:vAlign w:val="bottom"/>
            <w:tcBorders>
              <w:right w:val="single" w:sz="8" w:color="221F1F"/>
            </w:tcBorders>
            <w:gridSpan w:val="3"/>
          </w:tcPr>
          <w:p>
            <w:pPr>
              <w:jc w:val="right"/>
              <w:ind w:right="237"/>
              <w:spacing w:after="0"/>
              <w:rPr>
                <w:sz w:val="20"/>
                <w:szCs w:val="20"/>
                <w:color w:val="auto"/>
              </w:rPr>
            </w:pPr>
            <w:r>
              <w:rPr>
                <w:rFonts w:ascii="Arial" w:cs="Arial" w:eastAsia="Arial" w:hAnsi="Arial"/>
                <w:sz w:val="13"/>
                <w:szCs w:val="13"/>
                <w:color w:val="221F1F"/>
              </w:rPr>
              <w:t>State</w:t>
            </w:r>
          </w:p>
        </w:tc>
        <w:tc>
          <w:tcPr>
            <w:tcW w:w="1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221F1F"/>
              </w:rPr>
              <w:t>Zip</w:t>
            </w:r>
          </w:p>
        </w:tc>
        <w:tc>
          <w:tcPr>
            <w:tcW w:w="240" w:type="dxa"/>
            <w:vAlign w:val="bottom"/>
          </w:tcPr>
          <w:p>
            <w:pPr>
              <w:spacing w:after="0"/>
              <w:rPr>
                <w:sz w:val="13"/>
                <w:szCs w:val="13"/>
                <w:color w:val="auto"/>
              </w:rPr>
            </w:pPr>
          </w:p>
        </w:tc>
        <w:tc>
          <w:tcPr>
            <w:tcW w:w="320" w:type="dxa"/>
            <w:vAlign w:val="bottom"/>
            <w:tcBorders>
              <w:right w:val="single" w:sz="8" w:color="221F1F"/>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5"/>
          </w:tcPr>
          <w:p>
            <w:pPr>
              <w:jc w:val="center"/>
              <w:ind w:right="1157"/>
              <w:spacing w:after="0"/>
              <w:rPr>
                <w:sz w:val="20"/>
                <w:szCs w:val="20"/>
                <w:color w:val="auto"/>
              </w:rPr>
            </w:pPr>
            <w:r>
              <w:rPr>
                <w:rFonts w:ascii="Arial" w:cs="Arial" w:eastAsia="Arial" w:hAnsi="Arial"/>
                <w:sz w:val="13"/>
                <w:szCs w:val="13"/>
                <w:color w:val="221F1F"/>
                <w:w w:val="87"/>
              </w:rPr>
              <w:t>Country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221F1F"/>
            </w:tcBorders>
          </w:tcPr>
          <w:p>
            <w:pPr>
              <w:spacing w:after="0"/>
              <w:rPr>
                <w:sz w:val="2"/>
                <w:szCs w:val="2"/>
                <w:color w:val="auto"/>
              </w:rPr>
            </w:pPr>
          </w:p>
        </w:tc>
        <w:tc>
          <w:tcPr>
            <w:tcW w:w="1960" w:type="dxa"/>
            <w:vAlign w:val="bottom"/>
            <w:tcBorders>
              <w:bottom w:val="single" w:sz="8" w:color="221F1F"/>
            </w:tcBorders>
          </w:tcPr>
          <w:p>
            <w:pPr>
              <w:spacing w:after="0"/>
              <w:rPr>
                <w:sz w:val="2"/>
                <w:szCs w:val="2"/>
                <w:color w:val="auto"/>
              </w:rPr>
            </w:pPr>
          </w:p>
        </w:tc>
        <w:tc>
          <w:tcPr>
            <w:tcW w:w="480" w:type="dxa"/>
            <w:vAlign w:val="bottom"/>
            <w:tcBorders>
              <w:bottom w:val="single" w:sz="8" w:color="221F1F"/>
              <w:right w:val="single" w:sz="8" w:color="221F1F"/>
            </w:tcBorders>
          </w:tcPr>
          <w:p>
            <w:pPr>
              <w:spacing w:after="0"/>
              <w:rPr>
                <w:sz w:val="2"/>
                <w:szCs w:val="2"/>
                <w:color w:val="auto"/>
              </w:rPr>
            </w:pPr>
          </w:p>
        </w:tc>
        <w:tc>
          <w:tcPr>
            <w:tcW w:w="220" w:type="dxa"/>
            <w:vAlign w:val="bottom"/>
            <w:tcBorders>
              <w:bottom w:val="single" w:sz="8" w:color="221F1F"/>
            </w:tcBorders>
            <w:gridSpan w:val="2"/>
          </w:tcPr>
          <w:p>
            <w:pPr>
              <w:spacing w:after="0"/>
              <w:rPr>
                <w:sz w:val="2"/>
                <w:szCs w:val="2"/>
                <w:color w:val="auto"/>
              </w:rPr>
            </w:pPr>
          </w:p>
        </w:tc>
        <w:tc>
          <w:tcPr>
            <w:tcW w:w="380" w:type="dxa"/>
            <w:vAlign w:val="bottom"/>
            <w:tcBorders>
              <w:bottom w:val="single" w:sz="8" w:color="221F1F"/>
            </w:tcBorders>
            <w:gridSpan w:val="2"/>
          </w:tcPr>
          <w:p>
            <w:pPr>
              <w:spacing w:after="0"/>
              <w:rPr>
                <w:sz w:val="2"/>
                <w:szCs w:val="2"/>
                <w:color w:val="auto"/>
              </w:rPr>
            </w:pPr>
          </w:p>
        </w:tc>
        <w:tc>
          <w:tcPr>
            <w:tcW w:w="200" w:type="dxa"/>
            <w:vAlign w:val="bottom"/>
            <w:tcBorders>
              <w:bottom w:val="single" w:sz="8" w:color="221F1F"/>
            </w:tcBorders>
          </w:tcPr>
          <w:p>
            <w:pPr>
              <w:spacing w:after="0"/>
              <w:rPr>
                <w:sz w:val="2"/>
                <w:szCs w:val="2"/>
                <w:color w:val="auto"/>
              </w:rPr>
            </w:pPr>
          </w:p>
        </w:tc>
        <w:tc>
          <w:tcPr>
            <w:tcW w:w="60" w:type="dxa"/>
            <w:vAlign w:val="bottom"/>
            <w:tcBorders>
              <w:bottom w:val="single" w:sz="8" w:color="221F1F"/>
            </w:tcBorders>
          </w:tcPr>
          <w:p>
            <w:pPr>
              <w:spacing w:after="0"/>
              <w:rPr>
                <w:sz w:val="2"/>
                <w:szCs w:val="2"/>
                <w:color w:val="auto"/>
              </w:rPr>
            </w:pPr>
          </w:p>
        </w:tc>
        <w:tc>
          <w:tcPr>
            <w:tcW w:w="200" w:type="dxa"/>
            <w:vAlign w:val="bottom"/>
            <w:tcBorders>
              <w:bottom w:val="single" w:sz="8" w:color="221F1F"/>
            </w:tcBorders>
          </w:tcPr>
          <w:p>
            <w:pPr>
              <w:spacing w:after="0"/>
              <w:rPr>
                <w:sz w:val="2"/>
                <w:szCs w:val="2"/>
                <w:color w:val="auto"/>
              </w:rPr>
            </w:pPr>
          </w:p>
        </w:tc>
        <w:tc>
          <w:tcPr>
            <w:tcW w:w="60" w:type="dxa"/>
            <w:vAlign w:val="bottom"/>
            <w:tcBorders>
              <w:bottom w:val="single" w:sz="8" w:color="221F1F"/>
            </w:tcBorders>
          </w:tcPr>
          <w:p>
            <w:pPr>
              <w:spacing w:after="0"/>
              <w:rPr>
                <w:sz w:val="2"/>
                <w:szCs w:val="2"/>
                <w:color w:val="auto"/>
              </w:rPr>
            </w:pPr>
          </w:p>
        </w:tc>
        <w:tc>
          <w:tcPr>
            <w:tcW w:w="200" w:type="dxa"/>
            <w:vAlign w:val="bottom"/>
            <w:tcBorders>
              <w:bottom w:val="single" w:sz="8" w:color="221F1F"/>
            </w:tcBorders>
          </w:tcPr>
          <w:p>
            <w:pPr>
              <w:spacing w:after="0"/>
              <w:rPr>
                <w:sz w:val="2"/>
                <w:szCs w:val="2"/>
                <w:color w:val="auto"/>
              </w:rPr>
            </w:pPr>
          </w:p>
        </w:tc>
        <w:tc>
          <w:tcPr>
            <w:tcW w:w="840" w:type="dxa"/>
            <w:vAlign w:val="bottom"/>
            <w:tcBorders>
              <w:bottom w:val="single" w:sz="8" w:color="221F1F"/>
            </w:tcBorders>
          </w:tcPr>
          <w:p>
            <w:pPr>
              <w:spacing w:after="0"/>
              <w:rPr>
                <w:sz w:val="2"/>
                <w:szCs w:val="2"/>
                <w:color w:val="auto"/>
              </w:rPr>
            </w:pPr>
          </w:p>
        </w:tc>
        <w:tc>
          <w:tcPr>
            <w:tcW w:w="320" w:type="dxa"/>
            <w:vAlign w:val="bottom"/>
            <w:tcBorders>
              <w:bottom w:val="single" w:sz="8" w:color="221F1F"/>
            </w:tcBorders>
          </w:tcPr>
          <w:p>
            <w:pPr>
              <w:spacing w:after="0"/>
              <w:rPr>
                <w:sz w:val="2"/>
                <w:szCs w:val="2"/>
                <w:color w:val="auto"/>
              </w:rPr>
            </w:pPr>
          </w:p>
        </w:tc>
        <w:tc>
          <w:tcPr>
            <w:tcW w:w="680" w:type="dxa"/>
            <w:vAlign w:val="bottom"/>
            <w:tcBorders>
              <w:bottom w:val="single" w:sz="8" w:color="221F1F"/>
              <w:right w:val="single" w:sz="8" w:color="221F1F"/>
            </w:tcBorders>
            <w:gridSpan w:val="2"/>
          </w:tcPr>
          <w:p>
            <w:pPr>
              <w:spacing w:after="0"/>
              <w:rPr>
                <w:sz w:val="2"/>
                <w:szCs w:val="2"/>
                <w:color w:val="auto"/>
              </w:rPr>
            </w:pPr>
          </w:p>
        </w:tc>
        <w:tc>
          <w:tcPr>
            <w:tcW w:w="700" w:type="dxa"/>
            <w:vAlign w:val="bottom"/>
            <w:tcBorders>
              <w:bottom w:val="single" w:sz="8" w:color="221F1F"/>
              <w:right w:val="single" w:sz="8" w:color="221F1F"/>
            </w:tcBorders>
            <w:gridSpan w:val="3"/>
          </w:tcPr>
          <w:p>
            <w:pPr>
              <w:spacing w:after="0"/>
              <w:rPr>
                <w:sz w:val="2"/>
                <w:szCs w:val="2"/>
                <w:color w:val="auto"/>
              </w:rPr>
            </w:pPr>
          </w:p>
        </w:tc>
        <w:tc>
          <w:tcPr>
            <w:tcW w:w="760" w:type="dxa"/>
            <w:vAlign w:val="bottom"/>
            <w:tcBorders>
              <w:bottom w:val="single" w:sz="8" w:color="221F1F"/>
            </w:tcBorders>
            <w:gridSpan w:val="3"/>
          </w:tcPr>
          <w:p>
            <w:pPr>
              <w:spacing w:after="0"/>
              <w:rPr>
                <w:sz w:val="2"/>
                <w:szCs w:val="2"/>
                <w:color w:val="auto"/>
              </w:rPr>
            </w:pPr>
          </w:p>
        </w:tc>
        <w:tc>
          <w:tcPr>
            <w:tcW w:w="240" w:type="dxa"/>
            <w:vAlign w:val="bottom"/>
            <w:tcBorders>
              <w:bottom w:val="single" w:sz="8" w:color="221F1F"/>
            </w:tcBorders>
          </w:tcPr>
          <w:p>
            <w:pPr>
              <w:spacing w:after="0"/>
              <w:rPr>
                <w:sz w:val="2"/>
                <w:szCs w:val="2"/>
                <w:color w:val="auto"/>
              </w:rPr>
            </w:pPr>
          </w:p>
        </w:tc>
        <w:tc>
          <w:tcPr>
            <w:tcW w:w="320" w:type="dxa"/>
            <w:vAlign w:val="bottom"/>
            <w:tcBorders>
              <w:bottom w:val="single" w:sz="8" w:color="221F1F"/>
              <w:right w:val="single" w:sz="8" w:color="221F1F"/>
            </w:tcBorders>
          </w:tcPr>
          <w:p>
            <w:pPr>
              <w:spacing w:after="0"/>
              <w:rPr>
                <w:sz w:val="2"/>
                <w:szCs w:val="2"/>
                <w:color w:val="auto"/>
              </w:rPr>
            </w:pPr>
          </w:p>
        </w:tc>
        <w:tc>
          <w:tcPr>
            <w:tcW w:w="60" w:type="dxa"/>
            <w:vAlign w:val="bottom"/>
            <w:tcBorders>
              <w:bottom w:val="single" w:sz="8" w:color="221F1F"/>
            </w:tcBorders>
          </w:tcPr>
          <w:p>
            <w:pPr>
              <w:spacing w:after="0"/>
              <w:rPr>
                <w:sz w:val="2"/>
                <w:szCs w:val="2"/>
                <w:color w:val="auto"/>
              </w:rPr>
            </w:pPr>
          </w:p>
        </w:tc>
        <w:tc>
          <w:tcPr>
            <w:tcW w:w="100" w:type="dxa"/>
            <w:vAlign w:val="bottom"/>
            <w:tcBorders>
              <w:bottom w:val="single" w:sz="8" w:color="221F1F"/>
            </w:tcBorders>
          </w:tcPr>
          <w:p>
            <w:pPr>
              <w:spacing w:after="0"/>
              <w:rPr>
                <w:sz w:val="2"/>
                <w:szCs w:val="2"/>
                <w:color w:val="auto"/>
              </w:rPr>
            </w:pPr>
          </w:p>
        </w:tc>
        <w:tc>
          <w:tcPr>
            <w:tcW w:w="80" w:type="dxa"/>
            <w:vAlign w:val="bottom"/>
            <w:tcBorders>
              <w:bottom w:val="single" w:sz="8" w:color="221F1F"/>
            </w:tcBorders>
          </w:tcPr>
          <w:p>
            <w:pPr>
              <w:spacing w:after="0"/>
              <w:rPr>
                <w:sz w:val="2"/>
                <w:szCs w:val="2"/>
                <w:color w:val="auto"/>
              </w:rPr>
            </w:pPr>
          </w:p>
        </w:tc>
        <w:tc>
          <w:tcPr>
            <w:tcW w:w="200" w:type="dxa"/>
            <w:vAlign w:val="bottom"/>
            <w:tcBorders>
              <w:bottom w:val="single" w:sz="8" w:color="221F1F"/>
            </w:tcBorders>
          </w:tcPr>
          <w:p>
            <w:pPr>
              <w:spacing w:after="0"/>
              <w:rPr>
                <w:sz w:val="2"/>
                <w:szCs w:val="2"/>
                <w:color w:val="auto"/>
              </w:rPr>
            </w:pPr>
          </w:p>
        </w:tc>
        <w:tc>
          <w:tcPr>
            <w:tcW w:w="360" w:type="dxa"/>
            <w:vAlign w:val="bottom"/>
            <w:tcBorders>
              <w:bottom w:val="single" w:sz="8" w:color="221F1F"/>
            </w:tcBorders>
          </w:tcPr>
          <w:p>
            <w:pPr>
              <w:spacing w:after="0"/>
              <w:rPr>
                <w:sz w:val="2"/>
                <w:szCs w:val="2"/>
                <w:color w:val="auto"/>
              </w:rPr>
            </w:pPr>
          </w:p>
        </w:tc>
        <w:tc>
          <w:tcPr>
            <w:tcW w:w="1040" w:type="dxa"/>
            <w:vAlign w:val="bottom"/>
            <w:tcBorders>
              <w:bottom w:val="single" w:sz="8" w:color="221F1F"/>
            </w:tcBorders>
          </w:tcPr>
          <w:p>
            <w:pPr>
              <w:spacing w:after="0"/>
              <w:rPr>
                <w:sz w:val="2"/>
                <w:szCs w:val="2"/>
                <w:color w:val="auto"/>
              </w:rPr>
            </w:pPr>
          </w:p>
        </w:tc>
        <w:tc>
          <w:tcPr>
            <w:tcW w:w="20" w:type="dxa"/>
            <w:vAlign w:val="bottom"/>
            <w:tcBorders>
              <w:bottom w:val="single" w:sz="8" w:color="221F1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right w:val="single" w:sz="8" w:color="221F1F"/>
            </w:tcBorders>
            <w:gridSpan w:val="12"/>
          </w:tcPr>
          <w:p>
            <w:pPr>
              <w:jc w:val="center"/>
              <w:spacing w:after="0" w:line="196" w:lineRule="exact"/>
              <w:rPr>
                <w:sz w:val="20"/>
                <w:szCs w:val="20"/>
                <w:color w:val="auto"/>
              </w:rPr>
            </w:pPr>
            <w:r>
              <w:rPr>
                <w:rFonts w:ascii="Arial" w:cs="Arial" w:eastAsia="Arial" w:hAnsi="Arial"/>
                <w:sz w:val="20"/>
                <w:szCs w:val="20"/>
                <w:b w:val="1"/>
                <w:bCs w:val="1"/>
                <w:color w:val="221F1F"/>
                <w:w w:val="93"/>
              </w:rPr>
              <w:t>Claimant Date of Birth (Month,</w:t>
            </w:r>
          </w:p>
        </w:tc>
        <w:tc>
          <w:tcPr>
            <w:tcW w:w="2460" w:type="dxa"/>
            <w:vAlign w:val="bottom"/>
            <w:gridSpan w:val="9"/>
          </w:tcPr>
          <w:p>
            <w:pPr>
              <w:ind w:left="160"/>
              <w:spacing w:after="0" w:line="196" w:lineRule="exact"/>
              <w:rPr>
                <w:sz w:val="20"/>
                <w:szCs w:val="20"/>
                <w:color w:val="auto"/>
              </w:rPr>
            </w:pPr>
            <w:r>
              <w:rPr>
                <w:rFonts w:ascii="Arial" w:cs="Arial" w:eastAsia="Arial" w:hAnsi="Arial"/>
                <w:sz w:val="20"/>
                <w:szCs w:val="20"/>
                <w:b w:val="1"/>
                <w:bCs w:val="1"/>
                <w:color w:val="221F1F"/>
              </w:rPr>
              <w:t>Social Security Number</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20" w:type="dxa"/>
            <w:vAlign w:val="bottom"/>
            <w:gridSpan w:val="5"/>
          </w:tcPr>
          <w:p>
            <w:pPr>
              <w:jc w:val="center"/>
              <w:ind w:left="1575"/>
              <w:spacing w:after="0"/>
              <w:rPr>
                <w:sz w:val="20"/>
                <w:szCs w:val="20"/>
                <w:color w:val="auto"/>
              </w:rPr>
            </w:pPr>
            <w:r>
              <w:rPr>
                <w:rFonts w:ascii="Arial" w:cs="Arial" w:eastAsia="Arial" w:hAnsi="Arial"/>
                <w:sz w:val="20"/>
                <w:szCs w:val="20"/>
                <w:b w:val="1"/>
                <w:bCs w:val="1"/>
                <w:color w:val="221F1F"/>
                <w:w w:val="89"/>
              </w:rPr>
              <w:t>Day, Year)</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Borders>
              <w:right w:val="single" w:sz="8" w:color="221F1F"/>
            </w:tcBorders>
          </w:tcPr>
          <w:p>
            <w:pPr>
              <w:spacing w:after="0"/>
              <w:rPr>
                <w:sz w:val="22"/>
                <w:szCs w:val="22"/>
                <w:color w:val="auto"/>
              </w:rPr>
            </w:pPr>
          </w:p>
        </w:tc>
        <w:tc>
          <w:tcPr>
            <w:tcW w:w="1700" w:type="dxa"/>
            <w:vAlign w:val="bottom"/>
            <w:gridSpan w:val="6"/>
            <w:vMerge w:val="restart"/>
          </w:tcPr>
          <w:p>
            <w:pPr>
              <w:jc w:val="right"/>
              <w:ind w:right="17"/>
              <w:spacing w:after="0"/>
              <w:rPr>
                <w:sz w:val="20"/>
                <w:szCs w:val="20"/>
                <w:color w:val="auto"/>
              </w:rPr>
            </w:pPr>
            <w:r>
              <w:rPr>
                <w:rFonts w:ascii="Arial" w:cs="Arial" w:eastAsia="Arial" w:hAnsi="Arial"/>
                <w:sz w:val="22"/>
                <w:szCs w:val="22"/>
                <w:color w:val="221F1F"/>
              </w:rPr>
              <w:t>|  |  |  | - |  |</w:t>
            </w:r>
          </w:p>
        </w:tc>
        <w:tc>
          <w:tcPr>
            <w:tcW w:w="100" w:type="dxa"/>
            <w:vAlign w:val="bottom"/>
          </w:tcPr>
          <w:p>
            <w:pPr>
              <w:spacing w:after="0"/>
              <w:rPr>
                <w:sz w:val="22"/>
                <w:szCs w:val="2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22"/>
                <w:szCs w:val="22"/>
                <w:color w:val="221F1F"/>
              </w:rPr>
              <w:t>| - |  |</w:t>
            </w:r>
          </w:p>
        </w:tc>
        <w:tc>
          <w:tcPr>
            <w:tcW w:w="560" w:type="dxa"/>
            <w:vAlign w:val="bottom"/>
            <w:gridSpan w:val="2"/>
            <w:vMerge w:val="restart"/>
          </w:tcPr>
          <w:p>
            <w:pPr>
              <w:jc w:val="right"/>
              <w:ind w:right="41"/>
              <w:spacing w:after="0"/>
              <w:rPr>
                <w:sz w:val="20"/>
                <w:szCs w:val="20"/>
                <w:color w:val="auto"/>
              </w:rPr>
            </w:pPr>
            <w:r>
              <w:rPr>
                <w:rFonts w:ascii="Arial" w:cs="Arial" w:eastAsia="Arial" w:hAnsi="Arial"/>
                <w:sz w:val="22"/>
                <w:szCs w:val="22"/>
                <w:color w:val="221F1F"/>
              </w:rPr>
              <w:t>|  |</w:t>
            </w:r>
          </w:p>
        </w:tc>
        <w:tc>
          <w:tcPr>
            <w:tcW w:w="160" w:type="dxa"/>
            <w:vAlign w:val="bottom"/>
            <w:gridSpan w:val="2"/>
            <w:vMerge w:val="restart"/>
          </w:tcPr>
          <w:p>
            <w:pPr>
              <w:jc w:val="right"/>
              <w:spacing w:after="0"/>
              <w:rPr>
                <w:sz w:val="20"/>
                <w:szCs w:val="20"/>
                <w:color w:val="auto"/>
              </w:rPr>
            </w:pPr>
            <w:r>
              <w:rPr>
                <w:rFonts w:ascii="Arial" w:cs="Arial" w:eastAsia="Arial" w:hAnsi="Arial"/>
                <w:sz w:val="22"/>
                <w:szCs w:val="22"/>
                <w:color w:val="221F1F"/>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gridSpan w:val="3"/>
            <w:vMerge w:val="restart"/>
          </w:tcPr>
          <w:p>
            <w:pPr>
              <w:jc w:val="center"/>
              <w:ind w:left="1995"/>
              <w:spacing w:after="0"/>
              <w:rPr>
                <w:sz w:val="20"/>
                <w:szCs w:val="20"/>
                <w:color w:val="auto"/>
              </w:rPr>
            </w:pPr>
            <w:r>
              <w:rPr>
                <w:rFonts w:ascii="Arial" w:cs="Arial" w:eastAsia="Arial" w:hAnsi="Arial"/>
                <w:sz w:val="20"/>
                <w:szCs w:val="20"/>
                <w:color w:val="221F1F"/>
              </w:rPr>
              <w:t>/  /</w:t>
            </w: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right w:val="single" w:sz="8" w:color="221F1F"/>
            </w:tcBorders>
          </w:tcPr>
          <w:p>
            <w:pPr>
              <w:spacing w:after="0"/>
              <w:rPr>
                <w:sz w:val="5"/>
                <w:szCs w:val="5"/>
                <w:color w:val="auto"/>
              </w:rPr>
            </w:pPr>
          </w:p>
        </w:tc>
        <w:tc>
          <w:tcPr>
            <w:tcW w:w="170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221F1F"/>
            </w:tcBorders>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top w:val="single" w:sz="8" w:color="221F1F"/>
            </w:tcBorders>
          </w:tcPr>
          <w:p>
            <w:pPr>
              <w:spacing w:after="0"/>
              <w:rPr>
                <w:sz w:val="14"/>
                <w:szCs w:val="14"/>
                <w:color w:val="auto"/>
              </w:rPr>
            </w:pPr>
          </w:p>
        </w:tc>
        <w:tc>
          <w:tcPr>
            <w:tcW w:w="120" w:type="dxa"/>
            <w:vAlign w:val="bottom"/>
            <w:tcBorders>
              <w:top w:val="single" w:sz="8" w:color="221F1F"/>
            </w:tcBorders>
          </w:tcPr>
          <w:p>
            <w:pPr>
              <w:spacing w:after="0"/>
              <w:rPr>
                <w:sz w:val="14"/>
                <w:szCs w:val="14"/>
                <w:color w:val="auto"/>
              </w:rPr>
            </w:pPr>
          </w:p>
        </w:tc>
        <w:tc>
          <w:tcPr>
            <w:tcW w:w="240" w:type="dxa"/>
            <w:vAlign w:val="bottom"/>
            <w:tcBorders>
              <w:top w:val="single" w:sz="8" w:color="221F1F"/>
            </w:tcBorders>
          </w:tcPr>
          <w:p>
            <w:pPr>
              <w:spacing w:after="0"/>
              <w:rPr>
                <w:sz w:val="14"/>
                <w:szCs w:val="14"/>
                <w:color w:val="auto"/>
              </w:rPr>
            </w:pPr>
          </w:p>
        </w:tc>
        <w:tc>
          <w:tcPr>
            <w:tcW w:w="140" w:type="dxa"/>
            <w:vAlign w:val="bottom"/>
            <w:tcBorders>
              <w:top w:val="single" w:sz="8" w:color="221F1F"/>
            </w:tcBorders>
          </w:tcPr>
          <w:p>
            <w:pPr>
              <w:spacing w:after="0"/>
              <w:rPr>
                <w:sz w:val="14"/>
                <w:szCs w:val="14"/>
                <w:color w:val="auto"/>
              </w:rPr>
            </w:pPr>
          </w:p>
        </w:tc>
        <w:tc>
          <w:tcPr>
            <w:tcW w:w="320" w:type="dxa"/>
            <w:vAlign w:val="bottom"/>
            <w:tcBorders>
              <w:top w:val="single" w:sz="8" w:color="221F1F"/>
            </w:tcBorders>
          </w:tcPr>
          <w:p>
            <w:pPr>
              <w:spacing w:after="0"/>
              <w:rPr>
                <w:sz w:val="14"/>
                <w:szCs w:val="14"/>
                <w:color w:val="auto"/>
              </w:rPr>
            </w:pPr>
          </w:p>
        </w:tc>
        <w:tc>
          <w:tcPr>
            <w:tcW w:w="100" w:type="dxa"/>
            <w:vAlign w:val="bottom"/>
            <w:tcBorders>
              <w:top w:val="single" w:sz="8" w:color="221F1F"/>
            </w:tcBorders>
          </w:tcPr>
          <w:p>
            <w:pPr>
              <w:spacing w:after="0"/>
              <w:rPr>
                <w:sz w:val="14"/>
                <w:szCs w:val="14"/>
                <w:color w:val="auto"/>
              </w:rPr>
            </w:pPr>
          </w:p>
        </w:tc>
        <w:tc>
          <w:tcPr>
            <w:tcW w:w="120" w:type="dxa"/>
            <w:vAlign w:val="bottom"/>
            <w:tcBorders>
              <w:top w:val="single" w:sz="8" w:color="221F1F"/>
            </w:tcBorders>
          </w:tcPr>
          <w:p>
            <w:pPr>
              <w:spacing w:after="0"/>
              <w:rPr>
                <w:sz w:val="14"/>
                <w:szCs w:val="14"/>
                <w:color w:val="auto"/>
              </w:rPr>
            </w:pPr>
          </w:p>
        </w:tc>
        <w:tc>
          <w:tcPr>
            <w:tcW w:w="540" w:type="dxa"/>
            <w:vAlign w:val="bottom"/>
            <w:tcBorders>
              <w:top w:val="single" w:sz="8" w:color="221F1F"/>
            </w:tcBorders>
          </w:tcPr>
          <w:p>
            <w:pPr>
              <w:spacing w:after="0"/>
              <w:rPr>
                <w:sz w:val="14"/>
                <w:szCs w:val="14"/>
                <w:color w:val="auto"/>
              </w:rPr>
            </w:pPr>
          </w:p>
        </w:tc>
        <w:tc>
          <w:tcPr>
            <w:tcW w:w="240" w:type="dxa"/>
            <w:vAlign w:val="bottom"/>
            <w:tcBorders>
              <w:top w:val="single" w:sz="8" w:color="221F1F"/>
            </w:tcBorders>
          </w:tcPr>
          <w:p>
            <w:pPr>
              <w:spacing w:after="0"/>
              <w:rPr>
                <w:sz w:val="14"/>
                <w:szCs w:val="14"/>
                <w:color w:val="auto"/>
              </w:rPr>
            </w:pPr>
          </w:p>
        </w:tc>
        <w:tc>
          <w:tcPr>
            <w:tcW w:w="320" w:type="dxa"/>
            <w:vAlign w:val="bottom"/>
            <w:tcBorders>
              <w:top w:val="single" w:sz="8" w:color="221F1F"/>
            </w:tcBorders>
          </w:tcPr>
          <w:p>
            <w:pPr>
              <w:spacing w:after="0"/>
              <w:rPr>
                <w:sz w:val="14"/>
                <w:szCs w:val="14"/>
                <w:color w:val="auto"/>
              </w:rPr>
            </w:pPr>
          </w:p>
        </w:tc>
        <w:tc>
          <w:tcPr>
            <w:tcW w:w="60" w:type="dxa"/>
            <w:vAlign w:val="bottom"/>
            <w:tcBorders>
              <w:top w:val="single" w:sz="8" w:color="221F1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221F1F"/>
              <w:bottom w:val="single" w:sz="8" w:color="auto"/>
            </w:tcBorders>
          </w:tcPr>
          <w:p>
            <w:pPr>
              <w:spacing w:after="0" w:line="20" w:lineRule="exact"/>
              <w:rPr>
                <w:sz w:val="1"/>
                <w:szCs w:val="1"/>
                <w:color w:val="auto"/>
              </w:rPr>
            </w:pPr>
          </w:p>
        </w:tc>
        <w:tc>
          <w:tcPr>
            <w:tcW w:w="80" w:type="dxa"/>
            <w:vAlign w:val="bottom"/>
            <w:tcBorders>
              <w:top w:val="single" w:sz="8" w:color="221F1F"/>
              <w:bottom w:val="single" w:sz="8" w:color="auto"/>
            </w:tcBorders>
          </w:tcPr>
          <w:p>
            <w:pPr>
              <w:spacing w:after="0" w:line="20" w:lineRule="exact"/>
              <w:rPr>
                <w:sz w:val="1"/>
                <w:szCs w:val="1"/>
                <w:color w:val="auto"/>
              </w:rPr>
            </w:pPr>
          </w:p>
        </w:tc>
        <w:tc>
          <w:tcPr>
            <w:tcW w:w="140" w:type="dxa"/>
            <w:vAlign w:val="bottom"/>
            <w:tcBorders>
              <w:top w:val="single" w:sz="8" w:color="221F1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221F1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40" w:type="dxa"/>
            <w:vAlign w:val="bottom"/>
            <w:tcBorders>
              <w:right w:val="single" w:sz="8" w:color="221F1F"/>
            </w:tcBorders>
            <w:gridSpan w:val="2"/>
            <w:vMerge w:val="restart"/>
          </w:tcPr>
          <w:p>
            <w:pPr>
              <w:ind w:left="80"/>
              <w:spacing w:after="0" w:line="209" w:lineRule="exact"/>
              <w:rPr>
                <w:sz w:val="20"/>
                <w:szCs w:val="20"/>
                <w:color w:val="auto"/>
              </w:rPr>
            </w:pPr>
            <w:r>
              <w:rPr>
                <w:rFonts w:ascii="Arial" w:cs="Arial" w:eastAsia="Arial" w:hAnsi="Arial"/>
                <w:sz w:val="22"/>
                <w:szCs w:val="22"/>
                <w:b w:val="1"/>
                <w:bCs w:val="1"/>
                <w:color w:val="221F1F"/>
                <w:w w:val="94"/>
              </w:rPr>
              <w:t>Name of person injured</w:t>
            </w:r>
          </w:p>
        </w:tc>
        <w:tc>
          <w:tcPr>
            <w:tcW w:w="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221F1F"/>
              </w:rPr>
              <w:t>Last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right w:val="single" w:sz="8" w:color="221F1F"/>
            </w:tcBorders>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3"/>
                <w:szCs w:val="13"/>
                <w:color w:val="221F1F"/>
                <w:w w:val="94"/>
              </w:rPr>
              <w:t>First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right w:val="single" w:sz="8" w:color="221F1F"/>
            </w:tcBorders>
          </w:tcPr>
          <w:p>
            <w:pPr>
              <w:spacing w:after="0"/>
              <w:rPr>
                <w:sz w:val="13"/>
                <w:szCs w:val="13"/>
                <w:color w:val="auto"/>
              </w:rPr>
            </w:pPr>
          </w:p>
        </w:tc>
        <w:tc>
          <w:tcPr>
            <w:tcW w:w="1040" w:type="dxa"/>
            <w:vAlign w:val="bottom"/>
          </w:tcPr>
          <w:p>
            <w:pPr>
              <w:ind w:left="140"/>
              <w:spacing w:after="0"/>
              <w:rPr>
                <w:sz w:val="20"/>
                <w:szCs w:val="20"/>
                <w:color w:val="auto"/>
              </w:rPr>
            </w:pPr>
            <w:r>
              <w:rPr>
                <w:rFonts w:ascii="Arial" w:cs="Arial" w:eastAsia="Arial" w:hAnsi="Arial"/>
                <w:sz w:val="13"/>
                <w:szCs w:val="13"/>
                <w:color w:val="221F1F"/>
              </w:rPr>
              <w:t>Middle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right w:val="single" w:sz="8" w:color="221F1F"/>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right w:val="single" w:sz="8" w:color="221F1F"/>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221F1F"/>
            </w:tcBorders>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right w:val="single" w:sz="8" w:color="221F1F"/>
            </w:tcBorders>
            <w:gridSpan w:val="2"/>
          </w:tcPr>
          <w:p>
            <w:pPr>
              <w:ind w:left="80"/>
              <w:spacing w:after="0" w:line="229" w:lineRule="exact"/>
              <w:rPr>
                <w:sz w:val="20"/>
                <w:szCs w:val="20"/>
                <w:color w:val="auto"/>
              </w:rPr>
            </w:pPr>
            <w:r>
              <w:rPr>
                <w:rFonts w:ascii="Arial" w:cs="Arial" w:eastAsia="Arial" w:hAnsi="Arial"/>
                <w:sz w:val="22"/>
                <w:szCs w:val="22"/>
                <w:b w:val="1"/>
                <w:bCs w:val="1"/>
                <w:color w:val="221F1F"/>
              </w:rPr>
              <w:t>if different than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right w:val="single" w:sz="8" w:color="221F1F"/>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right w:val="single" w:sz="8" w:color="221F1F"/>
            </w:tcBorders>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221F1F"/>
            </w:tcBorders>
          </w:tcPr>
          <w:p>
            <w:pPr>
              <w:spacing w:after="0"/>
              <w:rPr>
                <w:sz w:val="24"/>
                <w:szCs w:val="24"/>
                <w:color w:val="auto"/>
              </w:rPr>
            </w:pPr>
          </w:p>
        </w:tc>
        <w:tc>
          <w:tcPr>
            <w:tcW w:w="2440" w:type="dxa"/>
            <w:vAlign w:val="bottom"/>
            <w:tcBorders>
              <w:bottom w:val="single" w:sz="8" w:color="221F1F"/>
              <w:right w:val="single" w:sz="8" w:color="221F1F"/>
            </w:tcBorders>
            <w:gridSpan w:val="2"/>
          </w:tcPr>
          <w:p>
            <w:pPr>
              <w:ind w:left="80"/>
              <w:spacing w:after="0"/>
              <w:rPr>
                <w:sz w:val="20"/>
                <w:szCs w:val="20"/>
                <w:color w:val="auto"/>
              </w:rPr>
            </w:pPr>
            <w:r>
              <w:rPr>
                <w:rFonts w:ascii="Arial" w:cs="Arial" w:eastAsia="Arial" w:hAnsi="Arial"/>
                <w:sz w:val="22"/>
                <w:szCs w:val="22"/>
                <w:b w:val="1"/>
                <w:bCs w:val="1"/>
                <w:color w:val="221F1F"/>
              </w:rPr>
              <w:t>Claimant</w:t>
            </w:r>
          </w:p>
        </w:tc>
        <w:tc>
          <w:tcPr>
            <w:tcW w:w="80" w:type="dxa"/>
            <w:vAlign w:val="bottom"/>
            <w:tcBorders>
              <w:bottom w:val="single" w:sz="8" w:color="221F1F"/>
            </w:tcBorders>
          </w:tcPr>
          <w:p>
            <w:pPr>
              <w:spacing w:after="0"/>
              <w:rPr>
                <w:sz w:val="24"/>
                <w:szCs w:val="24"/>
                <w:color w:val="auto"/>
              </w:rPr>
            </w:pPr>
          </w:p>
        </w:tc>
        <w:tc>
          <w:tcPr>
            <w:tcW w:w="140" w:type="dxa"/>
            <w:vAlign w:val="bottom"/>
            <w:tcBorders>
              <w:bottom w:val="single" w:sz="8" w:color="221F1F"/>
            </w:tcBorders>
          </w:tcPr>
          <w:p>
            <w:pPr>
              <w:spacing w:after="0"/>
              <w:rPr>
                <w:sz w:val="24"/>
                <w:szCs w:val="24"/>
                <w:color w:val="auto"/>
              </w:rPr>
            </w:pPr>
          </w:p>
        </w:tc>
        <w:tc>
          <w:tcPr>
            <w:tcW w:w="260" w:type="dxa"/>
            <w:vAlign w:val="bottom"/>
            <w:tcBorders>
              <w:bottom w:val="single" w:sz="8" w:color="221F1F"/>
            </w:tcBorders>
          </w:tcPr>
          <w:p>
            <w:pPr>
              <w:spacing w:after="0"/>
              <w:rPr>
                <w:sz w:val="24"/>
                <w:szCs w:val="24"/>
                <w:color w:val="auto"/>
              </w:rPr>
            </w:pPr>
          </w:p>
        </w:tc>
        <w:tc>
          <w:tcPr>
            <w:tcW w:w="12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6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6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840" w:type="dxa"/>
            <w:vAlign w:val="bottom"/>
            <w:tcBorders>
              <w:bottom w:val="single" w:sz="8" w:color="221F1F"/>
            </w:tcBorders>
          </w:tcPr>
          <w:p>
            <w:pPr>
              <w:spacing w:after="0"/>
              <w:rPr>
                <w:sz w:val="24"/>
                <w:szCs w:val="24"/>
                <w:color w:val="auto"/>
              </w:rPr>
            </w:pPr>
          </w:p>
        </w:tc>
        <w:tc>
          <w:tcPr>
            <w:tcW w:w="320" w:type="dxa"/>
            <w:vAlign w:val="bottom"/>
            <w:tcBorders>
              <w:bottom w:val="single" w:sz="8" w:color="221F1F"/>
            </w:tcBorders>
          </w:tcPr>
          <w:p>
            <w:pPr>
              <w:spacing w:after="0"/>
              <w:rPr>
                <w:sz w:val="24"/>
                <w:szCs w:val="24"/>
                <w:color w:val="auto"/>
              </w:rPr>
            </w:pPr>
          </w:p>
        </w:tc>
        <w:tc>
          <w:tcPr>
            <w:tcW w:w="560" w:type="dxa"/>
            <w:vAlign w:val="bottom"/>
            <w:tcBorders>
              <w:bottom w:val="single" w:sz="8" w:color="221F1F"/>
            </w:tcBorders>
          </w:tcPr>
          <w:p>
            <w:pPr>
              <w:spacing w:after="0"/>
              <w:rPr>
                <w:sz w:val="24"/>
                <w:szCs w:val="24"/>
                <w:color w:val="auto"/>
              </w:rPr>
            </w:pPr>
          </w:p>
        </w:tc>
        <w:tc>
          <w:tcPr>
            <w:tcW w:w="120" w:type="dxa"/>
            <w:vAlign w:val="bottom"/>
            <w:tcBorders>
              <w:bottom w:val="single" w:sz="8" w:color="221F1F"/>
            </w:tcBorders>
          </w:tcPr>
          <w:p>
            <w:pPr>
              <w:spacing w:after="0"/>
              <w:rPr>
                <w:sz w:val="24"/>
                <w:szCs w:val="24"/>
                <w:color w:val="auto"/>
              </w:rPr>
            </w:pPr>
          </w:p>
        </w:tc>
        <w:tc>
          <w:tcPr>
            <w:tcW w:w="240" w:type="dxa"/>
            <w:vAlign w:val="bottom"/>
            <w:tcBorders>
              <w:bottom w:val="single" w:sz="8" w:color="221F1F"/>
            </w:tcBorders>
          </w:tcPr>
          <w:p>
            <w:pPr>
              <w:spacing w:after="0"/>
              <w:rPr>
                <w:sz w:val="24"/>
                <w:szCs w:val="24"/>
                <w:color w:val="auto"/>
              </w:rPr>
            </w:pPr>
          </w:p>
        </w:tc>
        <w:tc>
          <w:tcPr>
            <w:tcW w:w="140" w:type="dxa"/>
            <w:vAlign w:val="bottom"/>
            <w:tcBorders>
              <w:bottom w:val="single" w:sz="8" w:color="221F1F"/>
              <w:right w:val="single" w:sz="8" w:color="221F1F"/>
            </w:tcBorders>
          </w:tcPr>
          <w:p>
            <w:pPr>
              <w:spacing w:after="0"/>
              <w:rPr>
                <w:sz w:val="24"/>
                <w:szCs w:val="24"/>
                <w:color w:val="auto"/>
              </w:rPr>
            </w:pPr>
          </w:p>
        </w:tc>
        <w:tc>
          <w:tcPr>
            <w:tcW w:w="320" w:type="dxa"/>
            <w:vAlign w:val="bottom"/>
            <w:tcBorders>
              <w:bottom w:val="single" w:sz="8" w:color="221F1F"/>
            </w:tcBorders>
          </w:tcPr>
          <w:p>
            <w:pPr>
              <w:spacing w:after="0"/>
              <w:rPr>
                <w:sz w:val="24"/>
                <w:szCs w:val="24"/>
                <w:color w:val="auto"/>
              </w:rPr>
            </w:pPr>
          </w:p>
        </w:tc>
        <w:tc>
          <w:tcPr>
            <w:tcW w:w="100" w:type="dxa"/>
            <w:vAlign w:val="bottom"/>
            <w:tcBorders>
              <w:bottom w:val="single" w:sz="8" w:color="221F1F"/>
            </w:tcBorders>
          </w:tcPr>
          <w:p>
            <w:pPr>
              <w:spacing w:after="0"/>
              <w:rPr>
                <w:sz w:val="24"/>
                <w:szCs w:val="24"/>
                <w:color w:val="auto"/>
              </w:rPr>
            </w:pPr>
          </w:p>
        </w:tc>
        <w:tc>
          <w:tcPr>
            <w:tcW w:w="120" w:type="dxa"/>
            <w:vAlign w:val="bottom"/>
            <w:tcBorders>
              <w:bottom w:val="single" w:sz="8" w:color="221F1F"/>
            </w:tcBorders>
          </w:tcPr>
          <w:p>
            <w:pPr>
              <w:spacing w:after="0"/>
              <w:rPr>
                <w:sz w:val="24"/>
                <w:szCs w:val="24"/>
                <w:color w:val="auto"/>
              </w:rPr>
            </w:pPr>
          </w:p>
        </w:tc>
        <w:tc>
          <w:tcPr>
            <w:tcW w:w="540" w:type="dxa"/>
            <w:vAlign w:val="bottom"/>
            <w:tcBorders>
              <w:bottom w:val="single" w:sz="8" w:color="221F1F"/>
            </w:tcBorders>
          </w:tcPr>
          <w:p>
            <w:pPr>
              <w:spacing w:after="0"/>
              <w:rPr>
                <w:sz w:val="24"/>
                <w:szCs w:val="24"/>
                <w:color w:val="auto"/>
              </w:rPr>
            </w:pPr>
          </w:p>
        </w:tc>
        <w:tc>
          <w:tcPr>
            <w:tcW w:w="240" w:type="dxa"/>
            <w:vAlign w:val="bottom"/>
            <w:tcBorders>
              <w:bottom w:val="single" w:sz="8" w:color="221F1F"/>
            </w:tcBorders>
          </w:tcPr>
          <w:p>
            <w:pPr>
              <w:spacing w:after="0"/>
              <w:rPr>
                <w:sz w:val="24"/>
                <w:szCs w:val="24"/>
                <w:color w:val="auto"/>
              </w:rPr>
            </w:pPr>
          </w:p>
        </w:tc>
        <w:tc>
          <w:tcPr>
            <w:tcW w:w="320" w:type="dxa"/>
            <w:vAlign w:val="bottom"/>
            <w:tcBorders>
              <w:bottom w:val="single" w:sz="8" w:color="221F1F"/>
            </w:tcBorders>
          </w:tcPr>
          <w:p>
            <w:pPr>
              <w:spacing w:after="0"/>
              <w:rPr>
                <w:sz w:val="24"/>
                <w:szCs w:val="24"/>
                <w:color w:val="auto"/>
              </w:rPr>
            </w:pPr>
          </w:p>
        </w:tc>
        <w:tc>
          <w:tcPr>
            <w:tcW w:w="60" w:type="dxa"/>
            <w:vAlign w:val="bottom"/>
            <w:tcBorders>
              <w:bottom w:val="single" w:sz="8" w:color="221F1F"/>
            </w:tcBorders>
          </w:tcPr>
          <w:p>
            <w:pPr>
              <w:spacing w:after="0"/>
              <w:rPr>
                <w:sz w:val="24"/>
                <w:szCs w:val="24"/>
                <w:color w:val="auto"/>
              </w:rPr>
            </w:pPr>
          </w:p>
        </w:tc>
        <w:tc>
          <w:tcPr>
            <w:tcW w:w="100" w:type="dxa"/>
            <w:vAlign w:val="bottom"/>
            <w:tcBorders>
              <w:bottom w:val="single" w:sz="8" w:color="221F1F"/>
            </w:tcBorders>
          </w:tcPr>
          <w:p>
            <w:pPr>
              <w:spacing w:after="0"/>
              <w:rPr>
                <w:sz w:val="24"/>
                <w:szCs w:val="24"/>
                <w:color w:val="auto"/>
              </w:rPr>
            </w:pPr>
          </w:p>
        </w:tc>
        <w:tc>
          <w:tcPr>
            <w:tcW w:w="8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360" w:type="dxa"/>
            <w:vAlign w:val="bottom"/>
            <w:tcBorders>
              <w:bottom w:val="single" w:sz="8" w:color="221F1F"/>
              <w:right w:val="single" w:sz="8" w:color="221F1F"/>
            </w:tcBorders>
          </w:tcPr>
          <w:p>
            <w:pPr>
              <w:spacing w:after="0"/>
              <w:rPr>
                <w:sz w:val="24"/>
                <w:szCs w:val="24"/>
                <w:color w:val="auto"/>
              </w:rPr>
            </w:pPr>
          </w:p>
        </w:tc>
        <w:tc>
          <w:tcPr>
            <w:tcW w:w="1040" w:type="dxa"/>
            <w:vAlign w:val="bottom"/>
            <w:tcBorders>
              <w:bottom w:val="single" w:sz="8" w:color="221F1F"/>
            </w:tcBorders>
          </w:tcPr>
          <w:p>
            <w:pPr>
              <w:spacing w:after="0"/>
              <w:rPr>
                <w:sz w:val="24"/>
                <w:szCs w:val="24"/>
                <w:color w:val="auto"/>
              </w:rPr>
            </w:pPr>
          </w:p>
        </w:tc>
        <w:tc>
          <w:tcPr>
            <w:tcW w:w="20" w:type="dxa"/>
            <w:vAlign w:val="bottom"/>
            <w:tcBorders>
              <w:bottom w:val="single" w:sz="8" w:color="221F1F"/>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21F1F"/>
            </w:tcBorders>
          </w:tcPr>
          <w:p>
            <w:pPr>
              <w:spacing w:after="0"/>
              <w:rPr>
                <w:sz w:val="24"/>
                <w:szCs w:val="24"/>
                <w:color w:val="auto"/>
              </w:rPr>
            </w:pPr>
          </w:p>
        </w:tc>
        <w:tc>
          <w:tcPr>
            <w:tcW w:w="1960" w:type="dxa"/>
            <w:vAlign w:val="bottom"/>
            <w:tcBorders>
              <w:bottom w:val="single" w:sz="8" w:color="221F1F"/>
            </w:tcBorders>
            <w:shd w:val="clear" w:color="auto" w:fill="B7DEE8"/>
          </w:tcPr>
          <w:p>
            <w:pPr>
              <w:spacing w:after="0"/>
              <w:rPr>
                <w:sz w:val="24"/>
                <w:szCs w:val="24"/>
                <w:color w:val="auto"/>
              </w:rPr>
            </w:pPr>
          </w:p>
        </w:tc>
        <w:tc>
          <w:tcPr>
            <w:tcW w:w="480" w:type="dxa"/>
            <w:vAlign w:val="bottom"/>
            <w:tcBorders>
              <w:bottom w:val="single" w:sz="8" w:color="221F1F"/>
              <w:right w:val="single" w:sz="8" w:color="B7DEE8"/>
            </w:tcBorders>
            <w:shd w:val="clear" w:color="auto" w:fill="B7DEE8"/>
          </w:tcPr>
          <w:p>
            <w:pPr>
              <w:spacing w:after="0"/>
              <w:rPr>
                <w:sz w:val="24"/>
                <w:szCs w:val="24"/>
                <w:color w:val="auto"/>
              </w:rPr>
            </w:pPr>
          </w:p>
        </w:tc>
        <w:tc>
          <w:tcPr>
            <w:tcW w:w="80" w:type="dxa"/>
            <w:vAlign w:val="bottom"/>
            <w:tcBorders>
              <w:bottom w:val="single" w:sz="8" w:color="221F1F"/>
            </w:tcBorders>
            <w:shd w:val="clear" w:color="auto" w:fill="B7DEE8"/>
          </w:tcPr>
          <w:p>
            <w:pPr>
              <w:spacing w:after="0"/>
              <w:rPr>
                <w:sz w:val="24"/>
                <w:szCs w:val="24"/>
                <w:color w:val="auto"/>
              </w:rPr>
            </w:pPr>
          </w:p>
        </w:tc>
        <w:tc>
          <w:tcPr>
            <w:tcW w:w="140" w:type="dxa"/>
            <w:vAlign w:val="bottom"/>
            <w:tcBorders>
              <w:bottom w:val="single" w:sz="8" w:color="221F1F"/>
            </w:tcBorders>
            <w:shd w:val="clear" w:color="auto" w:fill="B7DEE8"/>
          </w:tcPr>
          <w:p>
            <w:pPr>
              <w:spacing w:after="0"/>
              <w:rPr>
                <w:sz w:val="24"/>
                <w:szCs w:val="24"/>
                <w:color w:val="auto"/>
              </w:rPr>
            </w:pPr>
          </w:p>
        </w:tc>
        <w:tc>
          <w:tcPr>
            <w:tcW w:w="260" w:type="dxa"/>
            <w:vAlign w:val="bottom"/>
            <w:tcBorders>
              <w:bottom w:val="single" w:sz="8" w:color="221F1F"/>
            </w:tcBorders>
            <w:shd w:val="clear" w:color="auto" w:fill="B7DEE8"/>
          </w:tcPr>
          <w:p>
            <w:pPr>
              <w:spacing w:after="0"/>
              <w:rPr>
                <w:sz w:val="24"/>
                <w:szCs w:val="24"/>
                <w:color w:val="auto"/>
              </w:rPr>
            </w:pPr>
          </w:p>
        </w:tc>
        <w:tc>
          <w:tcPr>
            <w:tcW w:w="120" w:type="dxa"/>
            <w:vAlign w:val="bottom"/>
            <w:tcBorders>
              <w:bottom w:val="single" w:sz="8" w:color="221F1F"/>
            </w:tcBorders>
            <w:shd w:val="clear" w:color="auto" w:fill="B7DEE8"/>
          </w:tcPr>
          <w:p>
            <w:pPr>
              <w:spacing w:after="0"/>
              <w:rPr>
                <w:sz w:val="24"/>
                <w:szCs w:val="24"/>
                <w:color w:val="auto"/>
              </w:rPr>
            </w:pPr>
          </w:p>
        </w:tc>
        <w:tc>
          <w:tcPr>
            <w:tcW w:w="200" w:type="dxa"/>
            <w:vAlign w:val="bottom"/>
            <w:tcBorders>
              <w:bottom w:val="single" w:sz="8" w:color="221F1F"/>
            </w:tcBorders>
            <w:shd w:val="clear" w:color="auto" w:fill="B7DEE8"/>
          </w:tcPr>
          <w:p>
            <w:pPr>
              <w:spacing w:after="0"/>
              <w:rPr>
                <w:sz w:val="24"/>
                <w:szCs w:val="24"/>
                <w:color w:val="auto"/>
              </w:rPr>
            </w:pPr>
          </w:p>
        </w:tc>
        <w:tc>
          <w:tcPr>
            <w:tcW w:w="60" w:type="dxa"/>
            <w:vAlign w:val="bottom"/>
            <w:tcBorders>
              <w:bottom w:val="single" w:sz="8" w:color="221F1F"/>
            </w:tcBorders>
            <w:shd w:val="clear" w:color="auto" w:fill="B7DEE8"/>
          </w:tcPr>
          <w:p>
            <w:pPr>
              <w:spacing w:after="0"/>
              <w:rPr>
                <w:sz w:val="24"/>
                <w:szCs w:val="24"/>
                <w:color w:val="auto"/>
              </w:rPr>
            </w:pPr>
          </w:p>
        </w:tc>
        <w:tc>
          <w:tcPr>
            <w:tcW w:w="3100" w:type="dxa"/>
            <w:vAlign w:val="bottom"/>
            <w:tcBorders>
              <w:bottom w:val="single" w:sz="8" w:color="221F1F"/>
            </w:tcBorders>
            <w:gridSpan w:val="11"/>
            <w:shd w:val="clear" w:color="auto" w:fill="B7DEE8"/>
          </w:tcPr>
          <w:p>
            <w:pPr>
              <w:spacing w:after="0"/>
              <w:rPr>
                <w:sz w:val="20"/>
                <w:szCs w:val="20"/>
                <w:color w:val="auto"/>
              </w:rPr>
            </w:pPr>
            <w:r>
              <w:rPr>
                <w:rFonts w:ascii="Arial" w:cs="Arial" w:eastAsia="Arial" w:hAnsi="Arial"/>
                <w:sz w:val="22"/>
                <w:szCs w:val="22"/>
                <w:b w:val="1"/>
                <w:bCs w:val="1"/>
                <w:color w:val="221F1F"/>
              </w:rPr>
              <w:t>ATTORNEY INFORMATION</w:t>
            </w:r>
          </w:p>
        </w:tc>
        <w:tc>
          <w:tcPr>
            <w:tcW w:w="120" w:type="dxa"/>
            <w:vAlign w:val="bottom"/>
            <w:tcBorders>
              <w:bottom w:val="single" w:sz="8" w:color="221F1F"/>
              <w:right w:val="single" w:sz="8" w:color="B7DEE8"/>
            </w:tcBorders>
            <w:shd w:val="clear" w:color="auto" w:fill="B7DEE8"/>
          </w:tcPr>
          <w:p>
            <w:pPr>
              <w:spacing w:after="0"/>
              <w:rPr>
                <w:sz w:val="24"/>
                <w:szCs w:val="24"/>
                <w:color w:val="auto"/>
              </w:rPr>
            </w:pPr>
          </w:p>
        </w:tc>
        <w:tc>
          <w:tcPr>
            <w:tcW w:w="540" w:type="dxa"/>
            <w:vAlign w:val="bottom"/>
            <w:tcBorders>
              <w:bottom w:val="single" w:sz="8" w:color="221F1F"/>
            </w:tcBorders>
            <w:shd w:val="clear" w:color="auto" w:fill="B7DEE8"/>
          </w:tcPr>
          <w:p>
            <w:pPr>
              <w:spacing w:after="0"/>
              <w:rPr>
                <w:sz w:val="24"/>
                <w:szCs w:val="24"/>
                <w:color w:val="auto"/>
              </w:rPr>
            </w:pPr>
          </w:p>
        </w:tc>
        <w:tc>
          <w:tcPr>
            <w:tcW w:w="240" w:type="dxa"/>
            <w:vAlign w:val="bottom"/>
            <w:tcBorders>
              <w:bottom w:val="single" w:sz="8" w:color="221F1F"/>
              <w:right w:val="single" w:sz="8" w:color="B7DEE8"/>
            </w:tcBorders>
            <w:shd w:val="clear" w:color="auto" w:fill="B7DEE8"/>
          </w:tcPr>
          <w:p>
            <w:pPr>
              <w:spacing w:after="0"/>
              <w:rPr>
                <w:sz w:val="24"/>
                <w:szCs w:val="24"/>
                <w:color w:val="auto"/>
              </w:rPr>
            </w:pPr>
          </w:p>
        </w:tc>
        <w:tc>
          <w:tcPr>
            <w:tcW w:w="320" w:type="dxa"/>
            <w:vAlign w:val="bottom"/>
            <w:tcBorders>
              <w:bottom w:val="single" w:sz="8" w:color="221F1F"/>
              <w:right w:val="single" w:sz="8" w:color="B7DEE8"/>
            </w:tcBorders>
            <w:shd w:val="clear" w:color="auto" w:fill="B7DEE8"/>
          </w:tcPr>
          <w:p>
            <w:pPr>
              <w:spacing w:after="0"/>
              <w:rPr>
                <w:sz w:val="24"/>
                <w:szCs w:val="24"/>
                <w:color w:val="auto"/>
              </w:rPr>
            </w:pPr>
          </w:p>
        </w:tc>
        <w:tc>
          <w:tcPr>
            <w:tcW w:w="60" w:type="dxa"/>
            <w:vAlign w:val="bottom"/>
            <w:tcBorders>
              <w:bottom w:val="single" w:sz="8" w:color="221F1F"/>
            </w:tcBorders>
            <w:shd w:val="clear" w:color="auto" w:fill="B7DEE8"/>
          </w:tcPr>
          <w:p>
            <w:pPr>
              <w:spacing w:after="0"/>
              <w:rPr>
                <w:sz w:val="24"/>
                <w:szCs w:val="24"/>
                <w:color w:val="auto"/>
              </w:rPr>
            </w:pPr>
          </w:p>
        </w:tc>
        <w:tc>
          <w:tcPr>
            <w:tcW w:w="100" w:type="dxa"/>
            <w:vAlign w:val="bottom"/>
            <w:tcBorders>
              <w:bottom w:val="single" w:sz="8" w:color="221F1F"/>
            </w:tcBorders>
            <w:shd w:val="clear" w:color="auto" w:fill="B7DEE8"/>
          </w:tcPr>
          <w:p>
            <w:pPr>
              <w:spacing w:after="0"/>
              <w:rPr>
                <w:sz w:val="24"/>
                <w:szCs w:val="24"/>
                <w:color w:val="auto"/>
              </w:rPr>
            </w:pPr>
          </w:p>
        </w:tc>
        <w:tc>
          <w:tcPr>
            <w:tcW w:w="80" w:type="dxa"/>
            <w:vAlign w:val="bottom"/>
            <w:tcBorders>
              <w:bottom w:val="single" w:sz="8" w:color="221F1F"/>
            </w:tcBorders>
            <w:shd w:val="clear" w:color="auto" w:fill="B7DEE8"/>
          </w:tcPr>
          <w:p>
            <w:pPr>
              <w:spacing w:after="0"/>
              <w:rPr>
                <w:sz w:val="24"/>
                <w:szCs w:val="24"/>
                <w:color w:val="auto"/>
              </w:rPr>
            </w:pPr>
          </w:p>
        </w:tc>
        <w:tc>
          <w:tcPr>
            <w:tcW w:w="200" w:type="dxa"/>
            <w:vAlign w:val="bottom"/>
            <w:tcBorders>
              <w:bottom w:val="single" w:sz="8" w:color="221F1F"/>
            </w:tcBorders>
            <w:shd w:val="clear" w:color="auto" w:fill="B7DEE8"/>
          </w:tcPr>
          <w:p>
            <w:pPr>
              <w:spacing w:after="0"/>
              <w:rPr>
                <w:sz w:val="24"/>
                <w:szCs w:val="24"/>
                <w:color w:val="auto"/>
              </w:rPr>
            </w:pPr>
          </w:p>
        </w:tc>
        <w:tc>
          <w:tcPr>
            <w:tcW w:w="360" w:type="dxa"/>
            <w:vAlign w:val="bottom"/>
            <w:tcBorders>
              <w:bottom w:val="single" w:sz="8" w:color="221F1F"/>
              <w:right w:val="single" w:sz="8" w:color="B7DEE8"/>
            </w:tcBorders>
            <w:shd w:val="clear" w:color="auto" w:fill="B7DEE8"/>
          </w:tcPr>
          <w:p>
            <w:pPr>
              <w:spacing w:after="0"/>
              <w:rPr>
                <w:sz w:val="24"/>
                <w:szCs w:val="24"/>
                <w:color w:val="auto"/>
              </w:rPr>
            </w:pPr>
          </w:p>
        </w:tc>
        <w:tc>
          <w:tcPr>
            <w:tcW w:w="1040" w:type="dxa"/>
            <w:vAlign w:val="bottom"/>
            <w:tcBorders>
              <w:bottom w:val="single" w:sz="8" w:color="221F1F"/>
              <w:right w:val="single" w:sz="8" w:color="B7DEE8"/>
            </w:tcBorders>
            <w:shd w:val="clear" w:color="auto" w:fill="B7DEE8"/>
          </w:tcPr>
          <w:p>
            <w:pPr>
              <w:spacing w:after="0"/>
              <w:rPr>
                <w:sz w:val="24"/>
                <w:szCs w:val="24"/>
                <w:color w:val="auto"/>
              </w:rPr>
            </w:pPr>
          </w:p>
        </w:tc>
        <w:tc>
          <w:tcPr>
            <w:tcW w:w="20" w:type="dxa"/>
            <w:vAlign w:val="bottom"/>
            <w:tcBorders>
              <w:bottom w:val="single" w:sz="8" w:color="221F1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tcBorders>
              <w:right w:val="single" w:sz="8" w:color="221F1F"/>
            </w:tcBorders>
            <w:gridSpan w:val="2"/>
            <w:vMerge w:val="restart"/>
          </w:tcPr>
          <w:p>
            <w:pPr>
              <w:ind w:left="160"/>
              <w:spacing w:after="0"/>
              <w:rPr>
                <w:sz w:val="20"/>
                <w:szCs w:val="20"/>
                <w:color w:val="auto"/>
              </w:rPr>
            </w:pPr>
            <w:r>
              <w:rPr>
                <w:rFonts w:ascii="Arial" w:cs="Arial" w:eastAsia="Arial" w:hAnsi="Arial"/>
                <w:sz w:val="22"/>
                <w:szCs w:val="22"/>
                <w:b w:val="1"/>
                <w:bCs w:val="1"/>
                <w:color w:val="221F1F"/>
              </w:rPr>
              <w:t>Attorney Name</w:t>
            </w:r>
          </w:p>
        </w:tc>
        <w:tc>
          <w:tcPr>
            <w:tcW w:w="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221F1F"/>
              </w:rPr>
              <w:t>Last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right w:val="single" w:sz="8" w:color="221F1F"/>
            </w:tcBorders>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3"/>
                <w:szCs w:val="13"/>
                <w:color w:val="221F1F"/>
                <w:w w:val="94"/>
              </w:rPr>
              <w:t>First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right w:val="single" w:sz="8" w:color="221F1F"/>
            </w:tcBorders>
          </w:tcPr>
          <w:p>
            <w:pPr>
              <w:spacing w:after="0"/>
              <w:rPr>
                <w:sz w:val="13"/>
                <w:szCs w:val="13"/>
                <w:color w:val="auto"/>
              </w:rPr>
            </w:pPr>
          </w:p>
        </w:tc>
        <w:tc>
          <w:tcPr>
            <w:tcW w:w="1040" w:type="dxa"/>
            <w:vAlign w:val="bottom"/>
          </w:tcPr>
          <w:p>
            <w:pPr>
              <w:ind w:left="160"/>
              <w:spacing w:after="0"/>
              <w:rPr>
                <w:sz w:val="20"/>
                <w:szCs w:val="20"/>
                <w:color w:val="auto"/>
              </w:rPr>
            </w:pPr>
            <w:r>
              <w:rPr>
                <w:rFonts w:ascii="Arial" w:cs="Arial" w:eastAsia="Arial" w:hAnsi="Arial"/>
                <w:sz w:val="13"/>
                <w:szCs w:val="13"/>
                <w:color w:val="221F1F"/>
              </w:rPr>
              <w:t>Middle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221F1F"/>
            </w:tcBorders>
          </w:tcPr>
          <w:p>
            <w:pPr>
              <w:spacing w:after="0"/>
              <w:rPr>
                <w:sz w:val="18"/>
                <w:szCs w:val="18"/>
                <w:color w:val="auto"/>
              </w:rPr>
            </w:pPr>
          </w:p>
        </w:tc>
        <w:tc>
          <w:tcPr>
            <w:tcW w:w="2440" w:type="dxa"/>
            <w:vAlign w:val="bottom"/>
            <w:tcBorders>
              <w:bottom w:val="single" w:sz="8" w:color="221F1F"/>
              <w:right w:val="single" w:sz="8" w:color="221F1F"/>
            </w:tcBorders>
            <w:gridSpan w:val="2"/>
            <w:vMerge w:val="continue"/>
          </w:tcPr>
          <w:p>
            <w:pPr>
              <w:spacing w:after="0"/>
              <w:rPr>
                <w:sz w:val="18"/>
                <w:szCs w:val="18"/>
                <w:color w:val="auto"/>
              </w:rPr>
            </w:pPr>
          </w:p>
        </w:tc>
        <w:tc>
          <w:tcPr>
            <w:tcW w:w="80" w:type="dxa"/>
            <w:vAlign w:val="bottom"/>
            <w:tcBorders>
              <w:bottom w:val="single" w:sz="8" w:color="221F1F"/>
            </w:tcBorders>
          </w:tcPr>
          <w:p>
            <w:pPr>
              <w:spacing w:after="0"/>
              <w:rPr>
                <w:sz w:val="18"/>
                <w:szCs w:val="18"/>
                <w:color w:val="auto"/>
              </w:rPr>
            </w:pPr>
          </w:p>
        </w:tc>
        <w:tc>
          <w:tcPr>
            <w:tcW w:w="140" w:type="dxa"/>
            <w:vAlign w:val="bottom"/>
            <w:tcBorders>
              <w:bottom w:val="single" w:sz="8" w:color="221F1F"/>
            </w:tcBorders>
          </w:tcPr>
          <w:p>
            <w:pPr>
              <w:spacing w:after="0"/>
              <w:rPr>
                <w:sz w:val="18"/>
                <w:szCs w:val="18"/>
                <w:color w:val="auto"/>
              </w:rPr>
            </w:pPr>
          </w:p>
        </w:tc>
        <w:tc>
          <w:tcPr>
            <w:tcW w:w="260" w:type="dxa"/>
            <w:vAlign w:val="bottom"/>
            <w:tcBorders>
              <w:bottom w:val="single" w:sz="8" w:color="221F1F"/>
            </w:tcBorders>
          </w:tcPr>
          <w:p>
            <w:pPr>
              <w:spacing w:after="0"/>
              <w:rPr>
                <w:sz w:val="18"/>
                <w:szCs w:val="18"/>
                <w:color w:val="auto"/>
              </w:rPr>
            </w:pPr>
          </w:p>
        </w:tc>
        <w:tc>
          <w:tcPr>
            <w:tcW w:w="120" w:type="dxa"/>
            <w:vAlign w:val="bottom"/>
            <w:tcBorders>
              <w:bottom w:val="single" w:sz="8" w:color="221F1F"/>
            </w:tcBorders>
          </w:tcPr>
          <w:p>
            <w:pPr>
              <w:spacing w:after="0"/>
              <w:rPr>
                <w:sz w:val="18"/>
                <w:szCs w:val="18"/>
                <w:color w:val="auto"/>
              </w:rPr>
            </w:pPr>
          </w:p>
        </w:tc>
        <w:tc>
          <w:tcPr>
            <w:tcW w:w="200" w:type="dxa"/>
            <w:vAlign w:val="bottom"/>
            <w:tcBorders>
              <w:bottom w:val="single" w:sz="8" w:color="221F1F"/>
            </w:tcBorders>
          </w:tcPr>
          <w:p>
            <w:pPr>
              <w:spacing w:after="0"/>
              <w:rPr>
                <w:sz w:val="18"/>
                <w:szCs w:val="18"/>
                <w:color w:val="auto"/>
              </w:rPr>
            </w:pPr>
          </w:p>
        </w:tc>
        <w:tc>
          <w:tcPr>
            <w:tcW w:w="60" w:type="dxa"/>
            <w:vAlign w:val="bottom"/>
            <w:tcBorders>
              <w:bottom w:val="single" w:sz="8" w:color="221F1F"/>
            </w:tcBorders>
          </w:tcPr>
          <w:p>
            <w:pPr>
              <w:spacing w:after="0"/>
              <w:rPr>
                <w:sz w:val="18"/>
                <w:szCs w:val="18"/>
                <w:color w:val="auto"/>
              </w:rPr>
            </w:pPr>
          </w:p>
        </w:tc>
        <w:tc>
          <w:tcPr>
            <w:tcW w:w="200" w:type="dxa"/>
            <w:vAlign w:val="bottom"/>
            <w:tcBorders>
              <w:bottom w:val="single" w:sz="8" w:color="221F1F"/>
            </w:tcBorders>
          </w:tcPr>
          <w:p>
            <w:pPr>
              <w:spacing w:after="0"/>
              <w:rPr>
                <w:sz w:val="18"/>
                <w:szCs w:val="18"/>
                <w:color w:val="auto"/>
              </w:rPr>
            </w:pPr>
          </w:p>
        </w:tc>
        <w:tc>
          <w:tcPr>
            <w:tcW w:w="60" w:type="dxa"/>
            <w:vAlign w:val="bottom"/>
            <w:tcBorders>
              <w:bottom w:val="single" w:sz="8" w:color="221F1F"/>
            </w:tcBorders>
          </w:tcPr>
          <w:p>
            <w:pPr>
              <w:spacing w:after="0"/>
              <w:rPr>
                <w:sz w:val="18"/>
                <w:szCs w:val="18"/>
                <w:color w:val="auto"/>
              </w:rPr>
            </w:pPr>
          </w:p>
        </w:tc>
        <w:tc>
          <w:tcPr>
            <w:tcW w:w="200" w:type="dxa"/>
            <w:vAlign w:val="bottom"/>
            <w:tcBorders>
              <w:bottom w:val="single" w:sz="8" w:color="221F1F"/>
            </w:tcBorders>
          </w:tcPr>
          <w:p>
            <w:pPr>
              <w:spacing w:after="0"/>
              <w:rPr>
                <w:sz w:val="18"/>
                <w:szCs w:val="18"/>
                <w:color w:val="auto"/>
              </w:rPr>
            </w:pPr>
          </w:p>
        </w:tc>
        <w:tc>
          <w:tcPr>
            <w:tcW w:w="840" w:type="dxa"/>
            <w:vAlign w:val="bottom"/>
            <w:tcBorders>
              <w:bottom w:val="single" w:sz="8" w:color="221F1F"/>
            </w:tcBorders>
          </w:tcPr>
          <w:p>
            <w:pPr>
              <w:spacing w:after="0"/>
              <w:rPr>
                <w:sz w:val="18"/>
                <w:szCs w:val="18"/>
                <w:color w:val="auto"/>
              </w:rPr>
            </w:pPr>
          </w:p>
        </w:tc>
        <w:tc>
          <w:tcPr>
            <w:tcW w:w="320" w:type="dxa"/>
            <w:vAlign w:val="bottom"/>
            <w:tcBorders>
              <w:bottom w:val="single" w:sz="8" w:color="221F1F"/>
            </w:tcBorders>
          </w:tcPr>
          <w:p>
            <w:pPr>
              <w:spacing w:after="0"/>
              <w:rPr>
                <w:sz w:val="18"/>
                <w:szCs w:val="18"/>
                <w:color w:val="auto"/>
              </w:rPr>
            </w:pPr>
          </w:p>
        </w:tc>
        <w:tc>
          <w:tcPr>
            <w:tcW w:w="560" w:type="dxa"/>
            <w:vAlign w:val="bottom"/>
            <w:tcBorders>
              <w:bottom w:val="single" w:sz="8" w:color="221F1F"/>
            </w:tcBorders>
          </w:tcPr>
          <w:p>
            <w:pPr>
              <w:spacing w:after="0"/>
              <w:rPr>
                <w:sz w:val="18"/>
                <w:szCs w:val="18"/>
                <w:color w:val="auto"/>
              </w:rPr>
            </w:pPr>
          </w:p>
        </w:tc>
        <w:tc>
          <w:tcPr>
            <w:tcW w:w="120" w:type="dxa"/>
            <w:vAlign w:val="bottom"/>
            <w:tcBorders>
              <w:bottom w:val="single" w:sz="8" w:color="221F1F"/>
            </w:tcBorders>
          </w:tcPr>
          <w:p>
            <w:pPr>
              <w:spacing w:after="0"/>
              <w:rPr>
                <w:sz w:val="18"/>
                <w:szCs w:val="18"/>
                <w:color w:val="auto"/>
              </w:rPr>
            </w:pPr>
          </w:p>
        </w:tc>
        <w:tc>
          <w:tcPr>
            <w:tcW w:w="240" w:type="dxa"/>
            <w:vAlign w:val="bottom"/>
            <w:tcBorders>
              <w:bottom w:val="single" w:sz="8" w:color="221F1F"/>
            </w:tcBorders>
          </w:tcPr>
          <w:p>
            <w:pPr>
              <w:spacing w:after="0"/>
              <w:rPr>
                <w:sz w:val="18"/>
                <w:szCs w:val="18"/>
                <w:color w:val="auto"/>
              </w:rPr>
            </w:pPr>
          </w:p>
        </w:tc>
        <w:tc>
          <w:tcPr>
            <w:tcW w:w="140" w:type="dxa"/>
            <w:vAlign w:val="bottom"/>
            <w:tcBorders>
              <w:bottom w:val="single" w:sz="8" w:color="221F1F"/>
              <w:right w:val="single" w:sz="8" w:color="221F1F"/>
            </w:tcBorders>
          </w:tcPr>
          <w:p>
            <w:pPr>
              <w:spacing w:after="0"/>
              <w:rPr>
                <w:sz w:val="18"/>
                <w:szCs w:val="18"/>
                <w:color w:val="auto"/>
              </w:rPr>
            </w:pPr>
          </w:p>
        </w:tc>
        <w:tc>
          <w:tcPr>
            <w:tcW w:w="320" w:type="dxa"/>
            <w:vAlign w:val="bottom"/>
            <w:tcBorders>
              <w:bottom w:val="single" w:sz="8" w:color="221F1F"/>
            </w:tcBorders>
          </w:tcPr>
          <w:p>
            <w:pPr>
              <w:spacing w:after="0"/>
              <w:rPr>
                <w:sz w:val="18"/>
                <w:szCs w:val="18"/>
                <w:color w:val="auto"/>
              </w:rPr>
            </w:pPr>
          </w:p>
        </w:tc>
        <w:tc>
          <w:tcPr>
            <w:tcW w:w="100" w:type="dxa"/>
            <w:vAlign w:val="bottom"/>
            <w:tcBorders>
              <w:bottom w:val="single" w:sz="8" w:color="221F1F"/>
            </w:tcBorders>
          </w:tcPr>
          <w:p>
            <w:pPr>
              <w:spacing w:after="0"/>
              <w:rPr>
                <w:sz w:val="18"/>
                <w:szCs w:val="18"/>
                <w:color w:val="auto"/>
              </w:rPr>
            </w:pPr>
          </w:p>
        </w:tc>
        <w:tc>
          <w:tcPr>
            <w:tcW w:w="120" w:type="dxa"/>
            <w:vAlign w:val="bottom"/>
            <w:tcBorders>
              <w:bottom w:val="single" w:sz="8" w:color="221F1F"/>
            </w:tcBorders>
          </w:tcPr>
          <w:p>
            <w:pPr>
              <w:spacing w:after="0"/>
              <w:rPr>
                <w:sz w:val="18"/>
                <w:szCs w:val="18"/>
                <w:color w:val="auto"/>
              </w:rPr>
            </w:pPr>
          </w:p>
        </w:tc>
        <w:tc>
          <w:tcPr>
            <w:tcW w:w="540" w:type="dxa"/>
            <w:vAlign w:val="bottom"/>
            <w:tcBorders>
              <w:bottom w:val="single" w:sz="8" w:color="221F1F"/>
            </w:tcBorders>
          </w:tcPr>
          <w:p>
            <w:pPr>
              <w:spacing w:after="0"/>
              <w:rPr>
                <w:sz w:val="18"/>
                <w:szCs w:val="18"/>
                <w:color w:val="auto"/>
              </w:rPr>
            </w:pPr>
          </w:p>
        </w:tc>
        <w:tc>
          <w:tcPr>
            <w:tcW w:w="240" w:type="dxa"/>
            <w:vAlign w:val="bottom"/>
            <w:tcBorders>
              <w:bottom w:val="single" w:sz="8" w:color="221F1F"/>
            </w:tcBorders>
          </w:tcPr>
          <w:p>
            <w:pPr>
              <w:spacing w:after="0"/>
              <w:rPr>
                <w:sz w:val="18"/>
                <w:szCs w:val="18"/>
                <w:color w:val="auto"/>
              </w:rPr>
            </w:pPr>
          </w:p>
        </w:tc>
        <w:tc>
          <w:tcPr>
            <w:tcW w:w="320" w:type="dxa"/>
            <w:vAlign w:val="bottom"/>
            <w:tcBorders>
              <w:bottom w:val="single" w:sz="8" w:color="221F1F"/>
            </w:tcBorders>
          </w:tcPr>
          <w:p>
            <w:pPr>
              <w:spacing w:after="0"/>
              <w:rPr>
                <w:sz w:val="18"/>
                <w:szCs w:val="18"/>
                <w:color w:val="auto"/>
              </w:rPr>
            </w:pPr>
          </w:p>
        </w:tc>
        <w:tc>
          <w:tcPr>
            <w:tcW w:w="60" w:type="dxa"/>
            <w:vAlign w:val="bottom"/>
            <w:tcBorders>
              <w:bottom w:val="single" w:sz="8" w:color="221F1F"/>
            </w:tcBorders>
          </w:tcPr>
          <w:p>
            <w:pPr>
              <w:spacing w:after="0"/>
              <w:rPr>
                <w:sz w:val="18"/>
                <w:szCs w:val="18"/>
                <w:color w:val="auto"/>
              </w:rPr>
            </w:pPr>
          </w:p>
        </w:tc>
        <w:tc>
          <w:tcPr>
            <w:tcW w:w="100" w:type="dxa"/>
            <w:vAlign w:val="bottom"/>
            <w:tcBorders>
              <w:bottom w:val="single" w:sz="8" w:color="221F1F"/>
            </w:tcBorders>
          </w:tcPr>
          <w:p>
            <w:pPr>
              <w:spacing w:after="0"/>
              <w:rPr>
                <w:sz w:val="18"/>
                <w:szCs w:val="18"/>
                <w:color w:val="auto"/>
              </w:rPr>
            </w:pPr>
          </w:p>
        </w:tc>
        <w:tc>
          <w:tcPr>
            <w:tcW w:w="80" w:type="dxa"/>
            <w:vAlign w:val="bottom"/>
            <w:tcBorders>
              <w:bottom w:val="single" w:sz="8" w:color="221F1F"/>
            </w:tcBorders>
          </w:tcPr>
          <w:p>
            <w:pPr>
              <w:spacing w:after="0"/>
              <w:rPr>
                <w:sz w:val="18"/>
                <w:szCs w:val="18"/>
                <w:color w:val="auto"/>
              </w:rPr>
            </w:pPr>
          </w:p>
        </w:tc>
        <w:tc>
          <w:tcPr>
            <w:tcW w:w="200" w:type="dxa"/>
            <w:vAlign w:val="bottom"/>
            <w:tcBorders>
              <w:bottom w:val="single" w:sz="8" w:color="221F1F"/>
            </w:tcBorders>
          </w:tcPr>
          <w:p>
            <w:pPr>
              <w:spacing w:after="0"/>
              <w:rPr>
                <w:sz w:val="18"/>
                <w:szCs w:val="18"/>
                <w:color w:val="auto"/>
              </w:rPr>
            </w:pPr>
          </w:p>
        </w:tc>
        <w:tc>
          <w:tcPr>
            <w:tcW w:w="360" w:type="dxa"/>
            <w:vAlign w:val="bottom"/>
            <w:tcBorders>
              <w:bottom w:val="single" w:sz="8" w:color="221F1F"/>
              <w:right w:val="single" w:sz="8" w:color="221F1F"/>
            </w:tcBorders>
          </w:tcPr>
          <w:p>
            <w:pPr>
              <w:spacing w:after="0"/>
              <w:rPr>
                <w:sz w:val="18"/>
                <w:szCs w:val="18"/>
                <w:color w:val="auto"/>
              </w:rPr>
            </w:pPr>
          </w:p>
        </w:tc>
        <w:tc>
          <w:tcPr>
            <w:tcW w:w="1040" w:type="dxa"/>
            <w:vAlign w:val="bottom"/>
            <w:tcBorders>
              <w:bottom w:val="single" w:sz="8" w:color="221F1F"/>
            </w:tcBorders>
          </w:tcPr>
          <w:p>
            <w:pPr>
              <w:spacing w:after="0"/>
              <w:rPr>
                <w:sz w:val="18"/>
                <w:szCs w:val="18"/>
                <w:color w:val="auto"/>
              </w:rPr>
            </w:pPr>
          </w:p>
        </w:tc>
        <w:tc>
          <w:tcPr>
            <w:tcW w:w="20" w:type="dxa"/>
            <w:vAlign w:val="bottom"/>
            <w:tcBorders>
              <w:bottom w:val="single" w:sz="8" w:color="221F1F"/>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Borders>
              <w:bottom w:val="single" w:sz="8" w:color="221F1F"/>
            </w:tcBorders>
          </w:tcPr>
          <w:p>
            <w:pPr>
              <w:spacing w:after="0"/>
              <w:rPr>
                <w:sz w:val="24"/>
                <w:szCs w:val="24"/>
                <w:color w:val="auto"/>
              </w:rPr>
            </w:pPr>
          </w:p>
        </w:tc>
        <w:tc>
          <w:tcPr>
            <w:tcW w:w="2440" w:type="dxa"/>
            <w:vAlign w:val="bottom"/>
            <w:tcBorders>
              <w:bottom w:val="single" w:sz="8" w:color="221F1F"/>
              <w:right w:val="single" w:sz="8" w:color="221F1F"/>
            </w:tcBorders>
            <w:gridSpan w:val="2"/>
          </w:tcPr>
          <w:p>
            <w:pPr>
              <w:ind w:left="160"/>
              <w:spacing w:after="0"/>
              <w:rPr>
                <w:sz w:val="20"/>
                <w:szCs w:val="20"/>
                <w:color w:val="auto"/>
              </w:rPr>
            </w:pPr>
            <w:r>
              <w:rPr>
                <w:rFonts w:ascii="Arial" w:cs="Arial" w:eastAsia="Arial" w:hAnsi="Arial"/>
                <w:sz w:val="22"/>
                <w:szCs w:val="22"/>
                <w:b w:val="1"/>
                <w:bCs w:val="1"/>
                <w:color w:val="221F1F"/>
              </w:rPr>
              <w:t>Firm Name</w:t>
            </w:r>
          </w:p>
        </w:tc>
        <w:tc>
          <w:tcPr>
            <w:tcW w:w="80" w:type="dxa"/>
            <w:vAlign w:val="bottom"/>
            <w:tcBorders>
              <w:bottom w:val="single" w:sz="8" w:color="221F1F"/>
            </w:tcBorders>
          </w:tcPr>
          <w:p>
            <w:pPr>
              <w:spacing w:after="0"/>
              <w:rPr>
                <w:sz w:val="24"/>
                <w:szCs w:val="24"/>
                <w:color w:val="auto"/>
              </w:rPr>
            </w:pPr>
          </w:p>
        </w:tc>
        <w:tc>
          <w:tcPr>
            <w:tcW w:w="140" w:type="dxa"/>
            <w:vAlign w:val="bottom"/>
            <w:tcBorders>
              <w:bottom w:val="single" w:sz="8" w:color="221F1F"/>
            </w:tcBorders>
          </w:tcPr>
          <w:p>
            <w:pPr>
              <w:spacing w:after="0"/>
              <w:rPr>
                <w:sz w:val="24"/>
                <w:szCs w:val="24"/>
                <w:color w:val="auto"/>
              </w:rPr>
            </w:pPr>
          </w:p>
        </w:tc>
        <w:tc>
          <w:tcPr>
            <w:tcW w:w="260" w:type="dxa"/>
            <w:vAlign w:val="bottom"/>
            <w:tcBorders>
              <w:bottom w:val="single" w:sz="8" w:color="221F1F"/>
            </w:tcBorders>
          </w:tcPr>
          <w:p>
            <w:pPr>
              <w:spacing w:after="0"/>
              <w:rPr>
                <w:sz w:val="24"/>
                <w:szCs w:val="24"/>
                <w:color w:val="auto"/>
              </w:rPr>
            </w:pPr>
          </w:p>
        </w:tc>
        <w:tc>
          <w:tcPr>
            <w:tcW w:w="12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6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6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840" w:type="dxa"/>
            <w:vAlign w:val="bottom"/>
            <w:tcBorders>
              <w:bottom w:val="single" w:sz="8" w:color="221F1F"/>
            </w:tcBorders>
          </w:tcPr>
          <w:p>
            <w:pPr>
              <w:spacing w:after="0"/>
              <w:rPr>
                <w:sz w:val="24"/>
                <w:szCs w:val="24"/>
                <w:color w:val="auto"/>
              </w:rPr>
            </w:pPr>
          </w:p>
        </w:tc>
        <w:tc>
          <w:tcPr>
            <w:tcW w:w="320" w:type="dxa"/>
            <w:vAlign w:val="bottom"/>
            <w:tcBorders>
              <w:bottom w:val="single" w:sz="8" w:color="221F1F"/>
            </w:tcBorders>
          </w:tcPr>
          <w:p>
            <w:pPr>
              <w:spacing w:after="0"/>
              <w:rPr>
                <w:sz w:val="24"/>
                <w:szCs w:val="24"/>
                <w:color w:val="auto"/>
              </w:rPr>
            </w:pPr>
          </w:p>
        </w:tc>
        <w:tc>
          <w:tcPr>
            <w:tcW w:w="560" w:type="dxa"/>
            <w:vAlign w:val="bottom"/>
            <w:tcBorders>
              <w:bottom w:val="single" w:sz="8" w:color="221F1F"/>
            </w:tcBorders>
          </w:tcPr>
          <w:p>
            <w:pPr>
              <w:spacing w:after="0"/>
              <w:rPr>
                <w:sz w:val="24"/>
                <w:szCs w:val="24"/>
                <w:color w:val="auto"/>
              </w:rPr>
            </w:pPr>
          </w:p>
        </w:tc>
        <w:tc>
          <w:tcPr>
            <w:tcW w:w="120" w:type="dxa"/>
            <w:vAlign w:val="bottom"/>
            <w:tcBorders>
              <w:bottom w:val="single" w:sz="8" w:color="221F1F"/>
            </w:tcBorders>
          </w:tcPr>
          <w:p>
            <w:pPr>
              <w:spacing w:after="0"/>
              <w:rPr>
                <w:sz w:val="24"/>
                <w:szCs w:val="24"/>
                <w:color w:val="auto"/>
              </w:rPr>
            </w:pPr>
          </w:p>
        </w:tc>
        <w:tc>
          <w:tcPr>
            <w:tcW w:w="240" w:type="dxa"/>
            <w:vAlign w:val="bottom"/>
            <w:tcBorders>
              <w:bottom w:val="single" w:sz="8" w:color="221F1F"/>
            </w:tcBorders>
          </w:tcPr>
          <w:p>
            <w:pPr>
              <w:spacing w:after="0"/>
              <w:rPr>
                <w:sz w:val="24"/>
                <w:szCs w:val="24"/>
                <w:color w:val="auto"/>
              </w:rPr>
            </w:pPr>
          </w:p>
        </w:tc>
        <w:tc>
          <w:tcPr>
            <w:tcW w:w="140" w:type="dxa"/>
            <w:vAlign w:val="bottom"/>
            <w:tcBorders>
              <w:bottom w:val="single" w:sz="8" w:color="221F1F"/>
            </w:tcBorders>
          </w:tcPr>
          <w:p>
            <w:pPr>
              <w:spacing w:after="0"/>
              <w:rPr>
                <w:sz w:val="24"/>
                <w:szCs w:val="24"/>
                <w:color w:val="auto"/>
              </w:rPr>
            </w:pPr>
          </w:p>
        </w:tc>
        <w:tc>
          <w:tcPr>
            <w:tcW w:w="320" w:type="dxa"/>
            <w:vAlign w:val="bottom"/>
            <w:tcBorders>
              <w:bottom w:val="single" w:sz="8" w:color="221F1F"/>
            </w:tcBorders>
          </w:tcPr>
          <w:p>
            <w:pPr>
              <w:spacing w:after="0"/>
              <w:rPr>
                <w:sz w:val="24"/>
                <w:szCs w:val="24"/>
                <w:color w:val="auto"/>
              </w:rPr>
            </w:pPr>
          </w:p>
        </w:tc>
        <w:tc>
          <w:tcPr>
            <w:tcW w:w="100" w:type="dxa"/>
            <w:vAlign w:val="bottom"/>
            <w:tcBorders>
              <w:bottom w:val="single" w:sz="8" w:color="221F1F"/>
            </w:tcBorders>
          </w:tcPr>
          <w:p>
            <w:pPr>
              <w:spacing w:after="0"/>
              <w:rPr>
                <w:sz w:val="24"/>
                <w:szCs w:val="24"/>
                <w:color w:val="auto"/>
              </w:rPr>
            </w:pPr>
          </w:p>
        </w:tc>
        <w:tc>
          <w:tcPr>
            <w:tcW w:w="120" w:type="dxa"/>
            <w:vAlign w:val="bottom"/>
            <w:tcBorders>
              <w:bottom w:val="single" w:sz="8" w:color="221F1F"/>
            </w:tcBorders>
          </w:tcPr>
          <w:p>
            <w:pPr>
              <w:spacing w:after="0"/>
              <w:rPr>
                <w:sz w:val="24"/>
                <w:szCs w:val="24"/>
                <w:color w:val="auto"/>
              </w:rPr>
            </w:pPr>
          </w:p>
        </w:tc>
        <w:tc>
          <w:tcPr>
            <w:tcW w:w="540" w:type="dxa"/>
            <w:vAlign w:val="bottom"/>
            <w:tcBorders>
              <w:bottom w:val="single" w:sz="8" w:color="221F1F"/>
            </w:tcBorders>
          </w:tcPr>
          <w:p>
            <w:pPr>
              <w:spacing w:after="0"/>
              <w:rPr>
                <w:sz w:val="24"/>
                <w:szCs w:val="24"/>
                <w:color w:val="auto"/>
              </w:rPr>
            </w:pPr>
          </w:p>
        </w:tc>
        <w:tc>
          <w:tcPr>
            <w:tcW w:w="240" w:type="dxa"/>
            <w:vAlign w:val="bottom"/>
            <w:tcBorders>
              <w:bottom w:val="single" w:sz="8" w:color="221F1F"/>
            </w:tcBorders>
          </w:tcPr>
          <w:p>
            <w:pPr>
              <w:spacing w:after="0"/>
              <w:rPr>
                <w:sz w:val="24"/>
                <w:szCs w:val="24"/>
                <w:color w:val="auto"/>
              </w:rPr>
            </w:pPr>
          </w:p>
        </w:tc>
        <w:tc>
          <w:tcPr>
            <w:tcW w:w="320" w:type="dxa"/>
            <w:vAlign w:val="bottom"/>
            <w:tcBorders>
              <w:bottom w:val="single" w:sz="8" w:color="221F1F"/>
            </w:tcBorders>
          </w:tcPr>
          <w:p>
            <w:pPr>
              <w:spacing w:after="0"/>
              <w:rPr>
                <w:sz w:val="24"/>
                <w:szCs w:val="24"/>
                <w:color w:val="auto"/>
              </w:rPr>
            </w:pPr>
          </w:p>
        </w:tc>
        <w:tc>
          <w:tcPr>
            <w:tcW w:w="60" w:type="dxa"/>
            <w:vAlign w:val="bottom"/>
            <w:tcBorders>
              <w:bottom w:val="single" w:sz="8" w:color="221F1F"/>
            </w:tcBorders>
          </w:tcPr>
          <w:p>
            <w:pPr>
              <w:spacing w:after="0"/>
              <w:rPr>
                <w:sz w:val="24"/>
                <w:szCs w:val="24"/>
                <w:color w:val="auto"/>
              </w:rPr>
            </w:pPr>
          </w:p>
        </w:tc>
        <w:tc>
          <w:tcPr>
            <w:tcW w:w="100" w:type="dxa"/>
            <w:vAlign w:val="bottom"/>
            <w:tcBorders>
              <w:bottom w:val="single" w:sz="8" w:color="221F1F"/>
            </w:tcBorders>
          </w:tcPr>
          <w:p>
            <w:pPr>
              <w:spacing w:after="0"/>
              <w:rPr>
                <w:sz w:val="24"/>
                <w:szCs w:val="24"/>
                <w:color w:val="auto"/>
              </w:rPr>
            </w:pPr>
          </w:p>
        </w:tc>
        <w:tc>
          <w:tcPr>
            <w:tcW w:w="80" w:type="dxa"/>
            <w:vAlign w:val="bottom"/>
            <w:tcBorders>
              <w:bottom w:val="single" w:sz="8" w:color="221F1F"/>
            </w:tcBorders>
          </w:tcPr>
          <w:p>
            <w:pPr>
              <w:spacing w:after="0"/>
              <w:rPr>
                <w:sz w:val="24"/>
                <w:szCs w:val="24"/>
                <w:color w:val="auto"/>
              </w:rPr>
            </w:pPr>
          </w:p>
        </w:tc>
        <w:tc>
          <w:tcPr>
            <w:tcW w:w="200" w:type="dxa"/>
            <w:vAlign w:val="bottom"/>
            <w:tcBorders>
              <w:bottom w:val="single" w:sz="8" w:color="221F1F"/>
            </w:tcBorders>
          </w:tcPr>
          <w:p>
            <w:pPr>
              <w:spacing w:after="0"/>
              <w:rPr>
                <w:sz w:val="24"/>
                <w:szCs w:val="24"/>
                <w:color w:val="auto"/>
              </w:rPr>
            </w:pPr>
          </w:p>
        </w:tc>
        <w:tc>
          <w:tcPr>
            <w:tcW w:w="360" w:type="dxa"/>
            <w:vAlign w:val="bottom"/>
            <w:tcBorders>
              <w:bottom w:val="single" w:sz="8" w:color="221F1F"/>
            </w:tcBorders>
          </w:tcPr>
          <w:p>
            <w:pPr>
              <w:spacing w:after="0"/>
              <w:rPr>
                <w:sz w:val="24"/>
                <w:szCs w:val="24"/>
                <w:color w:val="auto"/>
              </w:rPr>
            </w:pPr>
          </w:p>
        </w:tc>
        <w:tc>
          <w:tcPr>
            <w:tcW w:w="1040" w:type="dxa"/>
            <w:vAlign w:val="bottom"/>
            <w:tcBorders>
              <w:bottom w:val="single" w:sz="8" w:color="221F1F"/>
            </w:tcBorders>
          </w:tcPr>
          <w:p>
            <w:pPr>
              <w:spacing w:after="0"/>
              <w:rPr>
                <w:sz w:val="24"/>
                <w:szCs w:val="24"/>
                <w:color w:val="auto"/>
              </w:rPr>
            </w:pPr>
          </w:p>
        </w:tc>
        <w:tc>
          <w:tcPr>
            <w:tcW w:w="20" w:type="dxa"/>
            <w:vAlign w:val="bottom"/>
            <w:tcBorders>
              <w:bottom w:val="single" w:sz="8" w:color="221F1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Borders>
              <w:right w:val="single" w:sz="8" w:color="221F1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221F1F"/>
                <w:w w:val="97"/>
              </w:rPr>
              <w:t>Street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Borders>
              <w:right w:val="single" w:sz="8" w:color="221F1F"/>
            </w:tcBorders>
          </w:tcPr>
          <w:p>
            <w:pPr>
              <w:spacing w:after="0"/>
              <w:rPr>
                <w:sz w:val="13"/>
                <w:szCs w:val="13"/>
                <w:color w:val="auto"/>
              </w:rPr>
            </w:pPr>
          </w:p>
        </w:tc>
        <w:tc>
          <w:tcPr>
            <w:tcW w:w="80" w:type="dxa"/>
            <w:vAlign w:val="bottom"/>
            <w:tcBorders>
              <w:bottom w:val="single" w:sz="8" w:color="221F1F"/>
            </w:tcBorders>
          </w:tcPr>
          <w:p>
            <w:pPr>
              <w:spacing w:after="0"/>
              <w:rPr>
                <w:sz w:val="13"/>
                <w:szCs w:val="13"/>
                <w:color w:val="auto"/>
              </w:rPr>
            </w:pPr>
          </w:p>
        </w:tc>
        <w:tc>
          <w:tcPr>
            <w:tcW w:w="140" w:type="dxa"/>
            <w:vAlign w:val="bottom"/>
            <w:tcBorders>
              <w:bottom w:val="single" w:sz="8" w:color="221F1F"/>
            </w:tcBorders>
          </w:tcPr>
          <w:p>
            <w:pPr>
              <w:spacing w:after="0"/>
              <w:rPr>
                <w:sz w:val="13"/>
                <w:szCs w:val="13"/>
                <w:color w:val="auto"/>
              </w:rPr>
            </w:pPr>
          </w:p>
        </w:tc>
        <w:tc>
          <w:tcPr>
            <w:tcW w:w="260" w:type="dxa"/>
            <w:vAlign w:val="bottom"/>
            <w:tcBorders>
              <w:bottom w:val="single" w:sz="8" w:color="221F1F"/>
            </w:tcBorders>
          </w:tcPr>
          <w:p>
            <w:pPr>
              <w:spacing w:after="0"/>
              <w:rPr>
                <w:sz w:val="13"/>
                <w:szCs w:val="13"/>
                <w:color w:val="auto"/>
              </w:rPr>
            </w:pPr>
          </w:p>
        </w:tc>
        <w:tc>
          <w:tcPr>
            <w:tcW w:w="120" w:type="dxa"/>
            <w:vAlign w:val="bottom"/>
            <w:tcBorders>
              <w:bottom w:val="single" w:sz="8" w:color="221F1F"/>
            </w:tcBorders>
          </w:tcPr>
          <w:p>
            <w:pPr>
              <w:spacing w:after="0"/>
              <w:rPr>
                <w:sz w:val="13"/>
                <w:szCs w:val="13"/>
                <w:color w:val="auto"/>
              </w:rPr>
            </w:pPr>
          </w:p>
        </w:tc>
        <w:tc>
          <w:tcPr>
            <w:tcW w:w="200" w:type="dxa"/>
            <w:vAlign w:val="bottom"/>
            <w:tcBorders>
              <w:bottom w:val="single" w:sz="8" w:color="221F1F"/>
            </w:tcBorders>
          </w:tcPr>
          <w:p>
            <w:pPr>
              <w:spacing w:after="0"/>
              <w:rPr>
                <w:sz w:val="13"/>
                <w:szCs w:val="13"/>
                <w:color w:val="auto"/>
              </w:rPr>
            </w:pPr>
          </w:p>
        </w:tc>
        <w:tc>
          <w:tcPr>
            <w:tcW w:w="60" w:type="dxa"/>
            <w:vAlign w:val="bottom"/>
            <w:tcBorders>
              <w:bottom w:val="single" w:sz="8" w:color="221F1F"/>
            </w:tcBorders>
          </w:tcPr>
          <w:p>
            <w:pPr>
              <w:spacing w:after="0"/>
              <w:rPr>
                <w:sz w:val="13"/>
                <w:szCs w:val="13"/>
                <w:color w:val="auto"/>
              </w:rPr>
            </w:pPr>
          </w:p>
        </w:tc>
        <w:tc>
          <w:tcPr>
            <w:tcW w:w="200" w:type="dxa"/>
            <w:vAlign w:val="bottom"/>
            <w:tcBorders>
              <w:bottom w:val="single" w:sz="8" w:color="221F1F"/>
            </w:tcBorders>
          </w:tcPr>
          <w:p>
            <w:pPr>
              <w:spacing w:after="0"/>
              <w:rPr>
                <w:sz w:val="13"/>
                <w:szCs w:val="13"/>
                <w:color w:val="auto"/>
              </w:rPr>
            </w:pPr>
          </w:p>
        </w:tc>
        <w:tc>
          <w:tcPr>
            <w:tcW w:w="60" w:type="dxa"/>
            <w:vAlign w:val="bottom"/>
            <w:tcBorders>
              <w:bottom w:val="single" w:sz="8" w:color="221F1F"/>
            </w:tcBorders>
          </w:tcPr>
          <w:p>
            <w:pPr>
              <w:spacing w:after="0"/>
              <w:rPr>
                <w:sz w:val="13"/>
                <w:szCs w:val="13"/>
                <w:color w:val="auto"/>
              </w:rPr>
            </w:pPr>
          </w:p>
        </w:tc>
        <w:tc>
          <w:tcPr>
            <w:tcW w:w="200" w:type="dxa"/>
            <w:vAlign w:val="bottom"/>
            <w:tcBorders>
              <w:bottom w:val="single" w:sz="8" w:color="221F1F"/>
            </w:tcBorders>
          </w:tcPr>
          <w:p>
            <w:pPr>
              <w:spacing w:after="0"/>
              <w:rPr>
                <w:sz w:val="13"/>
                <w:szCs w:val="13"/>
                <w:color w:val="auto"/>
              </w:rPr>
            </w:pPr>
          </w:p>
        </w:tc>
        <w:tc>
          <w:tcPr>
            <w:tcW w:w="840" w:type="dxa"/>
            <w:vAlign w:val="bottom"/>
            <w:tcBorders>
              <w:bottom w:val="single" w:sz="8" w:color="221F1F"/>
            </w:tcBorders>
          </w:tcPr>
          <w:p>
            <w:pPr>
              <w:spacing w:after="0"/>
              <w:rPr>
                <w:sz w:val="13"/>
                <w:szCs w:val="13"/>
                <w:color w:val="auto"/>
              </w:rPr>
            </w:pPr>
          </w:p>
        </w:tc>
        <w:tc>
          <w:tcPr>
            <w:tcW w:w="320" w:type="dxa"/>
            <w:vAlign w:val="bottom"/>
            <w:tcBorders>
              <w:bottom w:val="single" w:sz="8" w:color="221F1F"/>
            </w:tcBorders>
          </w:tcPr>
          <w:p>
            <w:pPr>
              <w:spacing w:after="0"/>
              <w:rPr>
                <w:sz w:val="13"/>
                <w:szCs w:val="13"/>
                <w:color w:val="auto"/>
              </w:rPr>
            </w:pPr>
          </w:p>
        </w:tc>
        <w:tc>
          <w:tcPr>
            <w:tcW w:w="560" w:type="dxa"/>
            <w:vAlign w:val="bottom"/>
            <w:tcBorders>
              <w:bottom w:val="single" w:sz="8" w:color="221F1F"/>
            </w:tcBorders>
          </w:tcPr>
          <w:p>
            <w:pPr>
              <w:spacing w:after="0"/>
              <w:rPr>
                <w:sz w:val="13"/>
                <w:szCs w:val="13"/>
                <w:color w:val="auto"/>
              </w:rPr>
            </w:pPr>
          </w:p>
        </w:tc>
        <w:tc>
          <w:tcPr>
            <w:tcW w:w="120" w:type="dxa"/>
            <w:vAlign w:val="bottom"/>
            <w:tcBorders>
              <w:bottom w:val="single" w:sz="8" w:color="221F1F"/>
            </w:tcBorders>
          </w:tcPr>
          <w:p>
            <w:pPr>
              <w:spacing w:after="0"/>
              <w:rPr>
                <w:sz w:val="13"/>
                <w:szCs w:val="13"/>
                <w:color w:val="auto"/>
              </w:rPr>
            </w:pPr>
          </w:p>
        </w:tc>
        <w:tc>
          <w:tcPr>
            <w:tcW w:w="240" w:type="dxa"/>
            <w:vAlign w:val="bottom"/>
            <w:tcBorders>
              <w:bottom w:val="single" w:sz="8" w:color="221F1F"/>
            </w:tcBorders>
          </w:tcPr>
          <w:p>
            <w:pPr>
              <w:spacing w:after="0"/>
              <w:rPr>
                <w:sz w:val="13"/>
                <w:szCs w:val="13"/>
                <w:color w:val="auto"/>
              </w:rPr>
            </w:pPr>
          </w:p>
        </w:tc>
        <w:tc>
          <w:tcPr>
            <w:tcW w:w="140" w:type="dxa"/>
            <w:vAlign w:val="bottom"/>
            <w:tcBorders>
              <w:bottom w:val="single" w:sz="8" w:color="221F1F"/>
            </w:tcBorders>
          </w:tcPr>
          <w:p>
            <w:pPr>
              <w:spacing w:after="0"/>
              <w:rPr>
                <w:sz w:val="13"/>
                <w:szCs w:val="13"/>
                <w:color w:val="auto"/>
              </w:rPr>
            </w:pPr>
          </w:p>
        </w:tc>
        <w:tc>
          <w:tcPr>
            <w:tcW w:w="320" w:type="dxa"/>
            <w:vAlign w:val="bottom"/>
            <w:tcBorders>
              <w:bottom w:val="single" w:sz="8" w:color="221F1F"/>
            </w:tcBorders>
          </w:tcPr>
          <w:p>
            <w:pPr>
              <w:spacing w:after="0"/>
              <w:rPr>
                <w:sz w:val="13"/>
                <w:szCs w:val="13"/>
                <w:color w:val="auto"/>
              </w:rPr>
            </w:pPr>
          </w:p>
        </w:tc>
        <w:tc>
          <w:tcPr>
            <w:tcW w:w="100" w:type="dxa"/>
            <w:vAlign w:val="bottom"/>
            <w:tcBorders>
              <w:bottom w:val="single" w:sz="8" w:color="221F1F"/>
            </w:tcBorders>
          </w:tcPr>
          <w:p>
            <w:pPr>
              <w:spacing w:after="0"/>
              <w:rPr>
                <w:sz w:val="13"/>
                <w:szCs w:val="13"/>
                <w:color w:val="auto"/>
              </w:rPr>
            </w:pPr>
          </w:p>
        </w:tc>
        <w:tc>
          <w:tcPr>
            <w:tcW w:w="120" w:type="dxa"/>
            <w:vAlign w:val="bottom"/>
            <w:tcBorders>
              <w:bottom w:val="single" w:sz="8" w:color="221F1F"/>
            </w:tcBorders>
          </w:tcPr>
          <w:p>
            <w:pPr>
              <w:spacing w:after="0"/>
              <w:rPr>
                <w:sz w:val="13"/>
                <w:szCs w:val="13"/>
                <w:color w:val="auto"/>
              </w:rPr>
            </w:pPr>
          </w:p>
        </w:tc>
        <w:tc>
          <w:tcPr>
            <w:tcW w:w="540" w:type="dxa"/>
            <w:vAlign w:val="bottom"/>
            <w:tcBorders>
              <w:bottom w:val="single" w:sz="8" w:color="221F1F"/>
            </w:tcBorders>
          </w:tcPr>
          <w:p>
            <w:pPr>
              <w:spacing w:after="0"/>
              <w:rPr>
                <w:sz w:val="13"/>
                <w:szCs w:val="13"/>
                <w:color w:val="auto"/>
              </w:rPr>
            </w:pPr>
          </w:p>
        </w:tc>
        <w:tc>
          <w:tcPr>
            <w:tcW w:w="240" w:type="dxa"/>
            <w:vAlign w:val="bottom"/>
            <w:tcBorders>
              <w:bottom w:val="single" w:sz="8" w:color="221F1F"/>
            </w:tcBorders>
          </w:tcPr>
          <w:p>
            <w:pPr>
              <w:spacing w:after="0"/>
              <w:rPr>
                <w:sz w:val="13"/>
                <w:szCs w:val="13"/>
                <w:color w:val="auto"/>
              </w:rPr>
            </w:pPr>
          </w:p>
        </w:tc>
        <w:tc>
          <w:tcPr>
            <w:tcW w:w="320" w:type="dxa"/>
            <w:vAlign w:val="bottom"/>
            <w:tcBorders>
              <w:bottom w:val="single" w:sz="8" w:color="221F1F"/>
            </w:tcBorders>
          </w:tcPr>
          <w:p>
            <w:pPr>
              <w:spacing w:after="0"/>
              <w:rPr>
                <w:sz w:val="13"/>
                <w:szCs w:val="13"/>
                <w:color w:val="auto"/>
              </w:rPr>
            </w:pPr>
          </w:p>
        </w:tc>
        <w:tc>
          <w:tcPr>
            <w:tcW w:w="60" w:type="dxa"/>
            <w:vAlign w:val="bottom"/>
            <w:tcBorders>
              <w:bottom w:val="single" w:sz="8" w:color="221F1F"/>
            </w:tcBorders>
          </w:tcPr>
          <w:p>
            <w:pPr>
              <w:spacing w:after="0"/>
              <w:rPr>
                <w:sz w:val="13"/>
                <w:szCs w:val="13"/>
                <w:color w:val="auto"/>
              </w:rPr>
            </w:pPr>
          </w:p>
        </w:tc>
        <w:tc>
          <w:tcPr>
            <w:tcW w:w="100" w:type="dxa"/>
            <w:vAlign w:val="bottom"/>
            <w:tcBorders>
              <w:bottom w:val="single" w:sz="8" w:color="221F1F"/>
            </w:tcBorders>
          </w:tcPr>
          <w:p>
            <w:pPr>
              <w:spacing w:after="0"/>
              <w:rPr>
                <w:sz w:val="13"/>
                <w:szCs w:val="13"/>
                <w:color w:val="auto"/>
              </w:rPr>
            </w:pPr>
          </w:p>
        </w:tc>
        <w:tc>
          <w:tcPr>
            <w:tcW w:w="80" w:type="dxa"/>
            <w:vAlign w:val="bottom"/>
            <w:tcBorders>
              <w:bottom w:val="single" w:sz="8" w:color="221F1F"/>
            </w:tcBorders>
          </w:tcPr>
          <w:p>
            <w:pPr>
              <w:spacing w:after="0"/>
              <w:rPr>
                <w:sz w:val="13"/>
                <w:szCs w:val="13"/>
                <w:color w:val="auto"/>
              </w:rPr>
            </w:pPr>
          </w:p>
        </w:tc>
        <w:tc>
          <w:tcPr>
            <w:tcW w:w="200" w:type="dxa"/>
            <w:vAlign w:val="bottom"/>
            <w:tcBorders>
              <w:bottom w:val="single" w:sz="8" w:color="221F1F"/>
            </w:tcBorders>
          </w:tcPr>
          <w:p>
            <w:pPr>
              <w:spacing w:after="0"/>
              <w:rPr>
                <w:sz w:val="13"/>
                <w:szCs w:val="13"/>
                <w:color w:val="auto"/>
              </w:rPr>
            </w:pPr>
          </w:p>
        </w:tc>
        <w:tc>
          <w:tcPr>
            <w:tcW w:w="360" w:type="dxa"/>
            <w:vAlign w:val="bottom"/>
            <w:tcBorders>
              <w:bottom w:val="single" w:sz="8" w:color="221F1F"/>
            </w:tcBorders>
          </w:tcPr>
          <w:p>
            <w:pPr>
              <w:spacing w:after="0"/>
              <w:rPr>
                <w:sz w:val="13"/>
                <w:szCs w:val="13"/>
                <w:color w:val="auto"/>
              </w:rPr>
            </w:pPr>
          </w:p>
        </w:tc>
        <w:tc>
          <w:tcPr>
            <w:tcW w:w="1040" w:type="dxa"/>
            <w:vAlign w:val="bottom"/>
            <w:tcBorders>
              <w:bottom w:val="single" w:sz="8" w:color="221F1F"/>
            </w:tcBorders>
          </w:tcPr>
          <w:p>
            <w:pPr>
              <w:spacing w:after="0"/>
              <w:rPr>
                <w:sz w:val="13"/>
                <w:szCs w:val="13"/>
                <w:color w:val="auto"/>
              </w:rPr>
            </w:pPr>
          </w:p>
        </w:tc>
        <w:tc>
          <w:tcPr>
            <w:tcW w:w="20" w:type="dxa"/>
            <w:vAlign w:val="bottom"/>
            <w:tcBorders>
              <w:bottom w:val="single" w:sz="8" w:color="221F1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40" w:type="dxa"/>
            <w:vAlign w:val="bottom"/>
            <w:tcBorders>
              <w:right w:val="single" w:sz="8" w:color="221F1F"/>
            </w:tcBorders>
            <w:gridSpan w:val="2"/>
            <w:vMerge w:val="restart"/>
          </w:tcPr>
          <w:p>
            <w:pPr>
              <w:ind w:left="160"/>
              <w:spacing w:after="0"/>
              <w:rPr>
                <w:sz w:val="20"/>
                <w:szCs w:val="20"/>
                <w:color w:val="auto"/>
              </w:rPr>
            </w:pPr>
            <w:r>
              <w:rPr>
                <w:rFonts w:ascii="Arial" w:cs="Arial" w:eastAsia="Arial" w:hAnsi="Arial"/>
                <w:sz w:val="22"/>
                <w:szCs w:val="22"/>
                <w:b w:val="1"/>
                <w:bCs w:val="1"/>
                <w:color w:val="221F1F"/>
              </w:rPr>
              <w:t>Address</w:t>
            </w:r>
          </w:p>
        </w:tc>
        <w:tc>
          <w:tcPr>
            <w:tcW w:w="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221F1F"/>
              </w:rPr>
              <w:t>City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right w:val="single" w:sz="8" w:color="221F1F"/>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221F1F"/>
              </w:rPr>
              <w:t>State</w:t>
            </w:r>
          </w:p>
        </w:tc>
        <w:tc>
          <w:tcPr>
            <w:tcW w:w="120" w:type="dxa"/>
            <w:vAlign w:val="bottom"/>
            <w:tcBorders>
              <w:right w:val="single" w:sz="8" w:color="221F1F"/>
            </w:tcBorders>
          </w:tcPr>
          <w:p>
            <w:pPr>
              <w:spacing w:after="0"/>
              <w:rPr>
                <w:sz w:val="13"/>
                <w:szCs w:val="13"/>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221F1F"/>
              </w:rPr>
              <w:t>Zip</w:t>
            </w:r>
          </w:p>
        </w:tc>
        <w:tc>
          <w:tcPr>
            <w:tcW w:w="240" w:type="dxa"/>
            <w:vAlign w:val="bottom"/>
          </w:tcPr>
          <w:p>
            <w:pPr>
              <w:spacing w:after="0"/>
              <w:rPr>
                <w:sz w:val="13"/>
                <w:szCs w:val="13"/>
                <w:color w:val="auto"/>
              </w:rPr>
            </w:pPr>
          </w:p>
        </w:tc>
        <w:tc>
          <w:tcPr>
            <w:tcW w:w="320" w:type="dxa"/>
            <w:vAlign w:val="bottom"/>
            <w:tcBorders>
              <w:right w:val="single" w:sz="8" w:color="221F1F"/>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5"/>
          </w:tcPr>
          <w:p>
            <w:pPr>
              <w:jc w:val="center"/>
              <w:ind w:right="1097"/>
              <w:spacing w:after="0"/>
              <w:rPr>
                <w:sz w:val="20"/>
                <w:szCs w:val="20"/>
                <w:color w:val="auto"/>
              </w:rPr>
            </w:pPr>
            <w:r>
              <w:rPr>
                <w:rFonts w:ascii="Arial" w:cs="Arial" w:eastAsia="Arial" w:hAnsi="Arial"/>
                <w:sz w:val="13"/>
                <w:szCs w:val="13"/>
                <w:color w:val="221F1F"/>
                <w:w w:val="92"/>
              </w:rPr>
              <w:t>Country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Borders>
              <w:right w:val="single" w:sz="8" w:color="221F1F"/>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right w:val="single" w:sz="8" w:color="221F1F"/>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221F1F"/>
            </w:tcBorders>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right w:val="single" w:sz="8" w:color="221F1F"/>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221F1F"/>
            </w:tcBorders>
          </w:tcPr>
          <w:p>
            <w:pPr>
              <w:spacing w:after="0"/>
              <w:rPr>
                <w:sz w:val="16"/>
                <w:szCs w:val="16"/>
                <w:color w:val="auto"/>
              </w:rPr>
            </w:pPr>
          </w:p>
        </w:tc>
        <w:tc>
          <w:tcPr>
            <w:tcW w:w="1960" w:type="dxa"/>
            <w:vAlign w:val="bottom"/>
            <w:tcBorders>
              <w:bottom w:val="single" w:sz="8" w:color="221F1F"/>
            </w:tcBorders>
          </w:tcPr>
          <w:p>
            <w:pPr>
              <w:spacing w:after="0"/>
              <w:rPr>
                <w:sz w:val="16"/>
                <w:szCs w:val="16"/>
                <w:color w:val="auto"/>
              </w:rPr>
            </w:pPr>
          </w:p>
        </w:tc>
        <w:tc>
          <w:tcPr>
            <w:tcW w:w="480" w:type="dxa"/>
            <w:vAlign w:val="bottom"/>
            <w:tcBorders>
              <w:bottom w:val="single" w:sz="8" w:color="221F1F"/>
              <w:right w:val="single" w:sz="8" w:color="221F1F"/>
            </w:tcBorders>
          </w:tcPr>
          <w:p>
            <w:pPr>
              <w:spacing w:after="0"/>
              <w:rPr>
                <w:sz w:val="16"/>
                <w:szCs w:val="16"/>
                <w:color w:val="auto"/>
              </w:rPr>
            </w:pPr>
          </w:p>
        </w:tc>
        <w:tc>
          <w:tcPr>
            <w:tcW w:w="80" w:type="dxa"/>
            <w:vAlign w:val="bottom"/>
            <w:tcBorders>
              <w:bottom w:val="single" w:sz="8" w:color="221F1F"/>
            </w:tcBorders>
          </w:tcPr>
          <w:p>
            <w:pPr>
              <w:spacing w:after="0"/>
              <w:rPr>
                <w:sz w:val="16"/>
                <w:szCs w:val="16"/>
                <w:color w:val="auto"/>
              </w:rPr>
            </w:pPr>
          </w:p>
        </w:tc>
        <w:tc>
          <w:tcPr>
            <w:tcW w:w="140" w:type="dxa"/>
            <w:vAlign w:val="bottom"/>
            <w:tcBorders>
              <w:bottom w:val="single" w:sz="8" w:color="221F1F"/>
            </w:tcBorders>
          </w:tcPr>
          <w:p>
            <w:pPr>
              <w:spacing w:after="0"/>
              <w:rPr>
                <w:sz w:val="16"/>
                <w:szCs w:val="16"/>
                <w:color w:val="auto"/>
              </w:rPr>
            </w:pPr>
          </w:p>
        </w:tc>
        <w:tc>
          <w:tcPr>
            <w:tcW w:w="260" w:type="dxa"/>
            <w:vAlign w:val="bottom"/>
            <w:tcBorders>
              <w:bottom w:val="single" w:sz="8" w:color="221F1F"/>
            </w:tcBorders>
          </w:tcPr>
          <w:p>
            <w:pPr>
              <w:spacing w:after="0"/>
              <w:rPr>
                <w:sz w:val="16"/>
                <w:szCs w:val="16"/>
                <w:color w:val="auto"/>
              </w:rPr>
            </w:pPr>
          </w:p>
        </w:tc>
        <w:tc>
          <w:tcPr>
            <w:tcW w:w="120" w:type="dxa"/>
            <w:vAlign w:val="bottom"/>
            <w:tcBorders>
              <w:bottom w:val="single" w:sz="8" w:color="221F1F"/>
            </w:tcBorders>
          </w:tcPr>
          <w:p>
            <w:pPr>
              <w:spacing w:after="0"/>
              <w:rPr>
                <w:sz w:val="16"/>
                <w:szCs w:val="16"/>
                <w:color w:val="auto"/>
              </w:rPr>
            </w:pPr>
          </w:p>
        </w:tc>
        <w:tc>
          <w:tcPr>
            <w:tcW w:w="200" w:type="dxa"/>
            <w:vAlign w:val="bottom"/>
            <w:tcBorders>
              <w:bottom w:val="single" w:sz="8" w:color="221F1F"/>
            </w:tcBorders>
          </w:tcPr>
          <w:p>
            <w:pPr>
              <w:spacing w:after="0"/>
              <w:rPr>
                <w:sz w:val="16"/>
                <w:szCs w:val="16"/>
                <w:color w:val="auto"/>
              </w:rPr>
            </w:pPr>
          </w:p>
        </w:tc>
        <w:tc>
          <w:tcPr>
            <w:tcW w:w="60" w:type="dxa"/>
            <w:vAlign w:val="bottom"/>
            <w:tcBorders>
              <w:bottom w:val="single" w:sz="8" w:color="221F1F"/>
            </w:tcBorders>
          </w:tcPr>
          <w:p>
            <w:pPr>
              <w:spacing w:after="0"/>
              <w:rPr>
                <w:sz w:val="16"/>
                <w:szCs w:val="16"/>
                <w:color w:val="auto"/>
              </w:rPr>
            </w:pPr>
          </w:p>
        </w:tc>
        <w:tc>
          <w:tcPr>
            <w:tcW w:w="200" w:type="dxa"/>
            <w:vAlign w:val="bottom"/>
            <w:tcBorders>
              <w:bottom w:val="single" w:sz="8" w:color="221F1F"/>
            </w:tcBorders>
          </w:tcPr>
          <w:p>
            <w:pPr>
              <w:spacing w:after="0"/>
              <w:rPr>
                <w:sz w:val="16"/>
                <w:szCs w:val="16"/>
                <w:color w:val="auto"/>
              </w:rPr>
            </w:pPr>
          </w:p>
        </w:tc>
        <w:tc>
          <w:tcPr>
            <w:tcW w:w="60" w:type="dxa"/>
            <w:vAlign w:val="bottom"/>
            <w:tcBorders>
              <w:bottom w:val="single" w:sz="8" w:color="221F1F"/>
            </w:tcBorders>
          </w:tcPr>
          <w:p>
            <w:pPr>
              <w:spacing w:after="0"/>
              <w:rPr>
                <w:sz w:val="16"/>
                <w:szCs w:val="16"/>
                <w:color w:val="auto"/>
              </w:rPr>
            </w:pPr>
          </w:p>
        </w:tc>
        <w:tc>
          <w:tcPr>
            <w:tcW w:w="200" w:type="dxa"/>
            <w:vAlign w:val="bottom"/>
            <w:tcBorders>
              <w:bottom w:val="single" w:sz="8" w:color="221F1F"/>
            </w:tcBorders>
          </w:tcPr>
          <w:p>
            <w:pPr>
              <w:spacing w:after="0"/>
              <w:rPr>
                <w:sz w:val="16"/>
                <w:szCs w:val="16"/>
                <w:color w:val="auto"/>
              </w:rPr>
            </w:pPr>
          </w:p>
        </w:tc>
        <w:tc>
          <w:tcPr>
            <w:tcW w:w="840" w:type="dxa"/>
            <w:vAlign w:val="bottom"/>
            <w:tcBorders>
              <w:bottom w:val="single" w:sz="8" w:color="221F1F"/>
            </w:tcBorders>
          </w:tcPr>
          <w:p>
            <w:pPr>
              <w:spacing w:after="0"/>
              <w:rPr>
                <w:sz w:val="16"/>
                <w:szCs w:val="16"/>
                <w:color w:val="auto"/>
              </w:rPr>
            </w:pPr>
          </w:p>
        </w:tc>
        <w:tc>
          <w:tcPr>
            <w:tcW w:w="320" w:type="dxa"/>
            <w:vAlign w:val="bottom"/>
            <w:tcBorders>
              <w:bottom w:val="single" w:sz="8" w:color="221F1F"/>
            </w:tcBorders>
          </w:tcPr>
          <w:p>
            <w:pPr>
              <w:spacing w:after="0"/>
              <w:rPr>
                <w:sz w:val="16"/>
                <w:szCs w:val="16"/>
                <w:color w:val="auto"/>
              </w:rPr>
            </w:pPr>
          </w:p>
        </w:tc>
        <w:tc>
          <w:tcPr>
            <w:tcW w:w="560" w:type="dxa"/>
            <w:vAlign w:val="bottom"/>
            <w:tcBorders>
              <w:bottom w:val="single" w:sz="8" w:color="221F1F"/>
            </w:tcBorders>
          </w:tcPr>
          <w:p>
            <w:pPr>
              <w:spacing w:after="0"/>
              <w:rPr>
                <w:sz w:val="16"/>
                <w:szCs w:val="16"/>
                <w:color w:val="auto"/>
              </w:rPr>
            </w:pPr>
          </w:p>
        </w:tc>
        <w:tc>
          <w:tcPr>
            <w:tcW w:w="120" w:type="dxa"/>
            <w:vAlign w:val="bottom"/>
            <w:tcBorders>
              <w:bottom w:val="single" w:sz="8" w:color="221F1F"/>
            </w:tcBorders>
          </w:tcPr>
          <w:p>
            <w:pPr>
              <w:spacing w:after="0"/>
              <w:rPr>
                <w:sz w:val="16"/>
                <w:szCs w:val="16"/>
                <w:color w:val="auto"/>
              </w:rPr>
            </w:pPr>
          </w:p>
        </w:tc>
        <w:tc>
          <w:tcPr>
            <w:tcW w:w="240" w:type="dxa"/>
            <w:vAlign w:val="bottom"/>
            <w:tcBorders>
              <w:bottom w:val="single" w:sz="8" w:color="221F1F"/>
              <w:right w:val="single" w:sz="8" w:color="221F1F"/>
            </w:tcBorders>
          </w:tcPr>
          <w:p>
            <w:pPr>
              <w:spacing w:after="0"/>
              <w:rPr>
                <w:sz w:val="16"/>
                <w:szCs w:val="16"/>
                <w:color w:val="auto"/>
              </w:rPr>
            </w:pPr>
          </w:p>
        </w:tc>
        <w:tc>
          <w:tcPr>
            <w:tcW w:w="140" w:type="dxa"/>
            <w:vAlign w:val="bottom"/>
            <w:tcBorders>
              <w:bottom w:val="single" w:sz="8" w:color="221F1F"/>
            </w:tcBorders>
          </w:tcPr>
          <w:p>
            <w:pPr>
              <w:spacing w:after="0"/>
              <w:rPr>
                <w:sz w:val="16"/>
                <w:szCs w:val="16"/>
                <w:color w:val="auto"/>
              </w:rPr>
            </w:pPr>
          </w:p>
        </w:tc>
        <w:tc>
          <w:tcPr>
            <w:tcW w:w="320" w:type="dxa"/>
            <w:vAlign w:val="bottom"/>
            <w:tcBorders>
              <w:bottom w:val="single" w:sz="8" w:color="221F1F"/>
            </w:tcBorders>
          </w:tcPr>
          <w:p>
            <w:pPr>
              <w:spacing w:after="0"/>
              <w:rPr>
                <w:sz w:val="16"/>
                <w:szCs w:val="16"/>
                <w:color w:val="auto"/>
              </w:rPr>
            </w:pPr>
          </w:p>
        </w:tc>
        <w:tc>
          <w:tcPr>
            <w:tcW w:w="220" w:type="dxa"/>
            <w:vAlign w:val="bottom"/>
            <w:tcBorders>
              <w:bottom w:val="single" w:sz="8" w:color="221F1F"/>
              <w:right w:val="single" w:sz="8" w:color="221F1F"/>
            </w:tcBorders>
            <w:gridSpan w:val="2"/>
          </w:tcPr>
          <w:p>
            <w:pPr>
              <w:spacing w:after="0"/>
              <w:rPr>
                <w:sz w:val="16"/>
                <w:szCs w:val="16"/>
                <w:color w:val="auto"/>
              </w:rPr>
            </w:pPr>
          </w:p>
        </w:tc>
        <w:tc>
          <w:tcPr>
            <w:tcW w:w="540" w:type="dxa"/>
            <w:vAlign w:val="bottom"/>
            <w:tcBorders>
              <w:bottom w:val="single" w:sz="8" w:color="221F1F"/>
            </w:tcBorders>
          </w:tcPr>
          <w:p>
            <w:pPr>
              <w:spacing w:after="0"/>
              <w:rPr>
                <w:sz w:val="16"/>
                <w:szCs w:val="16"/>
                <w:color w:val="auto"/>
              </w:rPr>
            </w:pPr>
          </w:p>
        </w:tc>
        <w:tc>
          <w:tcPr>
            <w:tcW w:w="240" w:type="dxa"/>
            <w:vAlign w:val="bottom"/>
            <w:tcBorders>
              <w:bottom w:val="single" w:sz="8" w:color="221F1F"/>
            </w:tcBorders>
          </w:tcPr>
          <w:p>
            <w:pPr>
              <w:spacing w:after="0"/>
              <w:rPr>
                <w:sz w:val="16"/>
                <w:szCs w:val="16"/>
                <w:color w:val="auto"/>
              </w:rPr>
            </w:pPr>
          </w:p>
        </w:tc>
        <w:tc>
          <w:tcPr>
            <w:tcW w:w="320" w:type="dxa"/>
            <w:vAlign w:val="bottom"/>
            <w:tcBorders>
              <w:bottom w:val="single" w:sz="8" w:color="221F1F"/>
              <w:right w:val="single" w:sz="8" w:color="221F1F"/>
            </w:tcBorders>
          </w:tcPr>
          <w:p>
            <w:pPr>
              <w:spacing w:after="0"/>
              <w:rPr>
                <w:sz w:val="16"/>
                <w:szCs w:val="16"/>
                <w:color w:val="auto"/>
              </w:rPr>
            </w:pPr>
          </w:p>
        </w:tc>
        <w:tc>
          <w:tcPr>
            <w:tcW w:w="60" w:type="dxa"/>
            <w:vAlign w:val="bottom"/>
            <w:tcBorders>
              <w:bottom w:val="single" w:sz="8" w:color="221F1F"/>
            </w:tcBorders>
          </w:tcPr>
          <w:p>
            <w:pPr>
              <w:spacing w:after="0"/>
              <w:rPr>
                <w:sz w:val="16"/>
                <w:szCs w:val="16"/>
                <w:color w:val="auto"/>
              </w:rPr>
            </w:pPr>
          </w:p>
        </w:tc>
        <w:tc>
          <w:tcPr>
            <w:tcW w:w="100" w:type="dxa"/>
            <w:vAlign w:val="bottom"/>
            <w:tcBorders>
              <w:bottom w:val="single" w:sz="8" w:color="221F1F"/>
            </w:tcBorders>
          </w:tcPr>
          <w:p>
            <w:pPr>
              <w:spacing w:after="0"/>
              <w:rPr>
                <w:sz w:val="16"/>
                <w:szCs w:val="16"/>
                <w:color w:val="auto"/>
              </w:rPr>
            </w:pPr>
          </w:p>
        </w:tc>
        <w:tc>
          <w:tcPr>
            <w:tcW w:w="80" w:type="dxa"/>
            <w:vAlign w:val="bottom"/>
            <w:tcBorders>
              <w:bottom w:val="single" w:sz="8" w:color="221F1F"/>
            </w:tcBorders>
          </w:tcPr>
          <w:p>
            <w:pPr>
              <w:spacing w:after="0"/>
              <w:rPr>
                <w:sz w:val="16"/>
                <w:szCs w:val="16"/>
                <w:color w:val="auto"/>
              </w:rPr>
            </w:pPr>
          </w:p>
        </w:tc>
        <w:tc>
          <w:tcPr>
            <w:tcW w:w="200" w:type="dxa"/>
            <w:vAlign w:val="bottom"/>
            <w:tcBorders>
              <w:bottom w:val="single" w:sz="8" w:color="221F1F"/>
            </w:tcBorders>
          </w:tcPr>
          <w:p>
            <w:pPr>
              <w:spacing w:after="0"/>
              <w:rPr>
                <w:sz w:val="16"/>
                <w:szCs w:val="16"/>
                <w:color w:val="auto"/>
              </w:rPr>
            </w:pPr>
          </w:p>
        </w:tc>
        <w:tc>
          <w:tcPr>
            <w:tcW w:w="360" w:type="dxa"/>
            <w:vAlign w:val="bottom"/>
            <w:tcBorders>
              <w:bottom w:val="single" w:sz="8" w:color="221F1F"/>
            </w:tcBorders>
          </w:tcPr>
          <w:p>
            <w:pPr>
              <w:spacing w:after="0"/>
              <w:rPr>
                <w:sz w:val="16"/>
                <w:szCs w:val="16"/>
                <w:color w:val="auto"/>
              </w:rPr>
            </w:pPr>
          </w:p>
        </w:tc>
        <w:tc>
          <w:tcPr>
            <w:tcW w:w="1040" w:type="dxa"/>
            <w:vAlign w:val="bottom"/>
            <w:tcBorders>
              <w:bottom w:val="single" w:sz="8" w:color="221F1F"/>
            </w:tcBorders>
          </w:tcPr>
          <w:p>
            <w:pPr>
              <w:spacing w:after="0"/>
              <w:rPr>
                <w:sz w:val="16"/>
                <w:szCs w:val="16"/>
                <w:color w:val="auto"/>
              </w:rPr>
            </w:pPr>
          </w:p>
        </w:tc>
        <w:tc>
          <w:tcPr>
            <w:tcW w:w="20" w:type="dxa"/>
            <w:vAlign w:val="bottom"/>
            <w:tcBorders>
              <w:bottom w:val="single" w:sz="8" w:color="221F1F"/>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440" w:type="dxa"/>
            <w:vAlign w:val="bottom"/>
            <w:tcBorders>
              <w:right w:val="single" w:sz="8" w:color="221F1F"/>
            </w:tcBorders>
            <w:gridSpan w:val="2"/>
            <w:vMerge w:val="restart"/>
          </w:tcPr>
          <w:p>
            <w:pPr>
              <w:ind w:left="160"/>
              <w:spacing w:after="0"/>
              <w:rPr>
                <w:sz w:val="20"/>
                <w:szCs w:val="20"/>
                <w:color w:val="auto"/>
              </w:rPr>
            </w:pPr>
            <w:r>
              <w:rPr>
                <w:rFonts w:ascii="Arial" w:cs="Arial" w:eastAsia="Arial" w:hAnsi="Arial"/>
                <w:sz w:val="22"/>
                <w:szCs w:val="22"/>
                <w:b w:val="1"/>
                <w:bCs w:val="1"/>
                <w:color w:val="221F1F"/>
              </w:rPr>
              <w:t>Telephone Number</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6"/>
            <w:vMerge w:val="restart"/>
          </w:tcPr>
          <w:p>
            <w:pPr>
              <w:jc w:val="right"/>
              <w:ind w:right="200"/>
              <w:spacing w:after="0"/>
              <w:rPr>
                <w:sz w:val="20"/>
                <w:szCs w:val="20"/>
                <w:color w:val="auto"/>
              </w:rPr>
            </w:pPr>
            <w:r>
              <w:rPr>
                <w:rFonts w:ascii="Arial" w:cs="Arial" w:eastAsia="Arial" w:hAnsi="Arial"/>
                <w:sz w:val="20"/>
                <w:szCs w:val="20"/>
                <w:color w:val="221F1F"/>
              </w:rPr>
              <w:t>(  )  -</w:t>
            </w: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Borders>
              <w:right w:val="single" w:sz="8" w:color="221F1F"/>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5"/>
          </w:tcPr>
          <w:p>
            <w:pPr>
              <w:ind w:left="80"/>
              <w:spacing w:after="0"/>
              <w:rPr>
                <w:sz w:val="20"/>
                <w:szCs w:val="20"/>
                <w:color w:val="auto"/>
              </w:rPr>
            </w:pPr>
            <w:r>
              <w:rPr>
                <w:rFonts w:ascii="Arial" w:cs="Arial" w:eastAsia="Arial" w:hAnsi="Arial"/>
                <w:sz w:val="22"/>
                <w:szCs w:val="22"/>
                <w:b w:val="1"/>
                <w:bCs w:val="1"/>
                <w:color w:val="221F1F"/>
              </w:rPr>
              <w:t>Facsimile</w:t>
            </w:r>
          </w:p>
        </w:tc>
        <w:tc>
          <w:tcPr>
            <w:tcW w:w="240" w:type="dxa"/>
            <w:vAlign w:val="bottom"/>
            <w:tcBorders>
              <w:right w:val="single" w:sz="8" w:color="221F1F"/>
            </w:tcBorders>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color w:val="221F1F"/>
              </w:rPr>
              <w:t>(</w:t>
            </w:r>
          </w:p>
        </w:tc>
        <w:tc>
          <w:tcPr>
            <w:tcW w:w="800" w:type="dxa"/>
            <w:vAlign w:val="bottom"/>
            <w:gridSpan w:val="5"/>
            <w:vMerge w:val="restart"/>
          </w:tcPr>
          <w:p>
            <w:pPr>
              <w:jc w:val="center"/>
              <w:ind w:right="140"/>
              <w:spacing w:after="0"/>
              <w:rPr>
                <w:sz w:val="20"/>
                <w:szCs w:val="20"/>
                <w:color w:val="auto"/>
              </w:rPr>
            </w:pPr>
            <w:r>
              <w:rPr>
                <w:rFonts w:ascii="Arial" w:cs="Arial" w:eastAsia="Arial" w:hAnsi="Arial"/>
                <w:sz w:val="20"/>
                <w:szCs w:val="20"/>
                <w:color w:val="221F1F"/>
              </w:rPr>
              <w:t>)  -</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40" w:type="dxa"/>
            <w:vAlign w:val="bottom"/>
            <w:tcBorders>
              <w:right w:val="single" w:sz="8" w:color="221F1F"/>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gridSpan w:val="6"/>
            <w:vMerge w:val="continue"/>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right w:val="single" w:sz="8" w:color="221F1F"/>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Borders>
              <w:right w:val="single" w:sz="8" w:color="221F1F"/>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8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Borders>
              <w:right w:val="single" w:sz="8" w:color="221F1F"/>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gridSpan w:val="6"/>
            <w:vMerge w:val="continue"/>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right w:val="single" w:sz="8" w:color="221F1F"/>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right w:val="single" w:sz="8" w:color="221F1F"/>
            </w:tcBorders>
          </w:tcPr>
          <w:p>
            <w:pPr>
              <w:spacing w:after="0"/>
              <w:rPr>
                <w:sz w:val="2"/>
                <w:szCs w:val="2"/>
                <w:color w:val="auto"/>
              </w:rPr>
            </w:pPr>
          </w:p>
        </w:tc>
        <w:tc>
          <w:tcPr>
            <w:tcW w:w="320" w:type="dxa"/>
            <w:vAlign w:val="bottom"/>
            <w:vMerge w:val="continue"/>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221F1F"/>
            </w:tcBorders>
          </w:tcPr>
          <w:p>
            <w:pPr>
              <w:spacing w:after="0" w:line="20" w:lineRule="exact"/>
              <w:rPr>
                <w:sz w:val="1"/>
                <w:szCs w:val="1"/>
                <w:color w:val="auto"/>
              </w:rPr>
            </w:pPr>
          </w:p>
        </w:tc>
        <w:tc>
          <w:tcPr>
            <w:tcW w:w="1960" w:type="dxa"/>
            <w:vAlign w:val="bottom"/>
            <w:tcBorders>
              <w:bottom w:val="single" w:sz="8" w:color="221F1F"/>
            </w:tcBorders>
          </w:tcPr>
          <w:p>
            <w:pPr>
              <w:spacing w:after="0" w:line="20" w:lineRule="exact"/>
              <w:rPr>
                <w:sz w:val="1"/>
                <w:szCs w:val="1"/>
                <w:color w:val="auto"/>
              </w:rPr>
            </w:pPr>
          </w:p>
        </w:tc>
        <w:tc>
          <w:tcPr>
            <w:tcW w:w="480" w:type="dxa"/>
            <w:vAlign w:val="bottom"/>
            <w:tcBorders>
              <w:bottom w:val="single" w:sz="8" w:color="221F1F"/>
              <w:right w:val="single" w:sz="8" w:color="221F1F"/>
            </w:tcBorders>
          </w:tcPr>
          <w:p>
            <w:pPr>
              <w:spacing w:after="0" w:line="20" w:lineRule="exact"/>
              <w:rPr>
                <w:sz w:val="1"/>
                <w:szCs w:val="1"/>
                <w:color w:val="auto"/>
              </w:rPr>
            </w:pPr>
          </w:p>
        </w:tc>
        <w:tc>
          <w:tcPr>
            <w:tcW w:w="80" w:type="dxa"/>
            <w:vAlign w:val="bottom"/>
            <w:tcBorders>
              <w:bottom w:val="single" w:sz="8" w:color="221F1F"/>
            </w:tcBorders>
          </w:tcPr>
          <w:p>
            <w:pPr>
              <w:spacing w:after="0" w:line="20" w:lineRule="exact"/>
              <w:rPr>
                <w:sz w:val="1"/>
                <w:szCs w:val="1"/>
                <w:color w:val="auto"/>
              </w:rPr>
            </w:pPr>
          </w:p>
        </w:tc>
        <w:tc>
          <w:tcPr>
            <w:tcW w:w="140" w:type="dxa"/>
            <w:vAlign w:val="bottom"/>
            <w:tcBorders>
              <w:bottom w:val="single" w:sz="8" w:color="221F1F"/>
            </w:tcBorders>
          </w:tcPr>
          <w:p>
            <w:pPr>
              <w:spacing w:after="0" w:line="20" w:lineRule="exact"/>
              <w:rPr>
                <w:sz w:val="1"/>
                <w:szCs w:val="1"/>
                <w:color w:val="auto"/>
              </w:rPr>
            </w:pPr>
          </w:p>
        </w:tc>
        <w:tc>
          <w:tcPr>
            <w:tcW w:w="260" w:type="dxa"/>
            <w:vAlign w:val="bottom"/>
            <w:tcBorders>
              <w:bottom w:val="single" w:sz="8" w:color="221F1F"/>
            </w:tcBorders>
          </w:tcPr>
          <w:p>
            <w:pPr>
              <w:spacing w:after="0" w:line="20" w:lineRule="exact"/>
              <w:rPr>
                <w:sz w:val="1"/>
                <w:szCs w:val="1"/>
                <w:color w:val="auto"/>
              </w:rPr>
            </w:pPr>
          </w:p>
        </w:tc>
        <w:tc>
          <w:tcPr>
            <w:tcW w:w="120" w:type="dxa"/>
            <w:vAlign w:val="bottom"/>
            <w:tcBorders>
              <w:bottom w:val="single" w:sz="8" w:color="221F1F"/>
            </w:tcBorders>
          </w:tcPr>
          <w:p>
            <w:pPr>
              <w:spacing w:after="0" w:line="20" w:lineRule="exact"/>
              <w:rPr>
                <w:sz w:val="1"/>
                <w:szCs w:val="1"/>
                <w:color w:val="auto"/>
              </w:rPr>
            </w:pPr>
          </w:p>
        </w:tc>
        <w:tc>
          <w:tcPr>
            <w:tcW w:w="200" w:type="dxa"/>
            <w:vAlign w:val="bottom"/>
            <w:tcBorders>
              <w:top w:val="single" w:sz="8" w:color="221F1F"/>
              <w:bottom w:val="single" w:sz="8" w:color="221F1F"/>
            </w:tcBorders>
          </w:tcPr>
          <w:p>
            <w:pPr>
              <w:spacing w:after="0" w:line="20" w:lineRule="exact"/>
              <w:rPr>
                <w:sz w:val="1"/>
                <w:szCs w:val="1"/>
                <w:color w:val="auto"/>
              </w:rPr>
            </w:pPr>
          </w:p>
        </w:tc>
        <w:tc>
          <w:tcPr>
            <w:tcW w:w="60" w:type="dxa"/>
            <w:vAlign w:val="bottom"/>
            <w:tcBorders>
              <w:bottom w:val="single" w:sz="8" w:color="221F1F"/>
            </w:tcBorders>
          </w:tcPr>
          <w:p>
            <w:pPr>
              <w:spacing w:after="0" w:line="20" w:lineRule="exact"/>
              <w:rPr>
                <w:sz w:val="1"/>
                <w:szCs w:val="1"/>
                <w:color w:val="auto"/>
              </w:rPr>
            </w:pPr>
          </w:p>
        </w:tc>
        <w:tc>
          <w:tcPr>
            <w:tcW w:w="200" w:type="dxa"/>
            <w:vAlign w:val="bottom"/>
            <w:tcBorders>
              <w:top w:val="single" w:sz="8" w:color="221F1F"/>
              <w:bottom w:val="single" w:sz="8" w:color="221F1F"/>
            </w:tcBorders>
          </w:tcPr>
          <w:p>
            <w:pPr>
              <w:spacing w:after="0" w:line="20" w:lineRule="exact"/>
              <w:rPr>
                <w:sz w:val="1"/>
                <w:szCs w:val="1"/>
                <w:color w:val="auto"/>
              </w:rPr>
            </w:pPr>
          </w:p>
        </w:tc>
        <w:tc>
          <w:tcPr>
            <w:tcW w:w="60" w:type="dxa"/>
            <w:vAlign w:val="bottom"/>
            <w:tcBorders>
              <w:bottom w:val="single" w:sz="8" w:color="221F1F"/>
            </w:tcBorders>
          </w:tcPr>
          <w:p>
            <w:pPr>
              <w:spacing w:after="0" w:line="20" w:lineRule="exact"/>
              <w:rPr>
                <w:sz w:val="1"/>
                <w:szCs w:val="1"/>
                <w:color w:val="auto"/>
              </w:rPr>
            </w:pPr>
          </w:p>
        </w:tc>
        <w:tc>
          <w:tcPr>
            <w:tcW w:w="200" w:type="dxa"/>
            <w:vAlign w:val="bottom"/>
            <w:tcBorders>
              <w:top w:val="single" w:sz="8" w:color="221F1F"/>
              <w:bottom w:val="single" w:sz="8" w:color="221F1F"/>
            </w:tcBorders>
          </w:tcPr>
          <w:p>
            <w:pPr>
              <w:spacing w:after="0" w:line="20" w:lineRule="exact"/>
              <w:rPr>
                <w:sz w:val="1"/>
                <w:szCs w:val="1"/>
                <w:color w:val="auto"/>
              </w:rPr>
            </w:pPr>
          </w:p>
        </w:tc>
        <w:tc>
          <w:tcPr>
            <w:tcW w:w="840" w:type="dxa"/>
            <w:vAlign w:val="bottom"/>
            <w:tcBorders>
              <w:bottom w:val="single" w:sz="8" w:color="221F1F"/>
            </w:tcBorders>
          </w:tcPr>
          <w:p>
            <w:pPr>
              <w:spacing w:after="0" w:line="20" w:lineRule="exact"/>
              <w:rPr>
                <w:sz w:val="1"/>
                <w:szCs w:val="1"/>
                <w:color w:val="auto"/>
              </w:rPr>
            </w:pPr>
          </w:p>
        </w:tc>
        <w:tc>
          <w:tcPr>
            <w:tcW w:w="320" w:type="dxa"/>
            <w:vAlign w:val="bottom"/>
            <w:tcBorders>
              <w:bottom w:val="single" w:sz="8" w:color="221F1F"/>
            </w:tcBorders>
          </w:tcPr>
          <w:p>
            <w:pPr>
              <w:spacing w:after="0" w:line="20" w:lineRule="exact"/>
              <w:rPr>
                <w:sz w:val="1"/>
                <w:szCs w:val="1"/>
                <w:color w:val="auto"/>
              </w:rPr>
            </w:pPr>
          </w:p>
        </w:tc>
        <w:tc>
          <w:tcPr>
            <w:tcW w:w="560" w:type="dxa"/>
            <w:vAlign w:val="bottom"/>
            <w:tcBorders>
              <w:bottom w:val="single" w:sz="8" w:color="221F1F"/>
              <w:right w:val="single" w:sz="8" w:color="221F1F"/>
            </w:tcBorders>
          </w:tcPr>
          <w:p>
            <w:pPr>
              <w:spacing w:after="0" w:line="20" w:lineRule="exact"/>
              <w:rPr>
                <w:sz w:val="1"/>
                <w:szCs w:val="1"/>
                <w:color w:val="auto"/>
              </w:rPr>
            </w:pPr>
          </w:p>
        </w:tc>
        <w:tc>
          <w:tcPr>
            <w:tcW w:w="120" w:type="dxa"/>
            <w:vAlign w:val="bottom"/>
            <w:tcBorders>
              <w:bottom w:val="single" w:sz="8" w:color="221F1F"/>
            </w:tcBorders>
          </w:tcPr>
          <w:p>
            <w:pPr>
              <w:spacing w:after="0" w:line="20" w:lineRule="exact"/>
              <w:rPr>
                <w:sz w:val="1"/>
                <w:szCs w:val="1"/>
                <w:color w:val="auto"/>
              </w:rPr>
            </w:pPr>
          </w:p>
        </w:tc>
        <w:tc>
          <w:tcPr>
            <w:tcW w:w="240" w:type="dxa"/>
            <w:vAlign w:val="bottom"/>
            <w:tcBorders>
              <w:bottom w:val="single" w:sz="8" w:color="221F1F"/>
            </w:tcBorders>
          </w:tcPr>
          <w:p>
            <w:pPr>
              <w:spacing w:after="0" w:line="20" w:lineRule="exact"/>
              <w:rPr>
                <w:sz w:val="1"/>
                <w:szCs w:val="1"/>
                <w:color w:val="auto"/>
              </w:rPr>
            </w:pPr>
          </w:p>
        </w:tc>
        <w:tc>
          <w:tcPr>
            <w:tcW w:w="140" w:type="dxa"/>
            <w:vAlign w:val="bottom"/>
            <w:tcBorders>
              <w:bottom w:val="single" w:sz="8" w:color="221F1F"/>
            </w:tcBorders>
          </w:tcPr>
          <w:p>
            <w:pPr>
              <w:spacing w:after="0" w:line="20" w:lineRule="exact"/>
              <w:rPr>
                <w:sz w:val="1"/>
                <w:szCs w:val="1"/>
                <w:color w:val="auto"/>
              </w:rPr>
            </w:pPr>
          </w:p>
        </w:tc>
        <w:tc>
          <w:tcPr>
            <w:tcW w:w="320" w:type="dxa"/>
            <w:vAlign w:val="bottom"/>
            <w:tcBorders>
              <w:bottom w:val="single" w:sz="8" w:color="221F1F"/>
            </w:tcBorders>
          </w:tcPr>
          <w:p>
            <w:pPr>
              <w:spacing w:after="0" w:line="20" w:lineRule="exact"/>
              <w:rPr>
                <w:sz w:val="1"/>
                <w:szCs w:val="1"/>
                <w:color w:val="auto"/>
              </w:rPr>
            </w:pPr>
          </w:p>
        </w:tc>
        <w:tc>
          <w:tcPr>
            <w:tcW w:w="100" w:type="dxa"/>
            <w:vAlign w:val="bottom"/>
            <w:tcBorders>
              <w:bottom w:val="single" w:sz="8" w:color="221F1F"/>
            </w:tcBorders>
          </w:tcPr>
          <w:p>
            <w:pPr>
              <w:spacing w:after="0" w:line="20" w:lineRule="exact"/>
              <w:rPr>
                <w:sz w:val="1"/>
                <w:szCs w:val="1"/>
                <w:color w:val="auto"/>
              </w:rPr>
            </w:pPr>
          </w:p>
        </w:tc>
        <w:tc>
          <w:tcPr>
            <w:tcW w:w="120" w:type="dxa"/>
            <w:vAlign w:val="bottom"/>
            <w:tcBorders>
              <w:bottom w:val="single" w:sz="8" w:color="221F1F"/>
            </w:tcBorders>
          </w:tcPr>
          <w:p>
            <w:pPr>
              <w:spacing w:after="0" w:line="20" w:lineRule="exact"/>
              <w:rPr>
                <w:sz w:val="1"/>
                <w:szCs w:val="1"/>
                <w:color w:val="auto"/>
              </w:rPr>
            </w:pPr>
          </w:p>
        </w:tc>
        <w:tc>
          <w:tcPr>
            <w:tcW w:w="540" w:type="dxa"/>
            <w:vAlign w:val="bottom"/>
            <w:tcBorders>
              <w:bottom w:val="single" w:sz="8" w:color="221F1F"/>
            </w:tcBorders>
          </w:tcPr>
          <w:p>
            <w:pPr>
              <w:spacing w:after="0" w:line="20" w:lineRule="exact"/>
              <w:rPr>
                <w:sz w:val="1"/>
                <w:szCs w:val="1"/>
                <w:color w:val="auto"/>
              </w:rPr>
            </w:pPr>
          </w:p>
        </w:tc>
        <w:tc>
          <w:tcPr>
            <w:tcW w:w="240" w:type="dxa"/>
            <w:vAlign w:val="bottom"/>
            <w:tcBorders>
              <w:bottom w:val="single" w:sz="8" w:color="221F1F"/>
              <w:right w:val="single" w:sz="8" w:color="221F1F"/>
            </w:tcBorders>
          </w:tcPr>
          <w:p>
            <w:pPr>
              <w:spacing w:after="0" w:line="20" w:lineRule="exact"/>
              <w:rPr>
                <w:sz w:val="1"/>
                <w:szCs w:val="1"/>
                <w:color w:val="auto"/>
              </w:rPr>
            </w:pPr>
          </w:p>
        </w:tc>
        <w:tc>
          <w:tcPr>
            <w:tcW w:w="320" w:type="dxa"/>
            <w:vAlign w:val="bottom"/>
            <w:tcBorders>
              <w:bottom w:val="single" w:sz="8" w:color="221F1F"/>
            </w:tcBorders>
          </w:tcPr>
          <w:p>
            <w:pPr>
              <w:spacing w:after="0" w:line="20" w:lineRule="exact"/>
              <w:rPr>
                <w:sz w:val="1"/>
                <w:szCs w:val="1"/>
                <w:color w:val="auto"/>
              </w:rPr>
            </w:pPr>
          </w:p>
        </w:tc>
        <w:tc>
          <w:tcPr>
            <w:tcW w:w="60" w:type="dxa"/>
            <w:vAlign w:val="bottom"/>
            <w:tcBorders>
              <w:top w:val="single" w:sz="8" w:color="221F1F"/>
              <w:bottom w:val="single" w:sz="8" w:color="221F1F"/>
            </w:tcBorders>
          </w:tcPr>
          <w:p>
            <w:pPr>
              <w:spacing w:after="0" w:line="20" w:lineRule="exact"/>
              <w:rPr>
                <w:sz w:val="1"/>
                <w:szCs w:val="1"/>
                <w:color w:val="auto"/>
              </w:rPr>
            </w:pPr>
          </w:p>
        </w:tc>
        <w:tc>
          <w:tcPr>
            <w:tcW w:w="100" w:type="dxa"/>
            <w:vAlign w:val="bottom"/>
            <w:tcBorders>
              <w:top w:val="single" w:sz="8" w:color="221F1F"/>
              <w:bottom w:val="single" w:sz="8" w:color="221F1F"/>
            </w:tcBorders>
          </w:tcPr>
          <w:p>
            <w:pPr>
              <w:spacing w:after="0" w:line="20" w:lineRule="exact"/>
              <w:rPr>
                <w:sz w:val="1"/>
                <w:szCs w:val="1"/>
                <w:color w:val="auto"/>
              </w:rPr>
            </w:pPr>
          </w:p>
        </w:tc>
        <w:tc>
          <w:tcPr>
            <w:tcW w:w="80" w:type="dxa"/>
            <w:vAlign w:val="bottom"/>
            <w:tcBorders>
              <w:bottom w:val="single" w:sz="8" w:color="221F1F"/>
            </w:tcBorders>
          </w:tcPr>
          <w:p>
            <w:pPr>
              <w:spacing w:after="0" w:line="20" w:lineRule="exact"/>
              <w:rPr>
                <w:sz w:val="1"/>
                <w:szCs w:val="1"/>
                <w:color w:val="auto"/>
              </w:rPr>
            </w:pPr>
          </w:p>
        </w:tc>
        <w:tc>
          <w:tcPr>
            <w:tcW w:w="200" w:type="dxa"/>
            <w:vAlign w:val="bottom"/>
            <w:tcBorders>
              <w:top w:val="single" w:sz="8" w:color="221F1F"/>
              <w:bottom w:val="single" w:sz="8" w:color="221F1F"/>
            </w:tcBorders>
          </w:tcPr>
          <w:p>
            <w:pPr>
              <w:spacing w:after="0" w:line="20" w:lineRule="exact"/>
              <w:rPr>
                <w:sz w:val="1"/>
                <w:szCs w:val="1"/>
                <w:color w:val="auto"/>
              </w:rPr>
            </w:pPr>
          </w:p>
        </w:tc>
        <w:tc>
          <w:tcPr>
            <w:tcW w:w="360" w:type="dxa"/>
            <w:vAlign w:val="bottom"/>
            <w:tcBorders>
              <w:bottom w:val="single" w:sz="8" w:color="221F1F"/>
            </w:tcBorders>
          </w:tcPr>
          <w:p>
            <w:pPr>
              <w:spacing w:after="0" w:line="20" w:lineRule="exact"/>
              <w:rPr>
                <w:sz w:val="1"/>
                <w:szCs w:val="1"/>
                <w:color w:val="auto"/>
              </w:rPr>
            </w:pPr>
          </w:p>
        </w:tc>
        <w:tc>
          <w:tcPr>
            <w:tcW w:w="1040" w:type="dxa"/>
            <w:vAlign w:val="bottom"/>
            <w:tcBorders>
              <w:bottom w:val="single" w:sz="8" w:color="221F1F"/>
            </w:tcBorders>
          </w:tcPr>
          <w:p>
            <w:pPr>
              <w:spacing w:after="0" w:line="20" w:lineRule="exact"/>
              <w:rPr>
                <w:sz w:val="1"/>
                <w:szCs w:val="1"/>
                <w:color w:val="auto"/>
              </w:rPr>
            </w:pPr>
          </w:p>
        </w:tc>
        <w:tc>
          <w:tcPr>
            <w:tcW w:w="20" w:type="dxa"/>
            <w:vAlign w:val="bottom"/>
            <w:tcBorders>
              <w:bottom w:val="single" w:sz="8" w:color="221F1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221F1F"/>
            </w:tcBorders>
          </w:tcPr>
          <w:p>
            <w:pPr>
              <w:spacing w:after="0"/>
              <w:rPr>
                <w:sz w:val="23"/>
                <w:szCs w:val="23"/>
                <w:color w:val="auto"/>
              </w:rPr>
            </w:pPr>
          </w:p>
        </w:tc>
        <w:tc>
          <w:tcPr>
            <w:tcW w:w="2440" w:type="dxa"/>
            <w:vAlign w:val="bottom"/>
            <w:tcBorders>
              <w:bottom w:val="single" w:sz="8" w:color="221F1F"/>
              <w:right w:val="single" w:sz="8" w:color="221F1F"/>
            </w:tcBorders>
            <w:gridSpan w:val="2"/>
          </w:tcPr>
          <w:p>
            <w:pPr>
              <w:ind w:left="160"/>
              <w:spacing w:after="0"/>
              <w:rPr>
                <w:sz w:val="20"/>
                <w:szCs w:val="20"/>
                <w:color w:val="auto"/>
              </w:rPr>
            </w:pPr>
            <w:r>
              <w:rPr>
                <w:rFonts w:ascii="Arial" w:cs="Arial" w:eastAsia="Arial" w:hAnsi="Arial"/>
                <w:sz w:val="22"/>
                <w:szCs w:val="22"/>
                <w:b w:val="1"/>
                <w:bCs w:val="1"/>
                <w:color w:val="221F1F"/>
              </w:rPr>
              <w:t>Email</w:t>
            </w:r>
          </w:p>
        </w:tc>
        <w:tc>
          <w:tcPr>
            <w:tcW w:w="80" w:type="dxa"/>
            <w:vAlign w:val="bottom"/>
            <w:tcBorders>
              <w:bottom w:val="single" w:sz="8" w:color="221F1F"/>
            </w:tcBorders>
          </w:tcPr>
          <w:p>
            <w:pPr>
              <w:spacing w:after="0"/>
              <w:rPr>
                <w:sz w:val="23"/>
                <w:szCs w:val="23"/>
                <w:color w:val="auto"/>
              </w:rPr>
            </w:pPr>
          </w:p>
        </w:tc>
        <w:tc>
          <w:tcPr>
            <w:tcW w:w="140" w:type="dxa"/>
            <w:vAlign w:val="bottom"/>
            <w:tcBorders>
              <w:bottom w:val="single" w:sz="8" w:color="221F1F"/>
            </w:tcBorders>
          </w:tcPr>
          <w:p>
            <w:pPr>
              <w:spacing w:after="0"/>
              <w:rPr>
                <w:sz w:val="23"/>
                <w:szCs w:val="23"/>
                <w:color w:val="auto"/>
              </w:rPr>
            </w:pPr>
          </w:p>
        </w:tc>
        <w:tc>
          <w:tcPr>
            <w:tcW w:w="260" w:type="dxa"/>
            <w:vAlign w:val="bottom"/>
            <w:tcBorders>
              <w:bottom w:val="single" w:sz="8" w:color="221F1F"/>
            </w:tcBorders>
          </w:tcPr>
          <w:p>
            <w:pPr>
              <w:spacing w:after="0"/>
              <w:rPr>
                <w:sz w:val="23"/>
                <w:szCs w:val="23"/>
                <w:color w:val="auto"/>
              </w:rPr>
            </w:pPr>
          </w:p>
        </w:tc>
        <w:tc>
          <w:tcPr>
            <w:tcW w:w="120" w:type="dxa"/>
            <w:vAlign w:val="bottom"/>
            <w:tcBorders>
              <w:bottom w:val="single" w:sz="8" w:color="221F1F"/>
            </w:tcBorders>
          </w:tcPr>
          <w:p>
            <w:pPr>
              <w:spacing w:after="0"/>
              <w:rPr>
                <w:sz w:val="23"/>
                <w:szCs w:val="23"/>
                <w:color w:val="auto"/>
              </w:rPr>
            </w:pPr>
          </w:p>
        </w:tc>
        <w:tc>
          <w:tcPr>
            <w:tcW w:w="200" w:type="dxa"/>
            <w:vAlign w:val="bottom"/>
            <w:tcBorders>
              <w:bottom w:val="single" w:sz="8" w:color="221F1F"/>
            </w:tcBorders>
          </w:tcPr>
          <w:p>
            <w:pPr>
              <w:spacing w:after="0"/>
              <w:rPr>
                <w:sz w:val="23"/>
                <w:szCs w:val="23"/>
                <w:color w:val="auto"/>
              </w:rPr>
            </w:pPr>
          </w:p>
        </w:tc>
        <w:tc>
          <w:tcPr>
            <w:tcW w:w="60" w:type="dxa"/>
            <w:vAlign w:val="bottom"/>
            <w:tcBorders>
              <w:bottom w:val="single" w:sz="8" w:color="221F1F"/>
            </w:tcBorders>
          </w:tcPr>
          <w:p>
            <w:pPr>
              <w:spacing w:after="0"/>
              <w:rPr>
                <w:sz w:val="23"/>
                <w:szCs w:val="23"/>
                <w:color w:val="auto"/>
              </w:rPr>
            </w:pPr>
          </w:p>
        </w:tc>
        <w:tc>
          <w:tcPr>
            <w:tcW w:w="200" w:type="dxa"/>
            <w:vAlign w:val="bottom"/>
            <w:tcBorders>
              <w:bottom w:val="single" w:sz="8" w:color="221F1F"/>
            </w:tcBorders>
          </w:tcPr>
          <w:p>
            <w:pPr>
              <w:spacing w:after="0"/>
              <w:rPr>
                <w:sz w:val="23"/>
                <w:szCs w:val="23"/>
                <w:color w:val="auto"/>
              </w:rPr>
            </w:pPr>
          </w:p>
        </w:tc>
        <w:tc>
          <w:tcPr>
            <w:tcW w:w="60" w:type="dxa"/>
            <w:vAlign w:val="bottom"/>
            <w:tcBorders>
              <w:bottom w:val="single" w:sz="8" w:color="221F1F"/>
            </w:tcBorders>
          </w:tcPr>
          <w:p>
            <w:pPr>
              <w:spacing w:after="0"/>
              <w:rPr>
                <w:sz w:val="23"/>
                <w:szCs w:val="23"/>
                <w:color w:val="auto"/>
              </w:rPr>
            </w:pPr>
          </w:p>
        </w:tc>
        <w:tc>
          <w:tcPr>
            <w:tcW w:w="200" w:type="dxa"/>
            <w:vAlign w:val="bottom"/>
            <w:tcBorders>
              <w:bottom w:val="single" w:sz="8" w:color="221F1F"/>
            </w:tcBorders>
          </w:tcPr>
          <w:p>
            <w:pPr>
              <w:spacing w:after="0"/>
              <w:rPr>
                <w:sz w:val="23"/>
                <w:szCs w:val="23"/>
                <w:color w:val="auto"/>
              </w:rPr>
            </w:pPr>
          </w:p>
        </w:tc>
        <w:tc>
          <w:tcPr>
            <w:tcW w:w="840" w:type="dxa"/>
            <w:vAlign w:val="bottom"/>
            <w:tcBorders>
              <w:bottom w:val="single" w:sz="8" w:color="221F1F"/>
            </w:tcBorders>
          </w:tcPr>
          <w:p>
            <w:pPr>
              <w:spacing w:after="0"/>
              <w:rPr>
                <w:sz w:val="23"/>
                <w:szCs w:val="23"/>
                <w:color w:val="auto"/>
              </w:rPr>
            </w:pPr>
          </w:p>
        </w:tc>
        <w:tc>
          <w:tcPr>
            <w:tcW w:w="320" w:type="dxa"/>
            <w:vAlign w:val="bottom"/>
            <w:tcBorders>
              <w:bottom w:val="single" w:sz="8" w:color="221F1F"/>
            </w:tcBorders>
          </w:tcPr>
          <w:p>
            <w:pPr>
              <w:spacing w:after="0"/>
              <w:rPr>
                <w:sz w:val="23"/>
                <w:szCs w:val="23"/>
                <w:color w:val="auto"/>
              </w:rPr>
            </w:pPr>
          </w:p>
        </w:tc>
        <w:tc>
          <w:tcPr>
            <w:tcW w:w="560" w:type="dxa"/>
            <w:vAlign w:val="bottom"/>
            <w:tcBorders>
              <w:bottom w:val="single" w:sz="8" w:color="221F1F"/>
            </w:tcBorders>
          </w:tcPr>
          <w:p>
            <w:pPr>
              <w:spacing w:after="0"/>
              <w:rPr>
                <w:sz w:val="23"/>
                <w:szCs w:val="23"/>
                <w:color w:val="auto"/>
              </w:rPr>
            </w:pPr>
          </w:p>
        </w:tc>
        <w:tc>
          <w:tcPr>
            <w:tcW w:w="120" w:type="dxa"/>
            <w:vAlign w:val="bottom"/>
            <w:tcBorders>
              <w:bottom w:val="single" w:sz="8" w:color="221F1F"/>
            </w:tcBorders>
          </w:tcPr>
          <w:p>
            <w:pPr>
              <w:spacing w:after="0"/>
              <w:rPr>
                <w:sz w:val="23"/>
                <w:szCs w:val="23"/>
                <w:color w:val="auto"/>
              </w:rPr>
            </w:pPr>
          </w:p>
        </w:tc>
        <w:tc>
          <w:tcPr>
            <w:tcW w:w="240" w:type="dxa"/>
            <w:vAlign w:val="bottom"/>
            <w:tcBorders>
              <w:bottom w:val="single" w:sz="8" w:color="221F1F"/>
            </w:tcBorders>
          </w:tcPr>
          <w:p>
            <w:pPr>
              <w:spacing w:after="0"/>
              <w:rPr>
                <w:sz w:val="23"/>
                <w:szCs w:val="23"/>
                <w:color w:val="auto"/>
              </w:rPr>
            </w:pPr>
          </w:p>
        </w:tc>
        <w:tc>
          <w:tcPr>
            <w:tcW w:w="140" w:type="dxa"/>
            <w:vAlign w:val="bottom"/>
            <w:tcBorders>
              <w:bottom w:val="single" w:sz="8" w:color="221F1F"/>
            </w:tcBorders>
          </w:tcPr>
          <w:p>
            <w:pPr>
              <w:spacing w:after="0"/>
              <w:rPr>
                <w:sz w:val="23"/>
                <w:szCs w:val="23"/>
                <w:color w:val="auto"/>
              </w:rPr>
            </w:pPr>
          </w:p>
        </w:tc>
        <w:tc>
          <w:tcPr>
            <w:tcW w:w="320" w:type="dxa"/>
            <w:vAlign w:val="bottom"/>
            <w:tcBorders>
              <w:bottom w:val="single" w:sz="8" w:color="221F1F"/>
            </w:tcBorders>
          </w:tcPr>
          <w:p>
            <w:pPr>
              <w:spacing w:after="0"/>
              <w:rPr>
                <w:sz w:val="23"/>
                <w:szCs w:val="23"/>
                <w:color w:val="auto"/>
              </w:rPr>
            </w:pPr>
          </w:p>
        </w:tc>
        <w:tc>
          <w:tcPr>
            <w:tcW w:w="100" w:type="dxa"/>
            <w:vAlign w:val="bottom"/>
            <w:tcBorders>
              <w:bottom w:val="single" w:sz="8" w:color="221F1F"/>
            </w:tcBorders>
          </w:tcPr>
          <w:p>
            <w:pPr>
              <w:spacing w:after="0"/>
              <w:rPr>
                <w:sz w:val="23"/>
                <w:szCs w:val="23"/>
                <w:color w:val="auto"/>
              </w:rPr>
            </w:pPr>
          </w:p>
        </w:tc>
        <w:tc>
          <w:tcPr>
            <w:tcW w:w="120" w:type="dxa"/>
            <w:vAlign w:val="bottom"/>
            <w:tcBorders>
              <w:bottom w:val="single" w:sz="8" w:color="221F1F"/>
            </w:tcBorders>
          </w:tcPr>
          <w:p>
            <w:pPr>
              <w:spacing w:after="0"/>
              <w:rPr>
                <w:sz w:val="23"/>
                <w:szCs w:val="23"/>
                <w:color w:val="auto"/>
              </w:rPr>
            </w:pPr>
          </w:p>
        </w:tc>
        <w:tc>
          <w:tcPr>
            <w:tcW w:w="540" w:type="dxa"/>
            <w:vAlign w:val="bottom"/>
            <w:tcBorders>
              <w:bottom w:val="single" w:sz="8" w:color="221F1F"/>
            </w:tcBorders>
          </w:tcPr>
          <w:p>
            <w:pPr>
              <w:spacing w:after="0"/>
              <w:rPr>
                <w:sz w:val="23"/>
                <w:szCs w:val="23"/>
                <w:color w:val="auto"/>
              </w:rPr>
            </w:pPr>
          </w:p>
        </w:tc>
        <w:tc>
          <w:tcPr>
            <w:tcW w:w="240" w:type="dxa"/>
            <w:vAlign w:val="bottom"/>
            <w:tcBorders>
              <w:bottom w:val="single" w:sz="8" w:color="221F1F"/>
            </w:tcBorders>
          </w:tcPr>
          <w:p>
            <w:pPr>
              <w:spacing w:after="0"/>
              <w:rPr>
                <w:sz w:val="23"/>
                <w:szCs w:val="23"/>
                <w:color w:val="auto"/>
              </w:rPr>
            </w:pPr>
          </w:p>
        </w:tc>
        <w:tc>
          <w:tcPr>
            <w:tcW w:w="320" w:type="dxa"/>
            <w:vAlign w:val="bottom"/>
            <w:tcBorders>
              <w:bottom w:val="single" w:sz="8" w:color="221F1F"/>
            </w:tcBorders>
          </w:tcPr>
          <w:p>
            <w:pPr>
              <w:spacing w:after="0"/>
              <w:rPr>
                <w:sz w:val="23"/>
                <w:szCs w:val="23"/>
                <w:color w:val="auto"/>
              </w:rPr>
            </w:pPr>
          </w:p>
        </w:tc>
        <w:tc>
          <w:tcPr>
            <w:tcW w:w="60" w:type="dxa"/>
            <w:vAlign w:val="bottom"/>
            <w:tcBorders>
              <w:bottom w:val="single" w:sz="8" w:color="221F1F"/>
            </w:tcBorders>
          </w:tcPr>
          <w:p>
            <w:pPr>
              <w:spacing w:after="0"/>
              <w:rPr>
                <w:sz w:val="23"/>
                <w:szCs w:val="23"/>
                <w:color w:val="auto"/>
              </w:rPr>
            </w:pPr>
          </w:p>
        </w:tc>
        <w:tc>
          <w:tcPr>
            <w:tcW w:w="100" w:type="dxa"/>
            <w:vAlign w:val="bottom"/>
            <w:tcBorders>
              <w:bottom w:val="single" w:sz="8" w:color="221F1F"/>
            </w:tcBorders>
          </w:tcPr>
          <w:p>
            <w:pPr>
              <w:spacing w:after="0"/>
              <w:rPr>
                <w:sz w:val="23"/>
                <w:szCs w:val="23"/>
                <w:color w:val="auto"/>
              </w:rPr>
            </w:pPr>
          </w:p>
        </w:tc>
        <w:tc>
          <w:tcPr>
            <w:tcW w:w="80" w:type="dxa"/>
            <w:vAlign w:val="bottom"/>
            <w:tcBorders>
              <w:bottom w:val="single" w:sz="8" w:color="221F1F"/>
            </w:tcBorders>
          </w:tcPr>
          <w:p>
            <w:pPr>
              <w:spacing w:after="0"/>
              <w:rPr>
                <w:sz w:val="23"/>
                <w:szCs w:val="23"/>
                <w:color w:val="auto"/>
              </w:rPr>
            </w:pPr>
          </w:p>
        </w:tc>
        <w:tc>
          <w:tcPr>
            <w:tcW w:w="200" w:type="dxa"/>
            <w:vAlign w:val="bottom"/>
            <w:tcBorders>
              <w:bottom w:val="single" w:sz="8" w:color="221F1F"/>
            </w:tcBorders>
          </w:tcPr>
          <w:p>
            <w:pPr>
              <w:spacing w:after="0"/>
              <w:rPr>
                <w:sz w:val="23"/>
                <w:szCs w:val="23"/>
                <w:color w:val="auto"/>
              </w:rPr>
            </w:pPr>
          </w:p>
        </w:tc>
        <w:tc>
          <w:tcPr>
            <w:tcW w:w="360" w:type="dxa"/>
            <w:vAlign w:val="bottom"/>
            <w:tcBorders>
              <w:bottom w:val="single" w:sz="8" w:color="221F1F"/>
            </w:tcBorders>
          </w:tcPr>
          <w:p>
            <w:pPr>
              <w:spacing w:after="0"/>
              <w:rPr>
                <w:sz w:val="23"/>
                <w:szCs w:val="23"/>
                <w:color w:val="auto"/>
              </w:rPr>
            </w:pPr>
          </w:p>
        </w:tc>
        <w:tc>
          <w:tcPr>
            <w:tcW w:w="1040" w:type="dxa"/>
            <w:vAlign w:val="bottom"/>
            <w:tcBorders>
              <w:bottom w:val="single" w:sz="8" w:color="221F1F"/>
            </w:tcBorders>
          </w:tcPr>
          <w:p>
            <w:pPr>
              <w:spacing w:after="0"/>
              <w:rPr>
                <w:sz w:val="23"/>
                <w:szCs w:val="23"/>
                <w:color w:val="auto"/>
              </w:rPr>
            </w:pPr>
          </w:p>
        </w:tc>
        <w:tc>
          <w:tcPr>
            <w:tcW w:w="20" w:type="dxa"/>
            <w:vAlign w:val="bottom"/>
            <w:tcBorders>
              <w:bottom w:val="single" w:sz="8" w:color="221F1F"/>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000" w:top="544" w:right="4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094730" cy="18516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094730" cy="1851660"/>
                    </a:xfrm>
                    <a:prstGeom prst="rect">
                      <a:avLst/>
                    </a:prstGeom>
                    <a:noFill/>
                  </pic:spPr>
                </pic:pic>
              </a:graphicData>
            </a:graphic>
          </wp:anchor>
        </w:drawing>
      </w:r>
    </w:p>
    <w:p>
      <w:pPr>
        <w:spacing w:after="0" w:line="327" w:lineRule="exact"/>
        <w:rPr>
          <w:sz w:val="20"/>
          <w:szCs w:val="20"/>
          <w:color w:val="auto"/>
        </w:rPr>
      </w:pPr>
    </w:p>
    <w:p>
      <w:pPr>
        <w:jc w:val="center"/>
        <w:ind w:right="840"/>
        <w:spacing w:after="0" w:line="264" w:lineRule="auto"/>
        <w:rPr>
          <w:sz w:val="20"/>
          <w:szCs w:val="20"/>
          <w:color w:val="auto"/>
        </w:rPr>
      </w:pPr>
      <w:r>
        <w:rPr>
          <w:rFonts w:ascii="Arial" w:cs="Arial" w:eastAsia="Arial" w:hAnsi="Arial"/>
          <w:sz w:val="22"/>
          <w:szCs w:val="22"/>
          <w:b w:val="1"/>
          <w:bCs w:val="1"/>
          <w:color w:val="221F1F"/>
        </w:rPr>
        <w:t>ATTORNEY CERTIFICATION AND SIGNATURE Under penalties as provided by law pursuant to Section 1-109 of the Illinois Code of Civil Procedure, the undersigned certifies that the statements set forth in this instrument are true and</w:t>
      </w:r>
    </w:p>
    <w:p>
      <w:pPr>
        <w:spacing w:after="0" w:line="2" w:lineRule="exact"/>
        <w:rPr>
          <w:sz w:val="20"/>
          <w:szCs w:val="20"/>
          <w:color w:val="auto"/>
        </w:rPr>
      </w:pPr>
    </w:p>
    <w:p>
      <w:pPr>
        <w:jc w:val="center"/>
        <w:ind w:right="840"/>
        <w:spacing w:after="0" w:line="281" w:lineRule="auto"/>
        <w:rPr>
          <w:sz w:val="20"/>
          <w:szCs w:val="20"/>
          <w:color w:val="auto"/>
        </w:rPr>
      </w:pPr>
      <w:r>
        <w:rPr>
          <w:rFonts w:ascii="Arial" w:cs="Arial" w:eastAsia="Arial" w:hAnsi="Arial"/>
          <w:sz w:val="22"/>
          <w:szCs w:val="22"/>
          <w:b w:val="1"/>
          <w:bCs w:val="1"/>
          <w:color w:val="221F1F"/>
        </w:rPr>
        <w:t>correct, except as to matters therein stated to be on information and belief and as to such matters the undersigned certifies as aforesaid that the undersigned verily believes the same to be true.</w:t>
      </w:r>
    </w:p>
    <w:tbl>
      <w:tblPr>
        <w:tblLayout w:type="fixed"/>
        <w:tblInd w:w="0" w:type="dxa"/>
        <w:tblCellMar>
          <w:top w:w="0" w:type="dxa"/>
          <w:left w:w="0" w:type="dxa"/>
          <w:bottom w:w="0" w:type="dxa"/>
          <w:right w:w="0" w:type="dxa"/>
        </w:tblCellMar>
      </w:tblPr>
      <w:tr>
        <w:trPr>
          <w:trHeight w:val="307"/>
        </w:trPr>
        <w:tc>
          <w:tcPr>
            <w:tcW w:w="1540" w:type="dxa"/>
            <w:vAlign w:val="bottom"/>
            <w:tcBorders>
              <w:top w:val="single" w:sz="8" w:color="221F1F"/>
              <w:bottom w:val="single" w:sz="8" w:color="221F1F"/>
              <w:right w:val="single" w:sz="8" w:color="221F1F"/>
            </w:tcBorders>
          </w:tcPr>
          <w:p>
            <w:pPr>
              <w:ind w:left="180"/>
              <w:spacing w:after="0"/>
              <w:rPr>
                <w:sz w:val="20"/>
                <w:szCs w:val="20"/>
                <w:color w:val="auto"/>
              </w:rPr>
            </w:pPr>
            <w:r>
              <w:rPr>
                <w:rFonts w:ascii="Arial" w:cs="Arial" w:eastAsia="Arial" w:hAnsi="Arial"/>
                <w:sz w:val="22"/>
                <w:szCs w:val="22"/>
                <w:b w:val="1"/>
                <w:bCs w:val="1"/>
                <w:color w:val="221F1F"/>
              </w:rPr>
              <w:t>Signature</w:t>
            </w:r>
          </w:p>
        </w:tc>
        <w:tc>
          <w:tcPr>
            <w:tcW w:w="2800" w:type="dxa"/>
            <w:vAlign w:val="bottom"/>
            <w:tcBorders>
              <w:top w:val="single" w:sz="8" w:color="221F1F"/>
            </w:tcBorders>
          </w:tcPr>
          <w:p>
            <w:pPr>
              <w:spacing w:after="0"/>
              <w:rPr>
                <w:sz w:val="24"/>
                <w:szCs w:val="24"/>
                <w:color w:val="auto"/>
              </w:rPr>
            </w:pPr>
          </w:p>
        </w:tc>
        <w:tc>
          <w:tcPr>
            <w:tcW w:w="1360" w:type="dxa"/>
            <w:vAlign w:val="bottom"/>
            <w:tcBorders>
              <w:top w:val="single" w:sz="8" w:color="221F1F"/>
              <w:right w:val="single" w:sz="8" w:color="221F1F"/>
            </w:tcBorders>
          </w:tcPr>
          <w:p>
            <w:pPr>
              <w:spacing w:after="0"/>
              <w:rPr>
                <w:sz w:val="24"/>
                <w:szCs w:val="24"/>
                <w:color w:val="auto"/>
              </w:rPr>
            </w:pPr>
          </w:p>
        </w:tc>
        <w:tc>
          <w:tcPr>
            <w:tcW w:w="980" w:type="dxa"/>
            <w:vAlign w:val="bottom"/>
            <w:tcBorders>
              <w:top w:val="single" w:sz="8" w:color="221F1F"/>
              <w:bottom w:val="single" w:sz="8" w:color="221F1F"/>
              <w:right w:val="single" w:sz="8" w:color="221F1F"/>
            </w:tcBorders>
          </w:tcPr>
          <w:p>
            <w:pPr>
              <w:ind w:left="140"/>
              <w:spacing w:after="0"/>
              <w:rPr>
                <w:sz w:val="20"/>
                <w:szCs w:val="20"/>
                <w:color w:val="auto"/>
              </w:rPr>
            </w:pPr>
            <w:r>
              <w:rPr>
                <w:rFonts w:ascii="Arial" w:cs="Arial" w:eastAsia="Arial" w:hAnsi="Arial"/>
                <w:sz w:val="22"/>
                <w:szCs w:val="22"/>
                <w:b w:val="1"/>
                <w:bCs w:val="1"/>
                <w:color w:val="221F1F"/>
              </w:rPr>
              <w:t>Date</w:t>
            </w:r>
          </w:p>
        </w:tc>
        <w:tc>
          <w:tcPr>
            <w:tcW w:w="940" w:type="dxa"/>
            <w:vAlign w:val="bottom"/>
            <w:tcBorders>
              <w:top w:val="single" w:sz="8" w:color="221F1F"/>
              <w:bottom w:val="single" w:sz="8" w:color="221F1F"/>
            </w:tcBorders>
          </w:tcPr>
          <w:p>
            <w:pPr>
              <w:spacing w:after="0"/>
              <w:rPr>
                <w:sz w:val="24"/>
                <w:szCs w:val="24"/>
                <w:color w:val="auto"/>
              </w:rPr>
            </w:pPr>
          </w:p>
        </w:tc>
        <w:tc>
          <w:tcPr>
            <w:tcW w:w="760" w:type="dxa"/>
            <w:vAlign w:val="bottom"/>
            <w:tcBorders>
              <w:top w:val="single" w:sz="8" w:color="221F1F"/>
              <w:bottom w:val="single" w:sz="8" w:color="221F1F"/>
            </w:tcBorders>
            <w:gridSpan w:val="2"/>
          </w:tcPr>
          <w:p>
            <w:pPr>
              <w:jc w:val="right"/>
              <w:ind w:right="220"/>
              <w:spacing w:after="0"/>
              <w:rPr>
                <w:sz w:val="20"/>
                <w:szCs w:val="20"/>
                <w:color w:val="auto"/>
              </w:rPr>
            </w:pPr>
            <w:r>
              <w:rPr>
                <w:rFonts w:ascii="Arial" w:cs="Arial" w:eastAsia="Arial" w:hAnsi="Arial"/>
                <w:sz w:val="22"/>
                <w:szCs w:val="22"/>
                <w:color w:val="221F1F"/>
              </w:rPr>
              <w:t>/  /</w:t>
            </w:r>
          </w:p>
        </w:tc>
        <w:tc>
          <w:tcPr>
            <w:tcW w:w="660" w:type="dxa"/>
            <w:vAlign w:val="bottom"/>
            <w:tcBorders>
              <w:top w:val="single" w:sz="8" w:color="221F1F"/>
            </w:tcBorders>
          </w:tcPr>
          <w:p>
            <w:pPr>
              <w:spacing w:after="0"/>
              <w:rPr>
                <w:sz w:val="24"/>
                <w:szCs w:val="24"/>
                <w:color w:val="auto"/>
              </w:rPr>
            </w:pPr>
          </w:p>
        </w:tc>
        <w:tc>
          <w:tcPr>
            <w:tcW w:w="560" w:type="dxa"/>
            <w:vAlign w:val="bottom"/>
            <w:tcBorders>
              <w:top w:val="single" w:sz="8" w:color="221F1F"/>
            </w:tcBorders>
          </w:tcPr>
          <w:p>
            <w:pPr>
              <w:spacing w:after="0"/>
              <w:rPr>
                <w:sz w:val="24"/>
                <w:szCs w:val="24"/>
                <w:color w:val="auto"/>
              </w:rPr>
            </w:pPr>
          </w:p>
        </w:tc>
      </w:tr>
      <w:tr>
        <w:trPr>
          <w:trHeight w:val="155"/>
        </w:trPr>
        <w:tc>
          <w:tcPr>
            <w:tcW w:w="1540" w:type="dxa"/>
            <w:vAlign w:val="bottom"/>
            <w:tcBorders>
              <w:right w:val="single" w:sz="8" w:color="221F1F"/>
            </w:tcBorders>
          </w:tcPr>
          <w:p>
            <w:pPr>
              <w:spacing w:after="0"/>
              <w:rPr>
                <w:sz w:val="13"/>
                <w:szCs w:val="13"/>
                <w:color w:val="auto"/>
              </w:rPr>
            </w:pPr>
          </w:p>
        </w:tc>
        <w:tc>
          <w:tcPr>
            <w:tcW w:w="2800" w:type="dxa"/>
            <w:vAlign w:val="bottom"/>
          </w:tcPr>
          <w:p>
            <w:pPr>
              <w:spacing w:after="0"/>
              <w:rPr>
                <w:sz w:val="13"/>
                <w:szCs w:val="13"/>
                <w:color w:val="auto"/>
              </w:rPr>
            </w:pPr>
          </w:p>
        </w:tc>
        <w:tc>
          <w:tcPr>
            <w:tcW w:w="1360" w:type="dxa"/>
            <w:vAlign w:val="bottom"/>
            <w:tcBorders>
              <w:right w:val="single" w:sz="8" w:color="221F1F"/>
            </w:tcBorders>
          </w:tcPr>
          <w:p>
            <w:pPr>
              <w:spacing w:after="0"/>
              <w:rPr>
                <w:sz w:val="13"/>
                <w:szCs w:val="13"/>
                <w:color w:val="auto"/>
              </w:rPr>
            </w:pPr>
          </w:p>
        </w:tc>
        <w:tc>
          <w:tcPr>
            <w:tcW w:w="980" w:type="dxa"/>
            <w:vAlign w:val="bottom"/>
            <w:tcBorders>
              <w:right w:val="single" w:sz="8" w:color="221F1F"/>
            </w:tcBorders>
          </w:tcPr>
          <w:p>
            <w:pPr>
              <w:spacing w:after="0"/>
              <w:rPr>
                <w:sz w:val="13"/>
                <w:szCs w:val="13"/>
                <w:color w:val="auto"/>
              </w:rPr>
            </w:pPr>
          </w:p>
        </w:tc>
        <w:tc>
          <w:tcPr>
            <w:tcW w:w="940" w:type="dxa"/>
            <w:vAlign w:val="bottom"/>
          </w:tcPr>
          <w:p>
            <w:pPr>
              <w:spacing w:after="0"/>
              <w:rPr>
                <w:sz w:val="13"/>
                <w:szCs w:val="13"/>
                <w:color w:val="auto"/>
              </w:rPr>
            </w:pPr>
          </w:p>
        </w:tc>
        <w:tc>
          <w:tcPr>
            <w:tcW w:w="1980" w:type="dxa"/>
            <w:vAlign w:val="bottom"/>
            <w:gridSpan w:val="4"/>
          </w:tcPr>
          <w:p>
            <w:pPr>
              <w:ind w:left="80"/>
              <w:spacing w:after="0" w:line="155" w:lineRule="exact"/>
              <w:rPr>
                <w:sz w:val="20"/>
                <w:szCs w:val="20"/>
                <w:color w:val="auto"/>
              </w:rPr>
            </w:pPr>
            <w:r>
              <w:rPr>
                <w:rFonts w:ascii="Arial" w:cs="Arial" w:eastAsia="Arial" w:hAnsi="Arial"/>
                <w:sz w:val="16"/>
                <w:szCs w:val="16"/>
                <w:color w:val="221F1F"/>
              </w:rPr>
              <w:t>(month) (day) (year)</w:t>
            </w:r>
          </w:p>
        </w:tc>
      </w:tr>
      <w:tr>
        <w:trPr>
          <w:trHeight w:val="21"/>
        </w:trPr>
        <w:tc>
          <w:tcPr>
            <w:tcW w:w="1540" w:type="dxa"/>
            <w:vAlign w:val="bottom"/>
            <w:tcBorders>
              <w:bottom w:val="single" w:sz="8" w:color="221F1F"/>
              <w:right w:val="single" w:sz="8" w:color="221F1F"/>
            </w:tcBorders>
          </w:tcPr>
          <w:p>
            <w:pPr>
              <w:spacing w:after="0" w:line="20" w:lineRule="exact"/>
              <w:rPr>
                <w:sz w:val="1"/>
                <w:szCs w:val="1"/>
                <w:color w:val="auto"/>
              </w:rPr>
            </w:pPr>
          </w:p>
        </w:tc>
        <w:tc>
          <w:tcPr>
            <w:tcW w:w="2800" w:type="dxa"/>
            <w:vAlign w:val="bottom"/>
            <w:tcBorders>
              <w:bottom w:val="single" w:sz="8" w:color="221F1F"/>
            </w:tcBorders>
          </w:tcPr>
          <w:p>
            <w:pPr>
              <w:spacing w:after="0" w:line="20" w:lineRule="exact"/>
              <w:rPr>
                <w:sz w:val="1"/>
                <w:szCs w:val="1"/>
                <w:color w:val="auto"/>
              </w:rPr>
            </w:pPr>
          </w:p>
        </w:tc>
        <w:tc>
          <w:tcPr>
            <w:tcW w:w="1360" w:type="dxa"/>
            <w:vAlign w:val="bottom"/>
            <w:tcBorders>
              <w:bottom w:val="single" w:sz="8" w:color="221F1F"/>
              <w:right w:val="single" w:sz="8" w:color="221F1F"/>
            </w:tcBorders>
          </w:tcPr>
          <w:p>
            <w:pPr>
              <w:spacing w:after="0" w:line="20" w:lineRule="exact"/>
              <w:rPr>
                <w:sz w:val="1"/>
                <w:szCs w:val="1"/>
                <w:color w:val="auto"/>
              </w:rPr>
            </w:pPr>
          </w:p>
        </w:tc>
        <w:tc>
          <w:tcPr>
            <w:tcW w:w="980" w:type="dxa"/>
            <w:vAlign w:val="bottom"/>
            <w:tcBorders>
              <w:bottom w:val="single" w:sz="8" w:color="221F1F"/>
              <w:right w:val="single" w:sz="8" w:color="221F1F"/>
            </w:tcBorders>
          </w:tcPr>
          <w:p>
            <w:pPr>
              <w:spacing w:after="0" w:line="20" w:lineRule="exact"/>
              <w:rPr>
                <w:sz w:val="1"/>
                <w:szCs w:val="1"/>
                <w:color w:val="auto"/>
              </w:rPr>
            </w:pPr>
          </w:p>
        </w:tc>
        <w:tc>
          <w:tcPr>
            <w:tcW w:w="940" w:type="dxa"/>
            <w:vAlign w:val="bottom"/>
            <w:tcBorders>
              <w:bottom w:val="single" w:sz="8" w:color="221F1F"/>
            </w:tcBorders>
          </w:tcPr>
          <w:p>
            <w:pPr>
              <w:spacing w:after="0" w:line="20" w:lineRule="exact"/>
              <w:rPr>
                <w:sz w:val="1"/>
                <w:szCs w:val="1"/>
                <w:color w:val="auto"/>
              </w:rPr>
            </w:pPr>
          </w:p>
        </w:tc>
        <w:tc>
          <w:tcPr>
            <w:tcW w:w="80" w:type="dxa"/>
            <w:vAlign w:val="bottom"/>
            <w:tcBorders>
              <w:bottom w:val="single" w:sz="8" w:color="221F1F"/>
            </w:tcBorders>
          </w:tcPr>
          <w:p>
            <w:pPr>
              <w:spacing w:after="0" w:line="20" w:lineRule="exact"/>
              <w:rPr>
                <w:sz w:val="1"/>
                <w:szCs w:val="1"/>
                <w:color w:val="auto"/>
              </w:rPr>
            </w:pPr>
          </w:p>
        </w:tc>
        <w:tc>
          <w:tcPr>
            <w:tcW w:w="680" w:type="dxa"/>
            <w:vAlign w:val="bottom"/>
            <w:tcBorders>
              <w:top w:val="single" w:sz="8" w:color="221F1F"/>
              <w:bottom w:val="single" w:sz="8" w:color="221F1F"/>
            </w:tcBorders>
          </w:tcPr>
          <w:p>
            <w:pPr>
              <w:spacing w:after="0" w:line="20" w:lineRule="exact"/>
              <w:rPr>
                <w:sz w:val="1"/>
                <w:szCs w:val="1"/>
                <w:color w:val="auto"/>
              </w:rPr>
            </w:pPr>
          </w:p>
        </w:tc>
        <w:tc>
          <w:tcPr>
            <w:tcW w:w="660" w:type="dxa"/>
            <w:vAlign w:val="bottom"/>
            <w:tcBorders>
              <w:top w:val="single" w:sz="8" w:color="221F1F"/>
              <w:bottom w:val="single" w:sz="8" w:color="221F1F"/>
            </w:tcBorders>
          </w:tcPr>
          <w:p>
            <w:pPr>
              <w:spacing w:after="0" w:line="20" w:lineRule="exact"/>
              <w:rPr>
                <w:sz w:val="1"/>
                <w:szCs w:val="1"/>
                <w:color w:val="auto"/>
              </w:rPr>
            </w:pPr>
          </w:p>
        </w:tc>
        <w:tc>
          <w:tcPr>
            <w:tcW w:w="560" w:type="dxa"/>
            <w:vAlign w:val="bottom"/>
            <w:tcBorders>
              <w:bottom w:val="single" w:sz="8" w:color="221F1F"/>
            </w:tcBorders>
          </w:tcPr>
          <w:p>
            <w:pPr>
              <w:spacing w:after="0" w:line="20" w:lineRule="exact"/>
              <w:rPr>
                <w:sz w:val="1"/>
                <w:szCs w:val="1"/>
                <w:color w:val="auto"/>
              </w:rPr>
            </w:pPr>
          </w:p>
        </w:tc>
      </w:tr>
      <w:tr>
        <w:trPr>
          <w:trHeight w:val="250"/>
        </w:trPr>
        <w:tc>
          <w:tcPr>
            <w:tcW w:w="1540" w:type="dxa"/>
            <w:vAlign w:val="bottom"/>
            <w:tcBorders>
              <w:right w:val="single" w:sz="8" w:color="221F1F"/>
            </w:tcBorders>
          </w:tcPr>
          <w:p>
            <w:pPr>
              <w:ind w:left="180"/>
              <w:spacing w:after="0" w:line="250" w:lineRule="exact"/>
              <w:rPr>
                <w:sz w:val="20"/>
                <w:szCs w:val="20"/>
                <w:color w:val="auto"/>
              </w:rPr>
            </w:pPr>
            <w:r>
              <w:rPr>
                <w:rFonts w:ascii="Arial" w:cs="Arial" w:eastAsia="Arial" w:hAnsi="Arial"/>
                <w:sz w:val="22"/>
                <w:szCs w:val="22"/>
                <w:b w:val="1"/>
                <w:bCs w:val="1"/>
                <w:color w:val="221F1F"/>
              </w:rPr>
              <w:t>Printed</w:t>
            </w:r>
          </w:p>
        </w:tc>
        <w:tc>
          <w:tcPr>
            <w:tcW w:w="2800" w:type="dxa"/>
            <w:vAlign w:val="bottom"/>
            <w:tcBorders>
              <w:right w:val="single" w:sz="8" w:color="221F1F"/>
            </w:tcBorders>
          </w:tcPr>
          <w:p>
            <w:pPr>
              <w:ind w:left="160"/>
              <w:spacing w:after="0"/>
              <w:rPr>
                <w:sz w:val="20"/>
                <w:szCs w:val="20"/>
                <w:color w:val="auto"/>
              </w:rPr>
            </w:pPr>
            <w:r>
              <w:rPr>
                <w:rFonts w:ascii="Arial" w:cs="Arial" w:eastAsia="Arial" w:hAnsi="Arial"/>
                <w:sz w:val="16"/>
                <w:szCs w:val="16"/>
                <w:color w:val="221F1F"/>
              </w:rPr>
              <w:t>First</w:t>
            </w:r>
          </w:p>
        </w:tc>
        <w:tc>
          <w:tcPr>
            <w:tcW w:w="1360" w:type="dxa"/>
            <w:vAlign w:val="bottom"/>
            <w:tcBorders>
              <w:right w:val="single" w:sz="8" w:color="221F1F"/>
            </w:tcBorders>
          </w:tcPr>
          <w:p>
            <w:pPr>
              <w:ind w:left="160"/>
              <w:spacing w:after="0"/>
              <w:rPr>
                <w:sz w:val="20"/>
                <w:szCs w:val="20"/>
                <w:color w:val="auto"/>
              </w:rPr>
            </w:pPr>
            <w:r>
              <w:rPr>
                <w:rFonts w:ascii="Arial" w:cs="Arial" w:eastAsia="Arial" w:hAnsi="Arial"/>
                <w:sz w:val="16"/>
                <w:szCs w:val="16"/>
                <w:color w:val="221F1F"/>
              </w:rPr>
              <w:t>MI</w:t>
            </w:r>
          </w:p>
        </w:tc>
        <w:tc>
          <w:tcPr>
            <w:tcW w:w="980" w:type="dxa"/>
            <w:vAlign w:val="bottom"/>
          </w:tcPr>
          <w:p>
            <w:pPr>
              <w:ind w:left="140"/>
              <w:spacing w:after="0"/>
              <w:rPr>
                <w:sz w:val="20"/>
                <w:szCs w:val="20"/>
                <w:color w:val="auto"/>
              </w:rPr>
            </w:pPr>
            <w:r>
              <w:rPr>
                <w:rFonts w:ascii="Arial" w:cs="Arial" w:eastAsia="Arial" w:hAnsi="Arial"/>
                <w:sz w:val="16"/>
                <w:szCs w:val="16"/>
                <w:color w:val="221F1F"/>
              </w:rPr>
              <w:t>Last</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1540" w:type="dxa"/>
            <w:vAlign w:val="bottom"/>
            <w:tcBorders>
              <w:bottom w:val="single" w:sz="8" w:color="221F1F"/>
              <w:right w:val="single" w:sz="8" w:color="221F1F"/>
            </w:tcBorders>
          </w:tcPr>
          <w:p>
            <w:pPr>
              <w:ind w:left="180"/>
              <w:spacing w:after="0"/>
              <w:rPr>
                <w:sz w:val="20"/>
                <w:szCs w:val="20"/>
                <w:color w:val="auto"/>
              </w:rPr>
            </w:pPr>
            <w:r>
              <w:rPr>
                <w:rFonts w:ascii="Arial" w:cs="Arial" w:eastAsia="Arial" w:hAnsi="Arial"/>
                <w:sz w:val="22"/>
                <w:szCs w:val="22"/>
                <w:b w:val="1"/>
                <w:bCs w:val="1"/>
                <w:color w:val="221F1F"/>
              </w:rPr>
              <w:t>Name</w:t>
            </w:r>
          </w:p>
        </w:tc>
        <w:tc>
          <w:tcPr>
            <w:tcW w:w="2800" w:type="dxa"/>
            <w:vAlign w:val="bottom"/>
            <w:tcBorders>
              <w:bottom w:val="single" w:sz="8" w:color="221F1F"/>
              <w:right w:val="single" w:sz="8" w:color="221F1F"/>
            </w:tcBorders>
          </w:tcPr>
          <w:p>
            <w:pPr>
              <w:spacing w:after="0"/>
              <w:rPr>
                <w:sz w:val="24"/>
                <w:szCs w:val="24"/>
                <w:color w:val="auto"/>
              </w:rPr>
            </w:pPr>
          </w:p>
        </w:tc>
        <w:tc>
          <w:tcPr>
            <w:tcW w:w="1360" w:type="dxa"/>
            <w:vAlign w:val="bottom"/>
            <w:tcBorders>
              <w:bottom w:val="single" w:sz="8" w:color="221F1F"/>
              <w:right w:val="single" w:sz="8" w:color="221F1F"/>
            </w:tcBorders>
          </w:tcPr>
          <w:p>
            <w:pPr>
              <w:spacing w:after="0"/>
              <w:rPr>
                <w:sz w:val="24"/>
                <w:szCs w:val="24"/>
                <w:color w:val="auto"/>
              </w:rPr>
            </w:pPr>
          </w:p>
        </w:tc>
        <w:tc>
          <w:tcPr>
            <w:tcW w:w="980" w:type="dxa"/>
            <w:vAlign w:val="bottom"/>
            <w:tcBorders>
              <w:bottom w:val="single" w:sz="8" w:color="221F1F"/>
            </w:tcBorders>
          </w:tcPr>
          <w:p>
            <w:pPr>
              <w:spacing w:after="0"/>
              <w:rPr>
                <w:sz w:val="24"/>
                <w:szCs w:val="24"/>
                <w:color w:val="auto"/>
              </w:rPr>
            </w:pPr>
          </w:p>
        </w:tc>
        <w:tc>
          <w:tcPr>
            <w:tcW w:w="940" w:type="dxa"/>
            <w:vAlign w:val="bottom"/>
            <w:tcBorders>
              <w:bottom w:val="single" w:sz="8" w:color="221F1F"/>
            </w:tcBorders>
          </w:tcPr>
          <w:p>
            <w:pPr>
              <w:spacing w:after="0"/>
              <w:rPr>
                <w:sz w:val="24"/>
                <w:szCs w:val="24"/>
                <w:color w:val="auto"/>
              </w:rPr>
            </w:pPr>
          </w:p>
        </w:tc>
        <w:tc>
          <w:tcPr>
            <w:tcW w:w="80" w:type="dxa"/>
            <w:vAlign w:val="bottom"/>
            <w:tcBorders>
              <w:bottom w:val="single" w:sz="8" w:color="221F1F"/>
            </w:tcBorders>
          </w:tcPr>
          <w:p>
            <w:pPr>
              <w:spacing w:after="0"/>
              <w:rPr>
                <w:sz w:val="24"/>
                <w:szCs w:val="24"/>
                <w:color w:val="auto"/>
              </w:rPr>
            </w:pPr>
          </w:p>
        </w:tc>
        <w:tc>
          <w:tcPr>
            <w:tcW w:w="680" w:type="dxa"/>
            <w:vAlign w:val="bottom"/>
            <w:tcBorders>
              <w:bottom w:val="single" w:sz="8" w:color="221F1F"/>
            </w:tcBorders>
          </w:tcPr>
          <w:p>
            <w:pPr>
              <w:spacing w:after="0"/>
              <w:rPr>
                <w:sz w:val="24"/>
                <w:szCs w:val="24"/>
                <w:color w:val="auto"/>
              </w:rPr>
            </w:pPr>
          </w:p>
        </w:tc>
        <w:tc>
          <w:tcPr>
            <w:tcW w:w="660" w:type="dxa"/>
            <w:vAlign w:val="bottom"/>
            <w:tcBorders>
              <w:bottom w:val="single" w:sz="8" w:color="221F1F"/>
            </w:tcBorders>
          </w:tcPr>
          <w:p>
            <w:pPr>
              <w:spacing w:after="0"/>
              <w:rPr>
                <w:sz w:val="24"/>
                <w:szCs w:val="24"/>
                <w:color w:val="auto"/>
              </w:rPr>
            </w:pPr>
          </w:p>
        </w:tc>
        <w:tc>
          <w:tcPr>
            <w:tcW w:w="560" w:type="dxa"/>
            <w:vAlign w:val="bottom"/>
            <w:tcBorders>
              <w:bottom w:val="single" w:sz="8" w:color="221F1F"/>
            </w:tcBorders>
          </w:tcPr>
          <w:p>
            <w:pPr>
              <w:spacing w:after="0"/>
              <w:rPr>
                <w:sz w:val="24"/>
                <w:szCs w:val="24"/>
                <w:color w:val="auto"/>
              </w:rPr>
            </w:pPr>
          </w:p>
        </w:tc>
      </w:tr>
    </w:tbl>
    <w:p>
      <w:pPr>
        <w:sectPr>
          <w:pgSz w:w="11900" w:h="16838" w:orient="portrait"/>
          <w:cols w:equalWidth="0" w:num="1">
            <w:col w:w="10460"/>
          </w:cols>
          <w:pgMar w:left="1000" w:top="719" w:right="4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u w:val="single" w:color="auto"/>
          <w:color w:val="auto"/>
        </w:rPr>
        <w:t>EXHIBIT C</w:t>
      </w:r>
    </w:p>
    <w:p>
      <w:pPr>
        <w:jc w:val="center"/>
        <w:spacing w:after="0"/>
        <w:rPr>
          <w:sz w:val="20"/>
          <w:szCs w:val="20"/>
          <w:color w:val="auto"/>
        </w:rPr>
      </w:pPr>
      <w:r>
        <w:rPr>
          <w:rFonts w:ascii="Arial" w:cs="Arial" w:eastAsia="Arial" w:hAnsi="Arial"/>
          <w:sz w:val="18"/>
          <w:szCs w:val="18"/>
          <w:color w:val="auto"/>
        </w:rPr>
        <w:t>Form of Release by Participating Claimants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AGREEMENT</w:t>
      </w:r>
    </w:p>
    <w:p>
      <w:pPr>
        <w:spacing w:after="0" w:line="229" w:lineRule="exact"/>
        <w:rPr>
          <w:sz w:val="20"/>
          <w:szCs w:val="20"/>
          <w:color w:val="auto"/>
        </w:rPr>
      </w:pPr>
    </w:p>
    <w:p>
      <w:pPr>
        <w:jc w:val="both"/>
        <w:ind w:left="100" w:right="19" w:firstLine="648"/>
        <w:spacing w:after="0" w:line="246" w:lineRule="auto"/>
        <w:rPr>
          <w:sz w:val="20"/>
          <w:szCs w:val="20"/>
          <w:color w:val="auto"/>
        </w:rPr>
      </w:pPr>
      <w:r>
        <w:rPr>
          <w:rFonts w:ascii="Arial" w:cs="Arial" w:eastAsia="Arial" w:hAnsi="Arial"/>
          <w:sz w:val="18"/>
          <w:szCs w:val="18"/>
          <w:color w:val="auto"/>
        </w:rPr>
        <w:t>This Release Agreement (the “</w:t>
      </w:r>
      <w:r>
        <w:rPr>
          <w:rFonts w:ascii="Arial" w:cs="Arial" w:eastAsia="Arial" w:hAnsi="Arial"/>
          <w:sz w:val="18"/>
          <w:szCs w:val="18"/>
          <w:u w:val="single" w:color="auto"/>
          <w:color w:val="auto"/>
        </w:rPr>
        <w:t>Release Agreement</w:t>
      </w:r>
      <w:r>
        <w:rPr>
          <w:rFonts w:ascii="Arial" w:cs="Arial" w:eastAsia="Arial" w:hAnsi="Arial"/>
          <w:sz w:val="18"/>
          <w:szCs w:val="18"/>
          <w:color w:val="auto"/>
        </w:rPr>
        <w:t>”) is made and entered into on the date signed below by the undersigned claimant (“</w:t>
      </w:r>
      <w:r>
        <w:rPr>
          <w:rFonts w:ascii="Arial" w:cs="Arial" w:eastAsia="Arial" w:hAnsi="Arial"/>
          <w:sz w:val="18"/>
          <w:szCs w:val="18"/>
          <w:u w:val="single" w:color="auto"/>
          <w:color w:val="auto"/>
        </w:rPr>
        <w:t>Releasor</w:t>
      </w:r>
      <w:r>
        <w:rPr>
          <w:rFonts w:ascii="Arial" w:cs="Arial" w:eastAsia="Arial" w:hAnsi="Arial"/>
          <w:sz w:val="18"/>
          <w:szCs w:val="18"/>
          <w:color w:val="auto"/>
        </w:rPr>
        <w:t>”) and takes effect on the Effective Date (as defined herein).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left="100" w:right="19" w:firstLine="648"/>
        <w:spacing w:after="0" w:line="248" w:lineRule="auto"/>
        <w:rPr>
          <w:sz w:val="20"/>
          <w:szCs w:val="20"/>
          <w:color w:val="auto"/>
        </w:rPr>
      </w:pPr>
      <w:r>
        <w:rPr>
          <w:rFonts w:ascii="Arial" w:cs="Arial" w:eastAsia="Arial" w:hAnsi="Arial"/>
          <w:sz w:val="16"/>
          <w:szCs w:val="16"/>
          <w:color w:val="auto"/>
        </w:rPr>
        <w:t>WHEREAS, on March 28, 2023, Sotera Health LLC and Sterigenics U.S., LLC (“</w:t>
      </w:r>
      <w:r>
        <w:rPr>
          <w:rFonts w:ascii="Arial" w:cs="Arial" w:eastAsia="Arial" w:hAnsi="Arial"/>
          <w:sz w:val="16"/>
          <w:szCs w:val="16"/>
          <w:u w:val="single" w:color="auto"/>
          <w:color w:val="auto"/>
        </w:rPr>
        <w:t>Settling Defendants</w:t>
      </w:r>
      <w:r>
        <w:rPr>
          <w:rFonts w:ascii="Arial" w:cs="Arial" w:eastAsia="Arial" w:hAnsi="Arial"/>
          <w:sz w:val="16"/>
          <w:szCs w:val="16"/>
          <w:color w:val="auto"/>
        </w:rPr>
        <w:t>”) and counsel for Releasor (“</w:t>
      </w:r>
      <w:r>
        <w:rPr>
          <w:rFonts w:ascii="Arial" w:cs="Arial" w:eastAsia="Arial" w:hAnsi="Arial"/>
          <w:sz w:val="16"/>
          <w:szCs w:val="16"/>
          <w:u w:val="single" w:color="auto"/>
          <w:color w:val="auto"/>
        </w:rPr>
        <w:t>Releasor’s Counsel</w:t>
      </w:r>
      <w:r>
        <w:rPr>
          <w:rFonts w:ascii="Arial" w:cs="Arial" w:eastAsia="Arial" w:hAnsi="Arial"/>
          <w:sz w:val="16"/>
          <w:szCs w:val="16"/>
          <w:color w:val="auto"/>
        </w:rPr>
        <w:t>”) entered into a binding agreement to provide for the full and final resolution</w:t>
      </w:r>
    </w:p>
    <w:p>
      <w:pPr>
        <w:jc w:val="both"/>
        <w:ind w:left="100" w:right="19"/>
        <w:spacing w:after="0" w:line="23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Group Settlement Agreement</w:t>
      </w:r>
      <w:r>
        <w:rPr>
          <w:rFonts w:ascii="Arial" w:cs="Arial" w:eastAsia="Arial" w:hAnsi="Arial"/>
          <w:sz w:val="16"/>
          <w:szCs w:val="16"/>
          <w:color w:val="auto"/>
        </w:rPr>
        <w:t>”) of the Releasor’s Covered Claims (as defined herein), including claims that have been, could have been, or may be asserted against Settling Defendants or others for injury arising from, relating to, or in connection with the use and/or emission of ethylene oxide by and/or from Sterigenics U.S., LLC’s or any other Released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Party’s (as defined herein) operations in or around Willowbrook, Illinois;</w:t>
      </w:r>
    </w:p>
    <w:p>
      <w:pPr>
        <w:spacing w:after="0" w:line="209" w:lineRule="exact"/>
        <w:rPr>
          <w:sz w:val="20"/>
          <w:szCs w:val="20"/>
          <w:color w:val="auto"/>
        </w:rPr>
      </w:pPr>
    </w:p>
    <w:p>
      <w:pPr>
        <w:jc w:val="both"/>
        <w:ind w:left="100" w:right="19" w:firstLine="648"/>
        <w:spacing w:after="0" w:line="235" w:lineRule="auto"/>
        <w:rPr>
          <w:sz w:val="20"/>
          <w:szCs w:val="20"/>
          <w:color w:val="auto"/>
        </w:rPr>
      </w:pPr>
      <w:r>
        <w:rPr>
          <w:rFonts w:ascii="Arial" w:cs="Arial" w:eastAsia="Arial" w:hAnsi="Arial"/>
          <w:sz w:val="18"/>
          <w:szCs w:val="18"/>
          <w:color w:val="auto"/>
        </w:rPr>
        <w:t>WHEREAS, Settling Defendants deny any and all liability with respect to the Covered Claims, and deny any liability to Releasor;</w:t>
      </w:r>
    </w:p>
    <w:p>
      <w:pPr>
        <w:spacing w:after="0" w:line="202" w:lineRule="exact"/>
        <w:rPr>
          <w:sz w:val="20"/>
          <w:szCs w:val="20"/>
          <w:color w:val="auto"/>
        </w:rPr>
      </w:pPr>
    </w:p>
    <w:p>
      <w:pPr>
        <w:jc w:val="both"/>
        <w:ind w:left="100" w:right="19" w:firstLine="648"/>
        <w:spacing w:after="0" w:line="248" w:lineRule="auto"/>
        <w:rPr>
          <w:sz w:val="20"/>
          <w:szCs w:val="20"/>
          <w:color w:val="auto"/>
        </w:rPr>
      </w:pPr>
      <w:r>
        <w:rPr>
          <w:rFonts w:ascii="Arial" w:cs="Arial" w:eastAsia="Arial" w:hAnsi="Arial"/>
          <w:sz w:val="16"/>
          <w:szCs w:val="16"/>
          <w:color w:val="auto"/>
        </w:rPr>
        <w:t>WHEREAS, in return for good and valuable consideration, as determined by the settlement program described in the Group Settlement Agreement (the “</w:t>
      </w:r>
      <w:r>
        <w:rPr>
          <w:rFonts w:ascii="Arial" w:cs="Arial" w:eastAsia="Arial" w:hAnsi="Arial"/>
          <w:sz w:val="16"/>
          <w:szCs w:val="16"/>
          <w:u w:val="single" w:color="auto"/>
          <w:color w:val="auto"/>
        </w:rPr>
        <w:t>Settlement Program</w:t>
      </w:r>
      <w:r>
        <w:rPr>
          <w:rFonts w:ascii="Arial" w:cs="Arial" w:eastAsia="Arial" w:hAnsi="Arial"/>
          <w:sz w:val="16"/>
          <w:szCs w:val="16"/>
          <w:color w:val="auto"/>
        </w:rPr>
        <w:t>”), Releasor agrees through this Release Agreement to release,</w:t>
      </w:r>
    </w:p>
    <w:p>
      <w:pPr>
        <w:ind w:left="100"/>
        <w:spacing w:after="0"/>
        <w:rPr>
          <w:sz w:val="20"/>
          <w:szCs w:val="20"/>
          <w:color w:val="auto"/>
        </w:rPr>
      </w:pPr>
      <w:r>
        <w:rPr>
          <w:rFonts w:ascii="Arial" w:cs="Arial" w:eastAsia="Arial" w:hAnsi="Arial"/>
          <w:sz w:val="18"/>
          <w:szCs w:val="18"/>
          <w:color w:val="auto"/>
        </w:rPr>
        <w:t>settle, and discharge any and all Covered Claims against the Released Parties;</w:t>
      </w:r>
    </w:p>
    <w:p>
      <w:pPr>
        <w:spacing w:after="0" w:line="209" w:lineRule="exact"/>
        <w:rPr>
          <w:sz w:val="20"/>
          <w:szCs w:val="20"/>
          <w:color w:val="auto"/>
        </w:rPr>
      </w:pPr>
    </w:p>
    <w:p>
      <w:pPr>
        <w:jc w:val="both"/>
        <w:ind w:left="100" w:right="19" w:firstLine="648"/>
        <w:spacing w:after="0" w:line="224" w:lineRule="auto"/>
        <w:rPr>
          <w:sz w:val="20"/>
          <w:szCs w:val="20"/>
          <w:color w:val="auto"/>
        </w:rPr>
      </w:pPr>
      <w:r>
        <w:rPr>
          <w:rFonts w:ascii="Arial" w:cs="Arial" w:eastAsia="Arial" w:hAnsi="Arial"/>
          <w:sz w:val="18"/>
          <w:szCs w:val="18"/>
          <w:color w:val="auto"/>
        </w:rPr>
        <w:t>WHEREAS, Releasor has been informed of the details of the Settlement Program, including Releasor’s individual allocated settlement amount, and has elected to participate in the Settlement Program, and therefore, as required by the Group Settlement Agreement, is entering into this Release Agreement; and</w:t>
      </w:r>
    </w:p>
    <w:p>
      <w:pPr>
        <w:spacing w:after="0" w:line="203" w:lineRule="exact"/>
        <w:rPr>
          <w:sz w:val="20"/>
          <w:szCs w:val="20"/>
          <w:color w:val="auto"/>
        </w:rPr>
      </w:pPr>
    </w:p>
    <w:p>
      <w:pPr>
        <w:jc w:val="both"/>
        <w:ind w:left="100" w:right="19" w:firstLine="648"/>
        <w:spacing w:after="0" w:line="246" w:lineRule="auto"/>
        <w:rPr>
          <w:sz w:val="20"/>
          <w:szCs w:val="20"/>
          <w:color w:val="auto"/>
        </w:rPr>
      </w:pPr>
      <w:r>
        <w:rPr>
          <w:rFonts w:ascii="Arial" w:cs="Arial" w:eastAsia="Arial" w:hAnsi="Arial"/>
          <w:sz w:val="18"/>
          <w:szCs w:val="18"/>
          <w:color w:val="auto"/>
        </w:rPr>
        <w:t>WHEREAS, this Release Agreement is conditioned on the performance and fulfillment of conditions set forth in the Group Settlement Agreement.</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NOW, THEREFORE, in consideration of the promises and mutual covenants contained herein, Releasor agrees as</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follows: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100" w:right="19" w:firstLine="642"/>
        <w:spacing w:after="0" w:line="279" w:lineRule="auto"/>
        <w:tabs>
          <w:tab w:leader="none" w:pos="1477"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 xml:space="preserve">Releasor. </w:t>
      </w:r>
      <w:r>
        <w:rPr>
          <w:rFonts w:ascii="Arial" w:cs="Arial" w:eastAsia="Arial" w:hAnsi="Arial"/>
          <w:sz w:val="17"/>
          <w:szCs w:val="17"/>
          <w:color w:val="auto"/>
        </w:rPr>
        <w:t>References to Releasor include Releasor’s heirs, beneficiaries, next of kin,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successors, assigns, and any person or entity claiming by, through, under, or on their behalf.</w:t>
      </w:r>
    </w:p>
    <w:p>
      <w:pPr>
        <w:spacing w:after="0" w:line="166" w:lineRule="exact"/>
        <w:rPr>
          <w:rFonts w:ascii="Arial" w:cs="Arial" w:eastAsia="Arial" w:hAnsi="Arial"/>
          <w:sz w:val="17"/>
          <w:szCs w:val="17"/>
          <w:color w:val="auto"/>
        </w:rPr>
      </w:pPr>
    </w:p>
    <w:p>
      <w:pPr>
        <w:ind w:left="100" w:right="19" w:firstLine="642"/>
        <w:spacing w:after="0" w:line="237" w:lineRule="auto"/>
        <w:tabs>
          <w:tab w:leader="none" w:pos="1477"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Releasor’s Counsel</w:t>
      </w:r>
      <w:r>
        <w:rPr>
          <w:rFonts w:ascii="Arial" w:cs="Arial" w:eastAsia="Arial" w:hAnsi="Arial"/>
          <w:sz w:val="18"/>
          <w:szCs w:val="18"/>
          <w:color w:val="auto"/>
        </w:rPr>
        <w:t>. “</w:t>
      </w:r>
      <w:r>
        <w:rPr>
          <w:rFonts w:ascii="Arial" w:cs="Arial" w:eastAsia="Arial" w:hAnsi="Arial"/>
          <w:sz w:val="18"/>
          <w:szCs w:val="18"/>
          <w:u w:val="single" w:color="auto"/>
          <w:color w:val="auto"/>
        </w:rPr>
        <w:t>Releasor’s Counsel</w:t>
      </w:r>
      <w:r>
        <w:rPr>
          <w:rFonts w:ascii="Arial" w:cs="Arial" w:eastAsia="Arial" w:hAnsi="Arial"/>
          <w:sz w:val="18"/>
          <w:szCs w:val="18"/>
          <w:color w:val="auto"/>
        </w:rPr>
        <w:t>” means the lawyer(s) and law firm representing Releasor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pending Covered Claims asserted against any Released Parties.</w:t>
      </w:r>
    </w:p>
    <w:p>
      <w:pPr>
        <w:spacing w:after="0" w:line="198" w:lineRule="exact"/>
        <w:rPr>
          <w:rFonts w:ascii="Arial" w:cs="Arial" w:eastAsia="Arial" w:hAnsi="Arial"/>
          <w:sz w:val="18"/>
          <w:szCs w:val="18"/>
          <w:color w:val="auto"/>
        </w:rPr>
      </w:pPr>
    </w:p>
    <w:p>
      <w:pPr>
        <w:ind w:left="1440" w:hanging="698"/>
        <w:spacing w:after="0"/>
        <w:tabs>
          <w:tab w:leader="none" w:pos="144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Released Parties.</w:t>
      </w:r>
    </w:p>
    <w:p>
      <w:pPr>
        <w:spacing w:after="0" w:line="216" w:lineRule="exact"/>
        <w:rPr>
          <w:sz w:val="20"/>
          <w:szCs w:val="20"/>
          <w:color w:val="auto"/>
        </w:rPr>
      </w:pPr>
    </w:p>
    <w:p>
      <w:pPr>
        <w:ind w:left="1440" w:hanging="698"/>
        <w:spacing w:after="0"/>
        <w:tabs>
          <w:tab w:leader="none" w:pos="1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Party</w:t>
      </w:r>
      <w:r>
        <w:rPr>
          <w:rFonts w:ascii="Arial" w:cs="Arial" w:eastAsia="Arial" w:hAnsi="Arial"/>
          <w:sz w:val="18"/>
          <w:szCs w:val="18"/>
          <w:color w:val="auto"/>
        </w:rPr>
        <w:t>” or “</w:t>
      </w:r>
      <w:r>
        <w:rPr>
          <w:rFonts w:ascii="Arial" w:cs="Arial" w:eastAsia="Arial" w:hAnsi="Arial"/>
          <w:sz w:val="18"/>
          <w:szCs w:val="18"/>
          <w:u w:val="single" w:color="auto"/>
          <w:color w:val="auto"/>
        </w:rPr>
        <w:t>Released Parties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720" w:right="339" w:hanging="411"/>
        <w:spacing w:after="0" w:line="246" w:lineRule="auto"/>
        <w:tabs>
          <w:tab w:leader="none" w:pos="170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Sotera Health Company; Sotera Health Holdings, LLC; Sotera Health LLC; Sotera Health Topco Parent, LP; and Sotera Health GP, LLC;</w:t>
      </w:r>
    </w:p>
    <w:p>
      <w:pPr>
        <w:spacing w:after="0" w:line="196" w:lineRule="exact"/>
        <w:rPr>
          <w:rFonts w:ascii="Arial" w:cs="Arial" w:eastAsia="Arial" w:hAnsi="Arial"/>
          <w:sz w:val="18"/>
          <w:szCs w:val="18"/>
          <w:color w:val="auto"/>
        </w:rPr>
      </w:pPr>
    </w:p>
    <w:p>
      <w:pPr>
        <w:ind w:left="1720" w:hanging="411"/>
        <w:spacing w:after="0"/>
        <w:tabs>
          <w:tab w:leader="none" w:pos="17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Sterigenics U.S., LLC;</w:t>
      </w:r>
    </w:p>
    <w:p>
      <w:pPr>
        <w:spacing w:after="0" w:line="225" w:lineRule="exact"/>
        <w:rPr>
          <w:rFonts w:ascii="Arial" w:cs="Arial" w:eastAsia="Arial" w:hAnsi="Arial"/>
          <w:sz w:val="18"/>
          <w:szCs w:val="18"/>
          <w:color w:val="auto"/>
        </w:rPr>
      </w:pPr>
    </w:p>
    <w:p>
      <w:pPr>
        <w:ind w:left="1720" w:right="39" w:hanging="411"/>
        <w:spacing w:after="0" w:line="226" w:lineRule="auto"/>
        <w:tabs>
          <w:tab w:leader="none" w:pos="1712" w:val="left"/>
        </w:tabs>
        <w:numPr>
          <w:ilvl w:val="1"/>
          <w:numId w:val="194"/>
        </w:numPr>
        <w:rPr>
          <w:rFonts w:ascii="Arial" w:cs="Arial" w:eastAsia="Arial" w:hAnsi="Arial"/>
          <w:sz w:val="17"/>
          <w:szCs w:val="17"/>
          <w:color w:val="auto"/>
        </w:rPr>
      </w:pPr>
      <w:r>
        <w:rPr>
          <w:rFonts w:ascii="Arial" w:cs="Arial" w:eastAsia="Arial" w:hAnsi="Arial"/>
          <w:sz w:val="17"/>
          <w:szCs w:val="17"/>
          <w:color w:val="auto"/>
        </w:rPr>
        <w:t>Warburg Pincus LLC and all funds, general partners and management companies associated with or managed by Warburg Pincus LLC or its affiliates, including without limitation Warburg Pincus Private Equity XI, LP; Warburg Pincus Private Equity XI-B, LP; Warburg Pincus Private Equity XI-C, LP; Warburg Pincus XI Partners, LP; WP XI Partners, LP; Warburg Pincus XI, LP; WP 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members, officers, directors, partners, and limited partners;</w:t>
      </w:r>
    </w:p>
    <w:p>
      <w:pPr>
        <w:spacing w:after="0" w:line="203" w:lineRule="exact"/>
        <w:rPr>
          <w:sz w:val="20"/>
          <w:szCs w:val="20"/>
          <w:color w:val="auto"/>
        </w:rPr>
      </w:pPr>
    </w:p>
    <w:p>
      <w:pPr>
        <w:ind w:left="1720" w:right="519" w:hanging="553"/>
        <w:spacing w:after="0" w:line="219" w:lineRule="auto"/>
        <w:tabs>
          <w:tab w:leader="none" w:pos="169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GTCR LLC; GTCR L.L.C.; and GTCR Golder Rauner II, L.L.C.; all funds associated with GTCR LLC, GTCR L.L.C., and GTCR Golder Rauner II, L.L.C., including without limitation GTCR Fund IX/A, L.P.; GTCR Fund IX/B, L.P.; GTCR Co-Invest III, L.P.; GTCR Fund XI/A LP; GTCR Fund XI/CLP; GTCR Partners XI/A&amp;C LP; GTCR Co-Invest XI LP; GTCR Investment XI LLC; GTCR Fund XI/A VCOC; GTCR Fund XI/C VCOC; and the respective affiliates, managers, limited partners, and members of (i)</w:t>
      </w:r>
    </w:p>
    <w:p>
      <w:pPr>
        <w:sectPr>
          <w:pgSz w:w="11900" w:h="16838" w:orient="portrait"/>
          <w:cols w:equalWidth="0" w:num="1">
            <w:col w:w="9019"/>
          </w:cols>
          <w:pgMar w:left="1440" w:top="933" w:right="1440" w:bottom="1440" w:gutter="0" w:footer="0" w:header="0"/>
        </w:sectPr>
      </w:pPr>
    </w:p>
    <w:bookmarkStart w:id="146" w:name="page147"/>
    <w:bookmarkEnd w:id="146"/>
    <w:p>
      <w:pPr>
        <w:ind w:left="1720" w:right="519"/>
        <w:spacing w:after="0" w:line="235" w:lineRule="auto"/>
        <w:rPr>
          <w:sz w:val="20"/>
          <w:szCs w:val="20"/>
          <w:color w:val="auto"/>
        </w:rPr>
      </w:pPr>
      <w:r>
        <w:rPr>
          <w:rFonts w:ascii="Arial" w:cs="Arial" w:eastAsia="Arial" w:hAnsi="Arial"/>
          <w:sz w:val="18"/>
          <w:szCs w:val="18"/>
          <w:color w:val="auto"/>
        </w:rPr>
        <w:t>GTCR LLC, GTCR L.L.C., and GTCR Golder Rauner II, L.L.C.; and (ii) the funds associated with GTCR LLC, GTCR L.L.C., and GTCR Golder Rauner II, LLC;</w:t>
      </w:r>
    </w:p>
    <w:p>
      <w:pPr>
        <w:spacing w:after="0" w:line="202" w:lineRule="exact"/>
        <w:rPr>
          <w:sz w:val="20"/>
          <w:szCs w:val="20"/>
          <w:color w:val="auto"/>
        </w:rPr>
      </w:pPr>
    </w:p>
    <w:p>
      <w:pPr>
        <w:ind w:left="1720" w:right="179" w:hanging="492"/>
        <w:spacing w:after="0" w:line="252" w:lineRule="auto"/>
        <w:tabs>
          <w:tab w:leader="none" w:pos="1708" w:val="left"/>
        </w:tabs>
        <w:numPr>
          <w:ilvl w:val="3"/>
          <w:numId w:val="196"/>
        </w:numPr>
        <w:rPr>
          <w:rFonts w:ascii="Arial" w:cs="Arial" w:eastAsia="Arial" w:hAnsi="Arial"/>
          <w:sz w:val="16"/>
          <w:szCs w:val="16"/>
          <w:color w:val="auto"/>
        </w:rPr>
      </w:pPr>
      <w:r>
        <w:rPr>
          <w:rFonts w:ascii="Arial" w:cs="Arial" w:eastAsia="Arial" w:hAnsi="Arial"/>
          <w:sz w:val="16"/>
          <w:szCs w:val="16"/>
          <w:color w:val="auto"/>
        </w:rPr>
        <w:t>all of the foregoing entities’ affiliates, predecessors, successors, direct or indirect parents, direct or indirect subsidiaries, assigns, as well as any current, former, direct or indirect partners, managers, members, shareholders, employees, directors, officers, management companies, incorporators, investors, landlords, tenants, suppliers, service providers, customers, consultants, attorneys, agents, declarants, affiants, or other representatives, including (witout limitation) ******; and</w:t>
      </w:r>
    </w:p>
    <w:p>
      <w:pPr>
        <w:spacing w:after="0" w:line="262" w:lineRule="exact"/>
        <w:rPr>
          <w:rFonts w:ascii="Arial" w:cs="Arial" w:eastAsia="Arial" w:hAnsi="Arial"/>
          <w:sz w:val="16"/>
          <w:szCs w:val="16"/>
          <w:color w:val="auto"/>
        </w:rPr>
      </w:pPr>
    </w:p>
    <w:p>
      <w:pPr>
        <w:ind w:left="1720" w:right="1459" w:hanging="553"/>
        <w:spacing w:after="0" w:line="235" w:lineRule="auto"/>
        <w:tabs>
          <w:tab w:leader="none" w:pos="1709" w:val="left"/>
        </w:tabs>
        <w:numPr>
          <w:ilvl w:val="3"/>
          <w:numId w:val="196"/>
        </w:numPr>
        <w:rPr>
          <w:rFonts w:ascii="Arial" w:cs="Arial" w:eastAsia="Arial" w:hAnsi="Arial"/>
          <w:sz w:val="18"/>
          <w:szCs w:val="18"/>
          <w:color w:val="auto"/>
        </w:rPr>
      </w:pPr>
      <w:r>
        <w:rPr>
          <w:rFonts w:ascii="Arial" w:cs="Arial" w:eastAsia="Arial" w:hAnsi="Arial"/>
          <w:sz w:val="18"/>
          <w:szCs w:val="18"/>
          <w:color w:val="auto"/>
        </w:rPr>
        <w:t>The Released Parties’ insurers, including (without limitation) Steadfast Insurance Company/Zurich Insurance Group and National Union/AIG.</w:t>
      </w:r>
    </w:p>
    <w:p>
      <w:pPr>
        <w:spacing w:after="0" w:line="202" w:lineRule="exact"/>
        <w:rPr>
          <w:rFonts w:ascii="Arial" w:cs="Arial" w:eastAsia="Arial" w:hAnsi="Arial"/>
          <w:sz w:val="18"/>
          <w:szCs w:val="18"/>
          <w:color w:val="auto"/>
        </w:rPr>
      </w:pPr>
    </w:p>
    <w:p>
      <w:pPr>
        <w:ind w:left="1380" w:hanging="557"/>
        <w:spacing w:after="0"/>
        <w:tabs>
          <w:tab w:leader="none" w:pos="13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Released Parties are intended third-party beneficiaries of this Release Agreement.</w:t>
      </w:r>
    </w:p>
    <w:p>
      <w:pPr>
        <w:spacing w:after="0" w:line="221" w:lineRule="exact"/>
        <w:rPr>
          <w:rFonts w:ascii="Arial" w:cs="Arial" w:eastAsia="Arial" w:hAnsi="Arial"/>
          <w:sz w:val="18"/>
          <w:szCs w:val="18"/>
          <w:color w:val="auto"/>
        </w:rPr>
      </w:pPr>
    </w:p>
    <w:p>
      <w:pPr>
        <w:ind w:left="1480" w:hanging="738"/>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 xml:space="preserve">Covered Claims. </w:t>
      </w:r>
      <w:r>
        <w:rPr>
          <w:rFonts w:ascii="Arial" w:cs="Arial" w:eastAsia="Arial" w:hAnsi="Arial"/>
          <w:sz w:val="18"/>
          <w:szCs w:val="18"/>
          <w:color w:val="auto"/>
        </w:rPr>
        <w:t>“Covered Claims” means the following categories of claims:</w:t>
      </w:r>
    </w:p>
    <w:p>
      <w:pPr>
        <w:spacing w:after="0" w:line="229" w:lineRule="exact"/>
        <w:rPr>
          <w:rFonts w:ascii="Arial" w:cs="Arial" w:eastAsia="Arial" w:hAnsi="Arial"/>
          <w:sz w:val="18"/>
          <w:szCs w:val="18"/>
          <w:color w:val="auto"/>
        </w:rPr>
      </w:pPr>
    </w:p>
    <w:p>
      <w:pPr>
        <w:jc w:val="both"/>
        <w:ind w:left="1380" w:right="19" w:hanging="558"/>
        <w:spacing w:after="0" w:line="226" w:lineRule="auto"/>
        <w:tabs>
          <w:tab w:leader="none" w:pos="137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Any lawsuits, disputes, and/or claims, whether filed or unfiled, that have been, or may in the future be, asserted against the Settling Defendants or any other Released Parties regarding injuries arising from, relating to, or in connection with the alleged use or emissions of ethylene oxide from Sterigenics U.S., LLC’s or any other Released Party’s operations in or around Willowbrook, Illinois (“</w:t>
      </w:r>
      <w:r>
        <w:rPr>
          <w:rFonts w:ascii="Arial" w:cs="Arial" w:eastAsia="Arial" w:hAnsi="Arial"/>
          <w:sz w:val="17"/>
          <w:szCs w:val="17"/>
          <w:u w:val="single" w:color="auto"/>
          <w:color w:val="auto"/>
        </w:rPr>
        <w:t>Willowbrook</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Claims</w:t>
      </w:r>
      <w:r>
        <w:rPr>
          <w:rFonts w:ascii="Arial" w:cs="Arial" w:eastAsia="Arial" w:hAnsi="Arial"/>
          <w:sz w:val="17"/>
          <w:szCs w:val="17"/>
          <w:color w:val="auto"/>
        </w:rPr>
        <w:t>”). For the avoidance of doubt, Willowbrook Claims include (without limitation) injuries—arising from, relating to, or in connection with the alleged use or emissions of ethylene oxide from Sterigenics U.S., LLC’s Willowbrook facility—that may develop in the future, whether the alleged injury relates to an entirely new diagnosis or a recurrence of an earlier medical diagnosis. Willowbrook Claims do not include claims regarding injuries that are unrelated or not alleged to be related to ethylene oxide exposure in or around Willowbrook, Illinois (e.g., a claim arising from a vehicle accident between a Released Party and an employee driving a vehicle belonging to a Settling Defendant). The Willowbrook Claims include (without limitation):</w:t>
      </w:r>
    </w:p>
    <w:p>
      <w:pPr>
        <w:spacing w:after="0" w:line="207" w:lineRule="exact"/>
        <w:rPr>
          <w:rFonts w:ascii="Arial" w:cs="Arial" w:eastAsia="Arial" w:hAnsi="Arial"/>
          <w:sz w:val="17"/>
          <w:szCs w:val="17"/>
          <w:color w:val="auto"/>
        </w:rPr>
      </w:pPr>
    </w:p>
    <w:p>
      <w:pPr>
        <w:ind w:left="1700" w:hanging="485"/>
        <w:spacing w:after="0"/>
        <w:tabs>
          <w:tab w:leader="none" w:pos="170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 xml:space="preserve">The judgment in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w:t>
      </w:r>
    </w:p>
    <w:p>
      <w:pPr>
        <w:spacing w:after="0" w:line="211" w:lineRule="exact"/>
        <w:rPr>
          <w:rFonts w:ascii="Arial" w:cs="Arial" w:eastAsia="Arial" w:hAnsi="Arial"/>
          <w:sz w:val="18"/>
          <w:szCs w:val="18"/>
          <w:color w:val="auto"/>
        </w:rPr>
      </w:pPr>
    </w:p>
    <w:p>
      <w:pPr>
        <w:jc w:val="both"/>
        <w:ind w:left="1720" w:right="599" w:hanging="505"/>
        <w:spacing w:after="0" w:line="245" w:lineRule="auto"/>
        <w:tabs>
          <w:tab w:leader="none" w:pos="1718" w:val="left"/>
        </w:tabs>
        <w:numPr>
          <w:ilvl w:val="2"/>
          <w:numId w:val="198"/>
        </w:numPr>
        <w:rPr>
          <w:rFonts w:ascii="Arial" w:cs="Arial" w:eastAsia="Arial" w:hAnsi="Arial"/>
          <w:sz w:val="17"/>
          <w:szCs w:val="17"/>
          <w:color w:val="auto"/>
        </w:rPr>
      </w:pPr>
      <w:r>
        <w:rPr>
          <w:rFonts w:ascii="Arial" w:cs="Arial" w:eastAsia="Arial" w:hAnsi="Arial"/>
          <w:sz w:val="17"/>
          <w:szCs w:val="17"/>
          <w:color w:val="auto"/>
        </w:rPr>
        <w:t>All claims against Sterigenics U.S., LLC as successor to Sterigenics EO, Inc., IBA S&amp;I, Inc., Griffith Micro Science, Inc., Micro-Biotrol, Inc., and Micro- Biotrol Company related to the operations of any of those companies in or around Willowbrook, Illinois; and</w:t>
      </w:r>
    </w:p>
    <w:p>
      <w:pPr>
        <w:spacing w:after="0" w:line="197" w:lineRule="exact"/>
        <w:rPr>
          <w:rFonts w:ascii="Arial" w:cs="Arial" w:eastAsia="Arial" w:hAnsi="Arial"/>
          <w:sz w:val="17"/>
          <w:szCs w:val="17"/>
          <w:color w:val="auto"/>
        </w:rPr>
      </w:pPr>
    </w:p>
    <w:p>
      <w:pPr>
        <w:ind w:left="1720" w:right="399" w:hanging="566"/>
        <w:spacing w:after="0" w:line="245" w:lineRule="auto"/>
        <w:tabs>
          <w:tab w:leader="none" w:pos="1707" w:val="left"/>
        </w:tabs>
        <w:numPr>
          <w:ilvl w:val="3"/>
          <w:numId w:val="198"/>
        </w:numPr>
        <w:rPr>
          <w:rFonts w:ascii="Arial" w:cs="Arial" w:eastAsia="Arial" w:hAnsi="Arial"/>
          <w:sz w:val="17"/>
          <w:szCs w:val="17"/>
          <w:color w:val="auto"/>
        </w:rPr>
      </w:pPr>
      <w:r>
        <w:rPr>
          <w:rFonts w:ascii="Arial" w:cs="Arial" w:eastAsia="Arial" w:hAnsi="Arial"/>
          <w:sz w:val="17"/>
          <w:szCs w:val="17"/>
          <w:color w:val="auto"/>
        </w:rPr>
        <w:t xml:space="preserve">The following cases in the Circuit Court of Cook County, Illinois: </w:t>
      </w:r>
      <w:r>
        <w:rPr>
          <w:rFonts w:ascii="Arial" w:cs="Arial" w:eastAsia="Arial" w:hAnsi="Arial"/>
          <w:sz w:val="17"/>
          <w:szCs w:val="17"/>
          <w:i w:val="1"/>
          <w:iCs w:val="1"/>
          <w:color w:val="auto"/>
        </w:rPr>
        <w:t>Kamuda v. Sterigenics U.S.,</w:t>
      </w:r>
      <w:r>
        <w:rPr>
          <w:rFonts w:ascii="Arial" w:cs="Arial" w:eastAsia="Arial" w:hAnsi="Arial"/>
          <w:sz w:val="17"/>
          <w:szCs w:val="17"/>
          <w:color w:val="auto"/>
        </w:rPr>
        <w:t xml:space="preserve"> </w:t>
      </w:r>
      <w:r>
        <w:rPr>
          <w:rFonts w:ascii="Arial" w:cs="Arial" w:eastAsia="Arial" w:hAnsi="Arial"/>
          <w:sz w:val="17"/>
          <w:szCs w:val="17"/>
          <w:i w:val="1"/>
          <w:iCs w:val="1"/>
          <w:color w:val="auto"/>
        </w:rPr>
        <w:t>LLC</w:t>
      </w:r>
      <w:r>
        <w:rPr>
          <w:rFonts w:ascii="Arial" w:cs="Arial" w:eastAsia="Arial" w:hAnsi="Arial"/>
          <w:sz w:val="17"/>
          <w:szCs w:val="17"/>
          <w:color w:val="auto"/>
        </w:rPr>
        <w:t>, Case No. 2018-L-010475;</w:t>
      </w:r>
      <w:r>
        <w:rPr>
          <w:rFonts w:ascii="Arial" w:cs="Arial" w:eastAsia="Arial" w:hAnsi="Arial"/>
          <w:sz w:val="17"/>
          <w:szCs w:val="17"/>
          <w:i w:val="1"/>
          <w:iCs w:val="1"/>
          <w:color w:val="auto"/>
        </w:rPr>
        <w:t xml:space="preserve"> Fornek v. Sterigenics U.S., LLC</w:t>
      </w:r>
      <w:r>
        <w:rPr>
          <w:rFonts w:ascii="Arial" w:cs="Arial" w:eastAsia="Arial" w:hAnsi="Arial"/>
          <w:sz w:val="17"/>
          <w:szCs w:val="17"/>
          <w:color w:val="auto"/>
        </w:rPr>
        <w:t>, Case No. 2018-L-010744; and</w:t>
      </w:r>
      <w:r>
        <w:rPr>
          <w:rFonts w:ascii="Arial" w:cs="Arial" w:eastAsia="Arial" w:hAnsi="Arial"/>
          <w:sz w:val="17"/>
          <w:szCs w:val="17"/>
          <w:i w:val="1"/>
          <w:iCs w:val="1"/>
          <w:color w:val="auto"/>
        </w:rPr>
        <w:t xml:space="preserve"> Schumacher v. Sterigenics U.S., LLC</w:t>
      </w:r>
      <w:r>
        <w:rPr>
          <w:rFonts w:ascii="Arial" w:cs="Arial" w:eastAsia="Arial" w:hAnsi="Arial"/>
          <w:sz w:val="17"/>
          <w:szCs w:val="17"/>
          <w:color w:val="auto"/>
        </w:rPr>
        <w:t>, Case No. 2018-L-011939.</w:t>
      </w:r>
    </w:p>
    <w:p>
      <w:pPr>
        <w:spacing w:after="0" w:line="198" w:lineRule="exact"/>
        <w:rPr>
          <w:sz w:val="20"/>
          <w:szCs w:val="20"/>
          <w:color w:val="auto"/>
        </w:rPr>
      </w:pPr>
    </w:p>
    <w:p>
      <w:pPr>
        <w:jc w:val="both"/>
        <w:ind w:left="1400" w:right="19" w:hanging="658"/>
        <w:spacing w:after="0" w:line="223" w:lineRule="auto"/>
        <w:tabs>
          <w:tab w:leader="none" w:pos="139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Actions, citations, or potential actions or citations to enforce or collect on a judgment or verdict obtained in any case involving Willowbrook Claims, including but not limited to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 pending in the Circuit Court of Cook County, Illinois (Hon. Patrick Heneghan); and</w:t>
      </w:r>
    </w:p>
    <w:p>
      <w:pPr>
        <w:spacing w:after="0" w:line="202" w:lineRule="exact"/>
        <w:rPr>
          <w:rFonts w:ascii="Arial" w:cs="Arial" w:eastAsia="Arial" w:hAnsi="Arial"/>
          <w:sz w:val="18"/>
          <w:szCs w:val="18"/>
          <w:color w:val="auto"/>
        </w:rPr>
      </w:pPr>
    </w:p>
    <w:p>
      <w:pPr>
        <w:jc w:val="both"/>
        <w:ind w:left="1400" w:right="19" w:hanging="658"/>
        <w:spacing w:after="0" w:line="232" w:lineRule="auto"/>
        <w:tabs>
          <w:tab w:leader="none" w:pos="139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Bachoe v. Sotera Health Co.</w:t>
      </w:r>
      <w:r>
        <w:rPr>
          <w:rFonts w:ascii="Arial" w:cs="Arial" w:eastAsia="Arial" w:hAnsi="Arial"/>
          <w:sz w:val="17"/>
          <w:szCs w:val="17"/>
          <w:color w:val="auto"/>
        </w:rPr>
        <w:t xml:space="preserve"> action filed on November 1, 2022 in the Circuit Court of Cook County, Illinois (Case No. 2022-L-009825), the </w:t>
      </w:r>
      <w:r>
        <w:rPr>
          <w:rFonts w:ascii="Arial" w:cs="Arial" w:eastAsia="Arial" w:hAnsi="Arial"/>
          <w:sz w:val="17"/>
          <w:szCs w:val="17"/>
          <w:i w:val="1"/>
          <w:iCs w:val="1"/>
          <w:color w:val="auto"/>
        </w:rPr>
        <w:t>Bachoe v. Sotera Health Co.</w:t>
      </w:r>
      <w:r>
        <w:rPr>
          <w:rFonts w:ascii="Arial" w:cs="Arial" w:eastAsia="Arial" w:hAnsi="Arial"/>
          <w:sz w:val="17"/>
          <w:szCs w:val="17"/>
          <w:color w:val="auto"/>
        </w:rPr>
        <w:t xml:space="preserve"> action now pending in the U.S. District Court for the Northern District of Illinois (Case No. 22-cv-06292), and any other actual or potential actions seeking to challenge any transfer of assets to or from Sterigenics U.S., LLC, Sotera Health LLC, or any other Released Party to any other entity or person.</w:t>
      </w:r>
    </w:p>
    <w:p>
      <w:pPr>
        <w:spacing w:after="0" w:line="198" w:lineRule="exact"/>
        <w:rPr>
          <w:rFonts w:ascii="Arial" w:cs="Arial" w:eastAsia="Arial" w:hAnsi="Arial"/>
          <w:sz w:val="17"/>
          <w:szCs w:val="17"/>
          <w:color w:val="auto"/>
        </w:rPr>
      </w:pPr>
    </w:p>
    <w:p>
      <w:pPr>
        <w:jc w:val="both"/>
        <w:ind w:left="100" w:right="19" w:firstLine="641"/>
        <w:spacing w:after="0" w:line="249" w:lineRule="auto"/>
        <w:tabs>
          <w:tab w:leader="none" w:pos="1477" w:val="left"/>
        </w:tabs>
        <w:numPr>
          <w:ilvl w:val="0"/>
          <w:numId w:val="200"/>
        </w:numPr>
        <w:rPr>
          <w:rFonts w:ascii="Arial" w:cs="Arial" w:eastAsia="Arial" w:hAnsi="Arial"/>
          <w:sz w:val="16"/>
          <w:szCs w:val="16"/>
          <w:color w:val="auto"/>
        </w:rPr>
      </w:pPr>
      <w:r>
        <w:rPr>
          <w:rFonts w:ascii="Arial" w:cs="Arial" w:eastAsia="Arial" w:hAnsi="Arial"/>
          <w:sz w:val="16"/>
          <w:szCs w:val="16"/>
          <w:b w:val="1"/>
          <w:bCs w:val="1"/>
          <w:color w:val="auto"/>
        </w:rPr>
        <w:t>Effective Date</w:t>
      </w:r>
      <w:r>
        <w:rPr>
          <w:rFonts w:ascii="Arial" w:cs="Arial" w:eastAsia="Arial" w:hAnsi="Arial"/>
          <w:sz w:val="16"/>
          <w:szCs w:val="16"/>
          <w:color w:val="auto"/>
        </w:rPr>
        <w:t>. The terms of this Release Agreement immediately become binding upon the Releasor’s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hereof (such date of execution,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and without any further action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release of Covered Claims, as described in Paragraphs 6 and 7, will not become effective unless and until the QSF Funding Date occurs (as defined in the Settlement Agreement). If the Settling Defendants opt to terminate the Settlement Agreement, this Release Agreement will be null and void </w:t>
      </w:r>
      <w:r>
        <w:rPr>
          <w:rFonts w:ascii="Arial" w:cs="Arial" w:eastAsia="Arial" w:hAnsi="Arial"/>
          <w:sz w:val="16"/>
          <w:szCs w:val="16"/>
          <w:i w:val="1"/>
          <w:iCs w:val="1"/>
          <w:color w:val="auto"/>
        </w:rPr>
        <w:t>nunc pro tunc</w:t>
      </w:r>
      <w:r>
        <w:rPr>
          <w:rFonts w:ascii="Arial" w:cs="Arial" w:eastAsia="Arial" w:hAnsi="Arial"/>
          <w:sz w:val="16"/>
          <w:szCs w:val="16"/>
          <w:color w:val="auto"/>
        </w:rPr>
        <w:t xml:space="preserve"> and returned to Releasor’s Counsel.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5" w:lineRule="exact"/>
        <w:rPr>
          <w:sz w:val="20"/>
          <w:szCs w:val="20"/>
          <w:color w:val="auto"/>
        </w:rPr>
      </w:pPr>
    </w:p>
    <w:p>
      <w:pPr>
        <w:jc w:val="both"/>
        <w:ind w:left="100" w:right="19" w:firstLine="641"/>
        <w:spacing w:after="0" w:line="245" w:lineRule="auto"/>
        <w:tabs>
          <w:tab w:leader="none" w:pos="1477" w:val="left"/>
        </w:tabs>
        <w:numPr>
          <w:ilvl w:val="0"/>
          <w:numId w:val="201"/>
        </w:numPr>
        <w:rPr>
          <w:rFonts w:ascii="Arial" w:cs="Arial" w:eastAsia="Arial" w:hAnsi="Arial"/>
          <w:sz w:val="16"/>
          <w:szCs w:val="16"/>
          <w:color w:val="auto"/>
        </w:rPr>
      </w:pPr>
      <w:r>
        <w:rPr>
          <w:rFonts w:ascii="Arial" w:cs="Arial" w:eastAsia="Arial" w:hAnsi="Arial"/>
          <w:sz w:val="16"/>
          <w:szCs w:val="16"/>
          <w:b w:val="1"/>
          <w:bCs w:val="1"/>
          <w:color w:val="auto"/>
        </w:rPr>
        <w:t xml:space="preserve">Complete and Final Release. </w:t>
      </w:r>
      <w:r>
        <w:rPr>
          <w:rFonts w:ascii="Arial" w:cs="Arial" w:eastAsia="Arial" w:hAnsi="Arial"/>
          <w:sz w:val="16"/>
          <w:szCs w:val="16"/>
          <w:color w:val="auto"/>
        </w:rPr>
        <w:t>As of the Effective Date, in return for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participation in and the individual settlement amount determined by the Settlement Program, the sufficiency of which is acknowledged, Releasor hereby releases, settles, cancels, discharges, and acknowledges to be fully satisfied any and all claims, demands, rights, actions, suits, damages, and causes of action of whatever kind, nature, or description whatsoever, in law or in equity, whether known or unknown, suspected or unsuspected, which Releasor may now or may hereafter have or assert against Released Parties arising from, relating to, or in connection with the Covered Claims, or based on any of the conduct alleged in the litigation relating to any Covered Claims.</w:t>
      </w:r>
    </w:p>
    <w:p>
      <w:pPr>
        <w:spacing w:after="0" w:line="187" w:lineRule="exact"/>
        <w:rPr>
          <w:rFonts w:ascii="Arial" w:cs="Arial" w:eastAsia="Arial" w:hAnsi="Arial"/>
          <w:sz w:val="16"/>
          <w:szCs w:val="16"/>
          <w:color w:val="auto"/>
        </w:rPr>
      </w:pPr>
    </w:p>
    <w:p>
      <w:pPr>
        <w:ind w:left="1400" w:right="19" w:hanging="658"/>
        <w:spacing w:after="0" w:line="274" w:lineRule="auto"/>
        <w:tabs>
          <w:tab w:leader="none" w:pos="139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Without limiting the foregoing, this Release Agreement includes any and all claims which Releasor may now or may hereafter have or assert against Released Parties for alleged injuries,</w:t>
      </w:r>
    </w:p>
    <w:p>
      <w:pPr>
        <w:sectPr>
          <w:pgSz w:w="11900" w:h="16838" w:orient="portrait"/>
          <w:cols w:equalWidth="0" w:num="1">
            <w:col w:w="9019"/>
          </w:cols>
          <w:pgMar w:left="1440" w:top="449" w:right="1440" w:bottom="1440" w:gutter="0" w:footer="0" w:header="0"/>
        </w:sectPr>
      </w:pPr>
    </w:p>
    <w:bookmarkStart w:id="147" w:name="page148"/>
    <w:bookmarkEnd w:id="147"/>
    <w:p>
      <w:pPr>
        <w:jc w:val="both"/>
        <w:ind w:left="1400" w:right="19"/>
        <w:spacing w:after="0" w:line="248" w:lineRule="auto"/>
        <w:rPr>
          <w:sz w:val="20"/>
          <w:szCs w:val="20"/>
          <w:color w:val="auto"/>
        </w:rPr>
      </w:pPr>
      <w:r>
        <w:rPr>
          <w:rFonts w:ascii="Arial" w:cs="Arial" w:eastAsia="Arial" w:hAnsi="Arial"/>
          <w:sz w:val="16"/>
          <w:szCs w:val="16"/>
          <w:color w:val="auto"/>
        </w:rPr>
        <w:t>losses, and damages, including pain and suffering, wrongful death, punitive damages, survivorship, personal injuries, and related damages, and loss of services, consortium, companionship, and all other</w:t>
      </w:r>
    </w:p>
    <w:p>
      <w:pPr>
        <w:jc w:val="both"/>
        <w:ind w:left="1400" w:right="19"/>
        <w:spacing w:after="0" w:line="234" w:lineRule="auto"/>
        <w:rPr>
          <w:sz w:val="20"/>
          <w:szCs w:val="20"/>
          <w:color w:val="auto"/>
        </w:rPr>
      </w:pPr>
      <w:r>
        <w:rPr>
          <w:rFonts w:ascii="Arial" w:cs="Arial" w:eastAsia="Arial" w:hAnsi="Arial"/>
          <w:sz w:val="16"/>
          <w:szCs w:val="16"/>
          <w:color w:val="auto"/>
        </w:rPr>
        <w:t>intangible losses, whether based in tort, intentional tort, contract, statute, or other theory of recovery, attorneys’ fees and costs, mental or emotional distress, or for hospital, medical, nursing, or other healthcare expenses, lost wages, or any other losses or expenses, whether known or unknown, whether</w:t>
      </w:r>
    </w:p>
    <w:p>
      <w:pPr>
        <w:spacing w:after="0" w:line="2" w:lineRule="exact"/>
        <w:rPr>
          <w:sz w:val="20"/>
          <w:szCs w:val="20"/>
          <w:color w:val="auto"/>
        </w:rPr>
      </w:pPr>
    </w:p>
    <w:p>
      <w:pPr>
        <w:jc w:val="both"/>
        <w:ind w:left="1400" w:right="19"/>
        <w:spacing w:after="0" w:line="218" w:lineRule="auto"/>
        <w:rPr>
          <w:sz w:val="20"/>
          <w:szCs w:val="20"/>
          <w:color w:val="auto"/>
        </w:rPr>
      </w:pPr>
      <w:r>
        <w:rPr>
          <w:rFonts w:ascii="Arial" w:cs="Arial" w:eastAsia="Arial" w:hAnsi="Arial"/>
          <w:sz w:val="18"/>
          <w:szCs w:val="18"/>
          <w:color w:val="auto"/>
        </w:rPr>
        <w:t>already in existence or to arise in the future, anticipated or not, arising from, relating to, or in connection with the Covered Claims, or based on any of the conduct alleged in the litigation relating to any Covered Claims.</w:t>
      </w:r>
    </w:p>
    <w:p>
      <w:pPr>
        <w:spacing w:after="0" w:line="203" w:lineRule="exact"/>
        <w:rPr>
          <w:sz w:val="20"/>
          <w:szCs w:val="20"/>
          <w:color w:val="auto"/>
        </w:rPr>
      </w:pPr>
    </w:p>
    <w:p>
      <w:pPr>
        <w:jc w:val="both"/>
        <w:ind w:left="1400" w:right="19" w:hanging="658"/>
        <w:spacing w:after="0" w:line="228" w:lineRule="auto"/>
        <w:tabs>
          <w:tab w:leader="none" w:pos="139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Without limiting the foregoing, this Release Agreement includes any and all claims which Releasor’s spouse (including but not limited to putative or common law spouse or domestic partner), if any, may now or may hereafter have or assert against Released Parties for alleged injuries, losses and damages, including pain and suffering, wrongful death, punitive damages, attorneys’ fees and costs, loss of services, loss of companionship and/or consortium, society or support, mental or emotional distress, or for hospital, medical, or nursing or other healthcare expenses, lost wages, or any other losses and expenses, whether known or unknown, whether already in existence or to arise in the future, arising from, relating to, or in connection with the Covered Claims, or based on any of the conduct alleged in the litigation relating to any Covered Claims.</w:t>
      </w:r>
    </w:p>
    <w:p>
      <w:pPr>
        <w:spacing w:after="0" w:line="205" w:lineRule="exact"/>
        <w:rPr>
          <w:rFonts w:ascii="Arial" w:cs="Arial" w:eastAsia="Arial" w:hAnsi="Arial"/>
          <w:sz w:val="17"/>
          <w:szCs w:val="17"/>
          <w:color w:val="auto"/>
        </w:rPr>
      </w:pPr>
    </w:p>
    <w:p>
      <w:pPr>
        <w:jc w:val="both"/>
        <w:ind w:left="1380" w:right="19" w:hanging="639"/>
        <w:spacing w:after="0" w:line="248" w:lineRule="auto"/>
        <w:tabs>
          <w:tab w:leader="none" w:pos="137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Without limiting the foregoing, this Release Agreement includes any and all claims against Released Parties for pecuniary loss, injury, or damage which might accrue to Releasor, his or her estate, and others by virtue of Releasor’s death, whether such claims are pursued directly or indirectly or by some person or persons in a representative capacity, if such claims arise from, relate to, or are in connection with the Covered Claims or based on any of the conduct alleged in the litigation relating to any Covered Claims.</w:t>
      </w:r>
    </w:p>
    <w:p>
      <w:pPr>
        <w:spacing w:after="0" w:line="196" w:lineRule="exact"/>
        <w:rPr>
          <w:rFonts w:ascii="Arial" w:cs="Arial" w:eastAsia="Arial" w:hAnsi="Arial"/>
          <w:sz w:val="16"/>
          <w:szCs w:val="16"/>
          <w:color w:val="auto"/>
        </w:rPr>
      </w:pPr>
    </w:p>
    <w:p>
      <w:pPr>
        <w:jc w:val="both"/>
        <w:ind w:left="1380" w:right="19" w:hanging="639"/>
        <w:spacing w:after="0" w:line="241" w:lineRule="auto"/>
        <w:tabs>
          <w:tab w:leader="none" w:pos="137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Without limiting the foregoing, Releasor hereby agrees and covenants that Releasor will never: (i) take any legal or other action to initiate, pursue, or maintain, or otherwise attempt to execute upon, collect, or otherwise enforce, any claim against any of the Released Parties constituting, arising from, relating to, or in connection with the Covered Claims, (ii) institute any new legal action against any Released Party relating to any injury Releasor has ever claimed, or may at any time hereafter claim, was caused in whole or in part by any Released Party arising from, relating to, or in connection with the Covered Claims, or based on any of the conduct alleged in the litigation relating to any Covered Claims, whether in the past or in the future, and/or (iii) attempt to execute or collect on, or otherwise enforce, any judgment that has been or may be entered against any Released Party in any legal action described in clause (ii), or (iv) maintain Releasor’s pending legal action(s) against any Released Party.</w:t>
      </w:r>
    </w:p>
    <w:p>
      <w:pPr>
        <w:spacing w:after="0" w:line="204" w:lineRule="exact"/>
        <w:rPr>
          <w:rFonts w:ascii="Arial" w:cs="Arial" w:eastAsia="Arial" w:hAnsi="Arial"/>
          <w:sz w:val="16"/>
          <w:szCs w:val="16"/>
          <w:color w:val="auto"/>
        </w:rPr>
      </w:pPr>
    </w:p>
    <w:p>
      <w:pPr>
        <w:jc w:val="both"/>
        <w:ind w:left="1380" w:right="19" w:hanging="639"/>
        <w:spacing w:after="0" w:line="241" w:lineRule="auto"/>
        <w:tabs>
          <w:tab w:leader="none" w:pos="137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Without limiting the foregoing, Releasor acknowledges that Releasor’s individual allocated settlement as determined by the Settlement Program shall constitute the full compensation which will ever be paid to Releasor by or on behalf of the Released Parties by reason of the claims which have been or which may ever be made against Released Parties arising out of or by reason of or in any manner connected with Releasor’s injuries arising from, relating to, or in connection with the Covered Claims, or based on any of the conduct alleged in the litigation relating to any Covered Claims; that neither Sterigenics U.S., LLC nor any Released Party shall have any responsibility whatsoever for the payment of Releasor’s attorneys’ fees or costs, or for the payment of any taxes owed by Releasor, or for satisfaction of liens associated with the allocation of settlement funds; that this Release Agreement is final and binding upon Releasor; and that no Covered Claim, derivative or otherwise, may ever be brought against Released Parties.</w:t>
      </w:r>
    </w:p>
    <w:p>
      <w:pPr>
        <w:spacing w:after="0" w:line="204" w:lineRule="exact"/>
        <w:rPr>
          <w:rFonts w:ascii="Arial" w:cs="Arial" w:eastAsia="Arial" w:hAnsi="Arial"/>
          <w:sz w:val="16"/>
          <w:szCs w:val="16"/>
          <w:color w:val="auto"/>
        </w:rPr>
      </w:pPr>
    </w:p>
    <w:p>
      <w:pPr>
        <w:jc w:val="both"/>
        <w:ind w:left="1380" w:right="19" w:hanging="639"/>
        <w:spacing w:after="0" w:line="219" w:lineRule="auto"/>
        <w:tabs>
          <w:tab w:leader="none" w:pos="137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Without limiting the foregoing, Releasor agrees to release any rights he or she may have regarding claims relating to or arising from any Covered Claim that Releasor does not know or suspect to exist at this time and that, if known by him or her, would materially affect his or her settlement with the Released Parties. Releasor expressly and knowingly waives any statutory or judicial provisions, rulings, or mandates to the contrary.</w:t>
      </w:r>
    </w:p>
    <w:p>
      <w:pPr>
        <w:spacing w:after="0" w:line="203" w:lineRule="exact"/>
        <w:rPr>
          <w:rFonts w:ascii="Arial" w:cs="Arial" w:eastAsia="Arial" w:hAnsi="Arial"/>
          <w:sz w:val="18"/>
          <w:szCs w:val="18"/>
          <w:color w:val="auto"/>
        </w:rPr>
      </w:pPr>
    </w:p>
    <w:p>
      <w:pPr>
        <w:jc w:val="both"/>
        <w:ind w:left="1400" w:right="19" w:hanging="658"/>
        <w:spacing w:after="0" w:line="232" w:lineRule="auto"/>
        <w:tabs>
          <w:tab w:leader="none" w:pos="139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Without limiting the foregoing, Releasor agrees to release all claims, past, present, and future, alleged or that could have been alleged against insurers that have any of the Released Parties as a named insured, including but not limited to Steadfast Insurance Company/Zurich Insurance Group and National Union/AIG, relating to or arising from any Covered Claims. For the avoidance of doubt, Released Parties maintain, and do not release, any claims they may have against their insurers.</w:t>
      </w:r>
    </w:p>
    <w:p>
      <w:pPr>
        <w:spacing w:after="0" w:line="202" w:lineRule="exact"/>
        <w:rPr>
          <w:rFonts w:ascii="Arial" w:cs="Arial" w:eastAsia="Arial" w:hAnsi="Arial"/>
          <w:sz w:val="17"/>
          <w:szCs w:val="17"/>
          <w:color w:val="auto"/>
        </w:rPr>
      </w:pPr>
    </w:p>
    <w:p>
      <w:pPr>
        <w:jc w:val="both"/>
        <w:ind w:left="1380" w:right="19" w:hanging="639"/>
        <w:spacing w:after="0" w:line="215" w:lineRule="auto"/>
        <w:tabs>
          <w:tab w:leader="none" w:pos="137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Without limiting the foregoing, if Releasor settles with any third party against whom claims are not released through this Release Agreement (collectively, “</w:t>
      </w:r>
      <w:r>
        <w:rPr>
          <w:rFonts w:ascii="Arial" w:cs="Arial" w:eastAsia="Arial" w:hAnsi="Arial"/>
          <w:sz w:val="18"/>
          <w:szCs w:val="18"/>
          <w:u w:val="single" w:color="auto"/>
          <w:color w:val="auto"/>
        </w:rPr>
        <w:t>Non- Settling Third Parties</w:t>
      </w:r>
      <w:r>
        <w:rPr>
          <w:rFonts w:ascii="Arial" w:cs="Arial" w:eastAsia="Arial" w:hAnsi="Arial"/>
          <w:sz w:val="18"/>
          <w:szCs w:val="18"/>
          <w:color w:val="auto"/>
        </w:rPr>
        <w:t>”), Releasor will obtain a release from the Non-Settling Third Party for Released Parties for any claim for indemnity, contribution, or similar theory. If Releasor obtains a judgment against any Non-Settling Third Party, Releasor will not execute on any portion of that judgment that the Non-Settling Third Party successfully seeks from Released Parties via a claim for indemnity, contribution, or similar claim. Releasor agrees to indemnify, defend, and hold harmless Released Parties for any claims for indemnity or contribution brought by any Non-Settling Third Parties against Released Parties arising from or relating to the Covered Claims.</w:t>
      </w:r>
    </w:p>
    <w:p>
      <w:pPr>
        <w:sectPr>
          <w:pgSz w:w="11900" w:h="16838" w:orient="portrait"/>
          <w:cols w:equalWidth="0" w:num="1">
            <w:col w:w="9019"/>
          </w:cols>
          <w:pgMar w:left="1440" w:top="449" w:right="1440" w:bottom="1440" w:gutter="0" w:footer="0" w:header="0"/>
        </w:sectPr>
      </w:pPr>
    </w:p>
    <w:bookmarkStart w:id="148" w:name="page149"/>
    <w:bookmarkEnd w:id="148"/>
    <w:p>
      <w:pPr>
        <w:jc w:val="both"/>
        <w:ind w:left="100" w:right="19" w:firstLine="642"/>
        <w:spacing w:after="0" w:line="227" w:lineRule="auto"/>
        <w:tabs>
          <w:tab w:leader="none" w:pos="1477"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 xml:space="preserve">Other Claims. </w:t>
      </w:r>
      <w:r>
        <w:rPr>
          <w:rFonts w:ascii="Arial" w:cs="Arial" w:eastAsia="Arial" w:hAnsi="Arial"/>
          <w:sz w:val="17"/>
          <w:szCs w:val="17"/>
          <w:color w:val="auto"/>
        </w:rPr>
        <w:t>Releasor understands and agrees that certain of Releasor’s relatives, dependents,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others might have potential claims against Released Parties for the alleged injuries of Releasor. Releasor understands and agrees that by executing this Release Agreement and receiving a monetary payment, Releasor has received fair, just, and adequate consideration for any claims for the alleged injuries of Releasor which may arise from, relate to, or are in connection with the Covered Claims, or based on any of the conduct alleged in the litigation relating to any Covered Claims. Releasor understands and agrees that by executing this Release Agreement, Releasor has forever released, discharged, and given up any and all claims that Releasor or others might have against Released Parties for the alleged injuries of Releasor arising from, relating to, or in connection with the Covered Claims, or based on any of the conduct alleged in the litigation relating to any Covered Claims.</w:t>
      </w:r>
    </w:p>
    <w:p>
      <w:pPr>
        <w:spacing w:after="0" w:line="203" w:lineRule="exact"/>
        <w:rPr>
          <w:sz w:val="20"/>
          <w:szCs w:val="20"/>
          <w:color w:val="auto"/>
        </w:rPr>
      </w:pPr>
    </w:p>
    <w:p>
      <w:pPr>
        <w:jc w:val="both"/>
        <w:ind w:left="1400" w:right="19" w:hanging="658"/>
        <w:spacing w:after="0" w:line="219" w:lineRule="auto"/>
        <w:tabs>
          <w:tab w:leader="none" w:pos="139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Releasor specifically agrees to indemnify, defend, and hold the Released Parties harmless from and against any claim arising from, relating to, or in connection with the Covered Claims that may be brought by any beneficiary or next of kin of Releasor. Releasor agrees that such indemnification includes the payment of all reasonable costs and expenses of investigation, defense, settlement, attorneys’ fees, judgments, court costs, and all other costs and expenses of defending any such claim or other claim for wrongful death.</w:t>
      </w:r>
    </w:p>
    <w:p>
      <w:pPr>
        <w:spacing w:after="0" w:line="203" w:lineRule="exact"/>
        <w:rPr>
          <w:rFonts w:ascii="Arial" w:cs="Arial" w:eastAsia="Arial" w:hAnsi="Arial"/>
          <w:sz w:val="18"/>
          <w:szCs w:val="18"/>
          <w:color w:val="auto"/>
        </w:rPr>
      </w:pPr>
    </w:p>
    <w:p>
      <w:pPr>
        <w:jc w:val="both"/>
        <w:ind w:left="1400" w:right="19" w:hanging="658"/>
        <w:spacing w:after="0" w:line="241" w:lineRule="auto"/>
        <w:tabs>
          <w:tab w:leader="none" w:pos="139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Releasor warrants and represents that, apart from any liens held by the Lien Holders as defined in Paragraph 9(a) below, no claims or portion of the claims which are the subject of this Release Agreement have been assigned or otherwise transferred to any person or legal entity which claims a right thereunder as against the Releasor and/or Released Parties. Releasor specifically warrants and represents that to the extent any bankruptcy action is pending, Releasor will take all necessary actions to notify the Bankruptcy Court of this settlement and will fulfill all obligations to the Bankruptcy Court. Releasor agrees to indemnify, defend, and hold harmless Released Parties from any loss, claim, expense, demand, or cause of action of any kind or character, including costs and attorneys’ fees, that result from the failure, if any, of Releasor to fulfill his or her obligations to any bankruptcy court. Upon request, Releasor further agrees that he or she will provide written confirmation that he or she fulfilled any bankruptcy court obligations.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RELEASOR ACKNOWLEDGMENTS</w:t>
      </w:r>
    </w:p>
    <w:p>
      <w:pPr>
        <w:spacing w:after="0" w:line="225" w:lineRule="exact"/>
        <w:rPr>
          <w:sz w:val="20"/>
          <w:szCs w:val="20"/>
          <w:color w:val="auto"/>
        </w:rPr>
      </w:pPr>
    </w:p>
    <w:p>
      <w:pPr>
        <w:ind w:left="1380" w:hanging="638"/>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Acknowledgements by Releasor</w:t>
      </w:r>
      <w:r>
        <w:rPr>
          <w:rFonts w:ascii="Arial" w:cs="Arial" w:eastAsia="Arial" w:hAnsi="Arial"/>
          <w:sz w:val="18"/>
          <w:szCs w:val="18"/>
          <w:color w:val="auto"/>
        </w:rPr>
        <w:t>.</w:t>
      </w:r>
    </w:p>
    <w:p>
      <w:pPr>
        <w:spacing w:after="0" w:line="229" w:lineRule="exact"/>
        <w:rPr>
          <w:sz w:val="20"/>
          <w:szCs w:val="20"/>
          <w:color w:val="auto"/>
        </w:rPr>
      </w:pPr>
    </w:p>
    <w:p>
      <w:pPr>
        <w:jc w:val="both"/>
        <w:ind w:left="1400" w:right="19" w:hanging="658"/>
        <w:spacing w:after="0" w:line="216" w:lineRule="auto"/>
        <w:tabs>
          <w:tab w:leader="none" w:pos="139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RELEASOR IS ENTERING INTO THIS RELEASE AGREEMENT FREELY AND VOLUNTARILY, WITHOUT BEING INDUCED, PRESSURED OR INFLUENCED BY, AND WITHOUT RELYING ON ANY REPRESENTATION OR OTHER STATEMENT MADE BY OR ON BEHALF OF ANY RELEASED PARTY OR ANY OTHER PERSON. RELEASOR UNDERSTANDS, ACKNOWLEDGES AND ACCEPTS THE NATURE, VALUE AND SUFFICIENCY OF THE CONSIDERATION DESCRIBED IN THIS RELEASE AGREEMENT.</w:t>
      </w:r>
    </w:p>
    <w:p>
      <w:pPr>
        <w:spacing w:after="0" w:line="205" w:lineRule="exact"/>
        <w:rPr>
          <w:rFonts w:ascii="Arial" w:cs="Arial" w:eastAsia="Arial" w:hAnsi="Arial"/>
          <w:sz w:val="18"/>
          <w:szCs w:val="18"/>
          <w:color w:val="auto"/>
        </w:rPr>
      </w:pPr>
    </w:p>
    <w:p>
      <w:pPr>
        <w:jc w:val="both"/>
        <w:ind w:left="1400" w:right="19" w:hanging="658"/>
        <w:spacing w:after="0" w:line="242" w:lineRule="auto"/>
        <w:tabs>
          <w:tab w:leader="none" w:pos="139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Releasor acknowledges that Releasor has been informed of the terms of the Group Settlement Agreement and has read this Release Agreement, and Releasor has had an opportunity to obtain advice from, and ask questions of, a lawyer of Releasor’s choosing regarding the terms and legal effect of the Group Settlement Agreement, this Release Agreement, and Releasor’s decision to accept the individually allocated settlement determined by the claims administrator, in accordance with the procedures set forth by the Settlement Program. Releasor further acknowledges that Releasor has been informed that the effectiveness of this Release Agreement and payment to Releasor of Releasor’s settlement allocation are contingent on certain events and conditions outside of Releasor’s control, including, but not limited to, the decisions by other plaintiffs alleging Covered Claims to participate in a settlement with Released Parties. Releasor acknowledges that Releasor has been informed of all these matters by Releasor’s Counsel and such counsel has answered all of Releasor’s questions (if any) to Releasor’s satisfaction.</w:t>
      </w:r>
    </w:p>
    <w:p>
      <w:pPr>
        <w:spacing w:after="0" w:line="200" w:lineRule="exact"/>
        <w:rPr>
          <w:rFonts w:ascii="Arial" w:cs="Arial" w:eastAsia="Arial" w:hAnsi="Arial"/>
          <w:sz w:val="16"/>
          <w:szCs w:val="16"/>
          <w:color w:val="auto"/>
        </w:rPr>
      </w:pPr>
    </w:p>
    <w:p>
      <w:pPr>
        <w:ind w:left="1400" w:right="19" w:hanging="658"/>
        <w:spacing w:after="0" w:line="289" w:lineRule="auto"/>
        <w:tabs>
          <w:tab w:leader="none" w:pos="139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Releasor understands that Releasor has the right to make an informed decision regarding whether to sign this Release Agreement. Releasor acknowledges that Releasor understands this Release Agreement.</w:t>
      </w:r>
    </w:p>
    <w:p>
      <w:pPr>
        <w:spacing w:after="0" w:line="164" w:lineRule="exact"/>
        <w:rPr>
          <w:rFonts w:ascii="Arial" w:cs="Arial" w:eastAsia="Arial" w:hAnsi="Arial"/>
          <w:sz w:val="16"/>
          <w:szCs w:val="16"/>
          <w:color w:val="auto"/>
        </w:rPr>
      </w:pPr>
    </w:p>
    <w:p>
      <w:pPr>
        <w:jc w:val="both"/>
        <w:ind w:left="1400" w:right="19" w:hanging="658"/>
        <w:spacing w:after="0" w:line="248" w:lineRule="auto"/>
        <w:tabs>
          <w:tab w:leader="none" w:pos="139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Releasor further understands that any amounts paid to Releasor will be transmitted from the qualified settlement fund to Releasor’s Counsel, in trust for Releasor, to be disbursed to Releasor subject to: (a) any applicable lien holdbacks or payment obligations, including to Releasor’s counsel; (b) the payment of any court-ordered common cost assessments; and (c) the provisions of the Group Settlement Agreement and this Release Agreement. Released Parties take and bear no responsibility for the maintenance of funds in trust, or distribution or withholding of settlement funds from Releasor’s Counsel to Releasor.</w:t>
      </w:r>
    </w:p>
    <w:p>
      <w:pPr>
        <w:spacing w:after="0" w:line="195" w:lineRule="exact"/>
        <w:rPr>
          <w:rFonts w:ascii="Arial" w:cs="Arial" w:eastAsia="Arial" w:hAnsi="Arial"/>
          <w:sz w:val="16"/>
          <w:szCs w:val="16"/>
          <w:color w:val="auto"/>
        </w:rPr>
      </w:pPr>
    </w:p>
    <w:p>
      <w:pPr>
        <w:jc w:val="both"/>
        <w:ind w:left="1400" w:right="19" w:hanging="658"/>
        <w:spacing w:after="0" w:line="259" w:lineRule="auto"/>
        <w:tabs>
          <w:tab w:leader="none" w:pos="139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Releasor understands and acknowledges that Released Parties and their counsel have played no role in, and take and bear no responsibility for, the allocation of settlement amounts among settling plaintiffs or the allocation of settlement funds between settling plaintiffs and settling plaintiffs’ counsel.</w:t>
      </w:r>
    </w:p>
    <w:p>
      <w:pPr>
        <w:spacing w:after="0" w:line="187" w:lineRule="exact"/>
        <w:rPr>
          <w:rFonts w:ascii="Arial" w:cs="Arial" w:eastAsia="Arial" w:hAnsi="Arial"/>
          <w:sz w:val="16"/>
          <w:szCs w:val="16"/>
          <w:color w:val="auto"/>
        </w:rPr>
      </w:pPr>
    </w:p>
    <w:p>
      <w:pPr>
        <w:ind w:left="1400" w:right="19" w:hanging="658"/>
        <w:spacing w:after="0" w:line="258" w:lineRule="auto"/>
        <w:tabs>
          <w:tab w:leader="none" w:pos="139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Releasor acknowledges that Releasor’s Counsel have been available to assist Releasor in the informed consent process and to answer any questions that Releasor might have had about this</w:t>
      </w:r>
    </w:p>
    <w:p>
      <w:pPr>
        <w:sectPr>
          <w:pgSz w:w="11900" w:h="16838" w:orient="portrait"/>
          <w:cols w:equalWidth="0" w:num="1">
            <w:col w:w="9019"/>
          </w:cols>
          <w:pgMar w:left="1440" w:top="702" w:right="1440" w:bottom="1440" w:gutter="0" w:footer="0" w:header="0"/>
        </w:sectPr>
      </w:pPr>
    </w:p>
    <w:bookmarkStart w:id="149" w:name="page150"/>
    <w:bookmarkEnd w:id="149"/>
    <w:p>
      <w:pPr>
        <w:ind w:left="1860"/>
        <w:spacing w:after="0"/>
        <w:rPr>
          <w:sz w:val="20"/>
          <w:szCs w:val="20"/>
          <w:color w:val="auto"/>
        </w:rPr>
      </w:pPr>
      <w:r>
        <w:rPr>
          <w:rFonts w:ascii="Arial" w:cs="Arial" w:eastAsia="Arial" w:hAnsi="Arial"/>
          <w:sz w:val="16"/>
          <w:szCs w:val="16"/>
          <w:color w:val="auto"/>
        </w:rPr>
        <w:t>Release Agreement, the Group Settlement Agreement, and any other related and relevant documentation.</w:t>
      </w:r>
    </w:p>
    <w:p>
      <w:pPr>
        <w:spacing w:after="0" w:line="248" w:lineRule="exact"/>
        <w:rPr>
          <w:sz w:val="20"/>
          <w:szCs w:val="20"/>
          <w:color w:val="auto"/>
        </w:rPr>
      </w:pPr>
    </w:p>
    <w:p>
      <w:pPr>
        <w:jc w:val="both"/>
        <w:ind w:left="1840" w:right="19" w:hanging="639"/>
        <w:spacing w:after="0" w:line="248" w:lineRule="auto"/>
        <w:tabs>
          <w:tab w:leader="none" w:pos="183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parties acknowledge and agree that the settlement amount is intended to constitute damages for personal physical injuries or physical sickness within the meaning of section 104 of the Internal Revenue Code of 1986, as amended, arising from the physical injuries alleged to have resulted from the Covered Claims, and no portion of the proceeds paid to Releasor from the settlement amount is intended to be for punitive or exemplary damages, nor prejudgment or post-judgment interest, nor non-physical injuries.</w:t>
      </w:r>
    </w:p>
    <w:p>
      <w:pPr>
        <w:spacing w:after="0" w:line="196" w:lineRule="exact"/>
        <w:rPr>
          <w:rFonts w:ascii="Arial" w:cs="Arial" w:eastAsia="Arial" w:hAnsi="Arial"/>
          <w:sz w:val="16"/>
          <w:szCs w:val="16"/>
          <w:color w:val="auto"/>
        </w:rPr>
      </w:pPr>
    </w:p>
    <w:p>
      <w:pPr>
        <w:jc w:val="both"/>
        <w:ind w:left="1840" w:right="19" w:hanging="639"/>
        <w:spacing w:after="0" w:line="252" w:lineRule="auto"/>
        <w:tabs>
          <w:tab w:leader="none" w:pos="183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Releasor understands and agrees that a substantial reason for Settling Defendants agreeing to pay and paying the money referenced in this Release Agreement is the settlement, release, and elimination of any and all claims that Releasor or others have now or in the future might have, absent this Release Agreement, for the alleged injuries of Releasor arising from, relating to, or in connection with the Covered Claims, or based on any of the conduct alleged in the litigation relating to any Covered Claims.</w:t>
      </w:r>
    </w:p>
    <w:p>
      <w:pPr>
        <w:spacing w:after="0" w:line="191"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LIENS AND SUBROGATION CLAIMS</w:t>
      </w:r>
    </w:p>
    <w:p>
      <w:pPr>
        <w:spacing w:after="0" w:line="225" w:lineRule="exact"/>
        <w:rPr>
          <w:sz w:val="20"/>
          <w:szCs w:val="20"/>
          <w:color w:val="auto"/>
        </w:rPr>
      </w:pPr>
    </w:p>
    <w:p>
      <w:pPr>
        <w:ind w:left="1840" w:hanging="638"/>
        <w:spacing w:after="0"/>
        <w:tabs>
          <w:tab w:leader="none" w:pos="184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Releasor’s Responsibility for Liens and Subrogation Claims</w:t>
      </w:r>
      <w:r>
        <w:rPr>
          <w:rFonts w:ascii="Arial" w:cs="Arial" w:eastAsia="Arial" w:hAnsi="Arial"/>
          <w:sz w:val="18"/>
          <w:szCs w:val="18"/>
          <w:color w:val="auto"/>
        </w:rPr>
        <w:t>.</w:t>
      </w:r>
    </w:p>
    <w:p>
      <w:pPr>
        <w:spacing w:after="0" w:line="229" w:lineRule="exact"/>
        <w:rPr>
          <w:sz w:val="20"/>
          <w:szCs w:val="20"/>
          <w:color w:val="auto"/>
        </w:rPr>
      </w:pPr>
    </w:p>
    <w:p>
      <w:pPr>
        <w:jc w:val="both"/>
        <w:ind w:left="1840" w:right="19" w:hanging="639"/>
        <w:spacing w:after="0" w:line="208" w:lineRule="auto"/>
        <w:tabs>
          <w:tab w:leader="none" w:pos="183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Releasor is solely responsible for any liens and agrees to pay or has paid any liens held by or amounts owed to third parties, whether persons or entities, including any state or federal government entities, individual healthcare providers, insurers, litigation funders, or attorneys (all hereinafter “</w:t>
      </w:r>
      <w:r>
        <w:rPr>
          <w:rFonts w:ascii="Arial" w:cs="Arial" w:eastAsia="Arial" w:hAnsi="Arial"/>
          <w:sz w:val="18"/>
          <w:szCs w:val="18"/>
          <w:u w:val="single" w:color="auto"/>
          <w:color w:val="auto"/>
        </w:rPr>
        <w:t>Lien Holders</w:t>
      </w:r>
      <w:r>
        <w:rPr>
          <w:rFonts w:ascii="Arial" w:cs="Arial" w:eastAsia="Arial" w:hAnsi="Arial"/>
          <w:sz w:val="23"/>
          <w:szCs w:val="23"/>
          <w:color w:val="auto"/>
          <w:vertAlign w:val="superscript"/>
        </w:rPr>
        <w:t>1</w:t>
      </w:r>
      <w:r>
        <w:rPr>
          <w:rFonts w:ascii="Arial" w:cs="Arial" w:eastAsia="Arial" w:hAnsi="Arial"/>
          <w:sz w:val="18"/>
          <w:szCs w:val="18"/>
          <w:color w:val="auto"/>
        </w:rPr>
        <w:t>”), arising out of or related to Releasor’s Covered Claims. Releasor also agrees that any liens based on any hospital or medical expenses incurred as a result of Releasor’s claimed injuries arising from, relating to, or in connection with the Covered Claims will be resolved and/or satisfied by Releasor. Releasor will indemnify, defend, and hold harmless Released Parties from claims by any Lien Holders, actual or asserted.</w:t>
      </w:r>
    </w:p>
    <w:p>
      <w:pPr>
        <w:spacing w:after="0" w:line="189" w:lineRule="exact"/>
        <w:rPr>
          <w:rFonts w:ascii="Arial" w:cs="Arial" w:eastAsia="Arial" w:hAnsi="Arial"/>
          <w:sz w:val="18"/>
          <w:szCs w:val="18"/>
          <w:color w:val="auto"/>
        </w:rPr>
      </w:pPr>
    </w:p>
    <w:p>
      <w:pPr>
        <w:jc w:val="both"/>
        <w:ind w:left="1840" w:right="19" w:hanging="639"/>
        <w:spacing w:after="0" w:line="223" w:lineRule="auto"/>
        <w:tabs>
          <w:tab w:leader="none" w:pos="183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Releasor agrees that any interest in, lien on, or right of subrogation in his or her Covered Claims by or belonging to any and all entities and individuals, including without limitation any governmental agencies or authorities, attorneys, litigation funders, healthcare providers, and/or insurers, will be satisfied by Releasor’s allocated payment.</w:t>
      </w:r>
    </w:p>
    <w:p>
      <w:pPr>
        <w:spacing w:after="0" w:line="202" w:lineRule="exact"/>
        <w:rPr>
          <w:rFonts w:ascii="Arial" w:cs="Arial" w:eastAsia="Arial" w:hAnsi="Arial"/>
          <w:sz w:val="18"/>
          <w:szCs w:val="18"/>
          <w:color w:val="auto"/>
        </w:rPr>
      </w:pPr>
    </w:p>
    <w:p>
      <w:pPr>
        <w:jc w:val="both"/>
        <w:ind w:left="1860" w:right="19" w:hanging="658"/>
        <w:spacing w:after="0" w:line="229" w:lineRule="auto"/>
        <w:tabs>
          <w:tab w:leader="none" w:pos="185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Releasor agrees that Released Parties are not responsible for liens or subrogation claims against any settlement payments or the costs and expenses incurred in resolving any such liens or subrogation claims against settlement payments.</w:t>
      </w:r>
    </w:p>
    <w:p>
      <w:pPr>
        <w:spacing w:after="0" w:line="204" w:lineRule="exact"/>
        <w:rPr>
          <w:rFonts w:ascii="Arial" w:cs="Arial" w:eastAsia="Arial" w:hAnsi="Arial"/>
          <w:sz w:val="18"/>
          <w:szCs w:val="18"/>
          <w:color w:val="auto"/>
        </w:rPr>
      </w:pPr>
    </w:p>
    <w:p>
      <w:pPr>
        <w:jc w:val="both"/>
        <w:ind w:left="1840" w:right="19" w:hanging="639"/>
        <w:spacing w:after="0" w:line="223" w:lineRule="auto"/>
        <w:tabs>
          <w:tab w:leader="none" w:pos="183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Releasor acknowledges that lien resolution may take place pursuant to a Medicare global model for any Medicare-entitled Releasor receiving payment under the Release Agreement. Releasor and Releasor’s Counsel agree to follow any centralized protocols to coordinate and aggregate the resolution of all Releasor’s lien obligations, including Medicare.</w:t>
      </w:r>
    </w:p>
    <w:p>
      <w:pPr>
        <w:spacing w:after="0" w:line="189" w:lineRule="exact"/>
        <w:rPr>
          <w:rFonts w:ascii="Arial" w:cs="Arial" w:eastAsia="Arial" w:hAnsi="Arial"/>
          <w:sz w:val="18"/>
          <w:szCs w:val="18"/>
          <w:color w:val="auto"/>
        </w:rPr>
      </w:pPr>
    </w:p>
    <w:p>
      <w:pPr>
        <w:jc w:val="both"/>
        <w:ind w:left="1860" w:right="19" w:hanging="658"/>
        <w:spacing w:after="0" w:line="225" w:lineRule="auto"/>
        <w:tabs>
          <w:tab w:leader="none" w:pos="1857"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Releasor understands and agrees that as a condition to the disbursement of the allocated settlement funds to Releasor, Releasor, through Releasor’s Counsel or a lien resolution administrator retained by Releasor’s Counsel on behalf of Releasor, shall ensure that: (1) any and all known medical liens, claims arising from medical expenses, past, present, and/or future, and/or other liens including but not restricted to liens and/or claims by any Lien Holder (hereinafter “</w:t>
      </w:r>
      <w:r>
        <w:rPr>
          <w:rFonts w:ascii="Arial" w:cs="Arial" w:eastAsia="Arial" w:hAnsi="Arial"/>
          <w:sz w:val="17"/>
          <w:szCs w:val="17"/>
          <w:u w:val="single" w:color="auto"/>
          <w:color w:val="auto"/>
        </w:rPr>
        <w:t>Liens</w:t>
      </w:r>
      <w:r>
        <w:rPr>
          <w:rFonts w:ascii="Arial" w:cs="Arial" w:eastAsia="Arial" w:hAnsi="Arial"/>
          <w:sz w:val="17"/>
          <w:szCs w:val="17"/>
          <w:color w:val="auto"/>
        </w:rPr>
        <w:t>”), incurred as a result of Releasor’s claims or claimed injuries arising from, relating to, or in connection with the Covered Claims have been, or will be, resolved, or that a holdback amount has been agreed to with Medicare, and (2) each Lien asserted by a state or federal government, individual healthcare provider, insurer, litigation funders, and/or attorney Lien Holder has been, or will be, resolved. In addition to the foregoing, Releasor, through Releasor’s Counsel or a lien resolution administrator retained by Releasor’s Counsel on behalf of Releasor, shall cooperate fully with Released Parties, their attorneys and agents by executing any and all documents and providing any additional information required by or on behalf of the Releasor to comply with mandatory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306" w:lineRule="exact"/>
        <w:rPr>
          <w:sz w:val="20"/>
          <w:szCs w:val="20"/>
          <w:color w:val="auto"/>
        </w:rPr>
      </w:pPr>
    </w:p>
    <w:p>
      <w:pPr>
        <w:jc w:val="both"/>
        <w:ind w:left="560" w:right="19" w:hanging="7"/>
        <w:spacing w:after="0" w:line="222" w:lineRule="auto"/>
        <w:tabs>
          <w:tab w:leader="none" w:pos="671" w:val="left"/>
        </w:tabs>
        <w:numPr>
          <w:ilvl w:val="0"/>
          <w:numId w:val="210"/>
        </w:numPr>
        <w:rPr>
          <w:rFonts w:ascii="Arial" w:cs="Arial" w:eastAsia="Arial" w:hAnsi="Arial"/>
          <w:sz w:val="22"/>
          <w:szCs w:val="22"/>
          <w:color w:val="auto"/>
          <w:vertAlign w:val="superscript"/>
        </w:rPr>
      </w:pPr>
      <w:r>
        <w:rPr>
          <w:rFonts w:ascii="Arial" w:cs="Arial" w:eastAsia="Arial" w:hAnsi="Arial"/>
          <w:sz w:val="17"/>
          <w:szCs w:val="17"/>
          <w:color w:val="auto"/>
        </w:rPr>
        <w:t>For purposes of this Release Agreement, the term Lien Holder shall expressly include (without limitation) the following: workers’ compensation carriers, health insurers, healthcare providers, Medicare, Medicaid, the U.S. Department of Veterans Affairs, the U.S. Department of Defense, TRICARE, Indian Health Services, litigation funders, attorneys, and any other private or public individual, entity, or program that holds liens or is owed payment arising out of or related to Releasor’s claimed injuries arising from, relating to, or in connection with the Covered Claims.</w:t>
      </w:r>
    </w:p>
    <w:p>
      <w:pPr>
        <w:sectPr>
          <w:pgSz w:w="11900" w:h="16838" w:orient="portrait"/>
          <w:cols w:equalWidth="0" w:num="1">
            <w:col w:w="9479"/>
          </w:cols>
          <w:pgMar w:left="980" w:top="449" w:right="1440" w:bottom="1440" w:gutter="0" w:footer="0" w:header="0"/>
        </w:sectPr>
      </w:pPr>
    </w:p>
    <w:bookmarkStart w:id="150" w:name="page151"/>
    <w:bookmarkEnd w:id="150"/>
    <w:p>
      <w:pPr>
        <w:jc w:val="both"/>
        <w:ind w:left="1400" w:right="19" w:hanging="658"/>
        <w:spacing w:after="0" w:line="228" w:lineRule="auto"/>
        <w:tabs>
          <w:tab w:leader="none" w:pos="139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Releasor further agrees to cooperate fully with Released Parties, their attorneys and agents by executing any and all documents and providing any additional information required by or on behalf of the Releasor to comply with the mandatory Medicare reporting requirements of Section 111 of the Medicare, Medicaid and SCHIP Extension Act of 2007 (“</w:t>
      </w:r>
      <w:r>
        <w:rPr>
          <w:rFonts w:ascii="Arial" w:cs="Arial" w:eastAsia="Arial" w:hAnsi="Arial"/>
          <w:sz w:val="17"/>
          <w:szCs w:val="17"/>
          <w:u w:val="single" w:color="auto"/>
          <w:color w:val="auto"/>
        </w:rPr>
        <w:t>MMSEA § 111</w:t>
      </w:r>
      <w:r>
        <w:rPr>
          <w:rFonts w:ascii="Arial" w:cs="Arial" w:eastAsia="Arial" w:hAnsi="Arial"/>
          <w:sz w:val="17"/>
          <w:szCs w:val="17"/>
          <w:color w:val="auto"/>
        </w:rPr>
        <w:t>”). If Releasor is found to be Medicare eligible, Sterigenics U.S., LLC, as the Responsible Reporting Entity (under the provisions of MMSEA § 111) shall report the settlement in accordance with MMSEA § 111, and will share the same with Releasor’s Counsel. Releasor further specifically releases and relinquishes any and all right to and claim for any private cause of action pursuant to 42 U.S.C. § 1395y(b)(3)(A).</w:t>
      </w:r>
    </w:p>
    <w:p>
      <w:pPr>
        <w:spacing w:after="0" w:line="201" w:lineRule="exact"/>
        <w:rPr>
          <w:rFonts w:ascii="Arial" w:cs="Arial" w:eastAsia="Arial" w:hAnsi="Arial"/>
          <w:sz w:val="17"/>
          <w:szCs w:val="17"/>
          <w:color w:val="auto"/>
        </w:rPr>
      </w:pPr>
    </w:p>
    <w:p>
      <w:pPr>
        <w:jc w:val="both"/>
        <w:ind w:left="1400" w:right="19" w:hanging="658"/>
        <w:spacing w:after="0" w:line="229" w:lineRule="auto"/>
        <w:tabs>
          <w:tab w:leader="none" w:pos="139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addition, Releasor expressly agrees and undertakes to indemnify, defend, and hold harmless the Released Parties from all costs and expenses incurred on account of any claims, demands, rights, or causes of action by any other person or entity claiming:</w:t>
      </w:r>
    </w:p>
    <w:p>
      <w:pPr>
        <w:spacing w:after="0" w:line="204" w:lineRule="exact"/>
        <w:rPr>
          <w:rFonts w:ascii="Arial" w:cs="Arial" w:eastAsia="Arial" w:hAnsi="Arial"/>
          <w:sz w:val="18"/>
          <w:szCs w:val="18"/>
          <w:color w:val="auto"/>
        </w:rPr>
      </w:pPr>
    </w:p>
    <w:p>
      <w:pPr>
        <w:ind w:left="1700" w:hanging="425"/>
        <w:spacing w:after="0"/>
        <w:tabs>
          <w:tab w:leader="none" w:pos="17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 right on behalf of or through the Releasor as against the Released Parties;</w:t>
      </w:r>
    </w:p>
    <w:p>
      <w:pPr>
        <w:spacing w:after="0" w:line="225" w:lineRule="exact"/>
        <w:rPr>
          <w:rFonts w:ascii="Arial" w:cs="Arial" w:eastAsia="Arial" w:hAnsi="Arial"/>
          <w:sz w:val="18"/>
          <w:szCs w:val="18"/>
          <w:color w:val="auto"/>
        </w:rPr>
      </w:pPr>
    </w:p>
    <w:p>
      <w:pPr>
        <w:ind w:left="1720" w:hanging="505"/>
        <w:spacing w:after="0"/>
        <w:tabs>
          <w:tab w:leader="none" w:pos="172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a Lien upon, subrogated interest in, or right or entitlement to the proceeds of the settlement;</w:t>
      </w:r>
    </w:p>
    <w:p>
      <w:pPr>
        <w:spacing w:after="0" w:line="237" w:lineRule="exact"/>
        <w:rPr>
          <w:sz w:val="20"/>
          <w:szCs w:val="20"/>
          <w:color w:val="auto"/>
        </w:rPr>
      </w:pPr>
    </w:p>
    <w:p>
      <w:pPr>
        <w:ind w:left="1720" w:right="1099" w:hanging="565"/>
        <w:spacing w:after="0" w:line="235" w:lineRule="auto"/>
        <w:tabs>
          <w:tab w:leader="none" w:pos="170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right to reimbursement or subrogation for any reason arising out of the consideration payable under this Release Agreement;</w:t>
      </w:r>
    </w:p>
    <w:p>
      <w:pPr>
        <w:spacing w:after="0" w:line="202" w:lineRule="exact"/>
        <w:rPr>
          <w:sz w:val="20"/>
          <w:szCs w:val="20"/>
          <w:color w:val="auto"/>
        </w:rPr>
      </w:pPr>
    </w:p>
    <w:p>
      <w:pPr>
        <w:ind w:left="1720" w:right="219" w:hanging="553"/>
        <w:spacing w:after="0" w:line="238" w:lineRule="auto"/>
        <w:tabs>
          <w:tab w:leader="none" w:pos="169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 right to recovery by, or reimbursement to, the appropriate funds for conditional payments made or to be made by The Centers for Medicare and Medicaid Services (such payments,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Health Payments</w:t>
      </w:r>
      <w:r>
        <w:rPr>
          <w:rFonts w:ascii="Arial" w:cs="Arial" w:eastAsia="Arial" w:hAnsi="Arial"/>
          <w:sz w:val="16"/>
          <w:szCs w:val="16"/>
          <w:color w:val="auto"/>
        </w:rPr>
        <w:t>”) with respect to covered items and services (or any portion thereof), pursuant to 42 U.S.C. § 1395y(b), and corresponding regulations, including but not limited to 42 CFR §</w:t>
      </w:r>
    </w:p>
    <w:p>
      <w:pPr>
        <w:spacing w:after="0" w:line="1" w:lineRule="exact"/>
        <w:rPr>
          <w:rFonts w:ascii="Arial" w:cs="Arial" w:eastAsia="Arial" w:hAnsi="Arial"/>
          <w:sz w:val="16"/>
          <w:szCs w:val="16"/>
          <w:color w:val="auto"/>
        </w:rPr>
      </w:pPr>
    </w:p>
    <w:p>
      <w:pPr>
        <w:ind w:left="1720" w:right="279"/>
        <w:spacing w:after="0" w:line="243" w:lineRule="auto"/>
        <w:rPr>
          <w:rFonts w:ascii="Arial" w:cs="Arial" w:eastAsia="Arial" w:hAnsi="Arial"/>
          <w:sz w:val="16"/>
          <w:szCs w:val="16"/>
          <w:color w:val="auto"/>
        </w:rPr>
      </w:pPr>
      <w:r>
        <w:rPr>
          <w:rFonts w:ascii="Arial" w:cs="Arial" w:eastAsia="Arial" w:hAnsi="Arial"/>
          <w:sz w:val="16"/>
          <w:szCs w:val="16"/>
          <w:color w:val="auto"/>
        </w:rPr>
        <w:t>411.22 and 42 CFR § 411.24, including any amendments thereto or interpretations thereof that may be placed upon such statutes and regulations by any state or federal court (sometimes known as the “Medicare Secondary Payor” laws and program). Releasor expressly agrees that he or she assumes full responsibility for satisfying any and all notification, reimbursement and recovery obligations owed with respect to Government Health Payments; or</w:t>
      </w:r>
    </w:p>
    <w:p>
      <w:pPr>
        <w:spacing w:after="0" w:line="200" w:lineRule="exact"/>
        <w:rPr>
          <w:rFonts w:ascii="Arial" w:cs="Arial" w:eastAsia="Arial" w:hAnsi="Arial"/>
          <w:sz w:val="16"/>
          <w:szCs w:val="16"/>
          <w:color w:val="auto"/>
        </w:rPr>
      </w:pPr>
    </w:p>
    <w:p>
      <w:pPr>
        <w:ind w:left="1720" w:right="299" w:hanging="492"/>
        <w:spacing w:after="0" w:line="307" w:lineRule="auto"/>
        <w:tabs>
          <w:tab w:leader="none" w:pos="1708" w:val="left"/>
        </w:tabs>
        <w:numPr>
          <w:ilvl w:val="2"/>
          <w:numId w:val="213"/>
        </w:numPr>
        <w:rPr>
          <w:rFonts w:ascii="Arial" w:cs="Arial" w:eastAsia="Arial" w:hAnsi="Arial"/>
          <w:sz w:val="16"/>
          <w:szCs w:val="16"/>
          <w:color w:val="auto"/>
        </w:rPr>
      </w:pPr>
      <w:r>
        <w:rPr>
          <w:rFonts w:ascii="Arial" w:cs="Arial" w:eastAsia="Arial" w:hAnsi="Arial"/>
          <w:sz w:val="16"/>
          <w:szCs w:val="16"/>
          <w:color w:val="auto"/>
        </w:rPr>
        <w:t>a right against Released Parties due to the fact that Releasor is, in fact, a party to bankruptcy proceedings at such time as to affect the rights of Released Parties under this Release Agreement.</w:t>
      </w:r>
    </w:p>
    <w:p>
      <w:pPr>
        <w:spacing w:after="0" w:line="150" w:lineRule="exact"/>
        <w:rPr>
          <w:rFonts w:ascii="Arial" w:cs="Arial" w:eastAsia="Arial" w:hAnsi="Arial"/>
          <w:sz w:val="16"/>
          <w:szCs w:val="16"/>
          <w:color w:val="auto"/>
        </w:rPr>
      </w:pPr>
    </w:p>
    <w:p>
      <w:pPr>
        <w:jc w:val="both"/>
        <w:ind w:left="1400" w:right="19" w:hanging="658"/>
        <w:spacing w:after="0" w:line="227" w:lineRule="auto"/>
        <w:tabs>
          <w:tab w:leader="none" w:pos="139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Releasor further expressly agrees and covenants to release, discharge, forever indemnify, defend, and hold harmless the Released Parties and their attorneys from any Liens and/or claims which may arise or may have arisen in favor of Medicare, Medicaid, any other government program or any other governmental entity, federal, state or local, by operation of law or equity, for medical expenses, disability benefits, or any other charge or expense, directly or indirectly relating to Releasor’s injuries arising from, relating to, or in connection with the Covered Claims. The indemnification set forth in this Section specifically includes, but is not limited to, the payment of all reasonable costs and expenses of investigation, defense, settlement, attorney fees, judgments, court costs, and all other costs and expenses of defending such claims. Releasor’s total indemnification obligations under this Release Agreement shall not exceed Releasor’s settlement amount.</w:t>
      </w:r>
    </w:p>
    <w:p>
      <w:pPr>
        <w:spacing w:after="0" w:line="203" w:lineRule="exact"/>
        <w:rPr>
          <w:rFonts w:ascii="Arial" w:cs="Arial" w:eastAsia="Arial" w:hAnsi="Arial"/>
          <w:sz w:val="17"/>
          <w:szCs w:val="17"/>
          <w:color w:val="auto"/>
        </w:rPr>
      </w:pPr>
    </w:p>
    <w:p>
      <w:pPr>
        <w:ind w:left="1400" w:right="19" w:hanging="658"/>
        <w:spacing w:after="0" w:line="235" w:lineRule="auto"/>
        <w:tabs>
          <w:tab w:leader="none" w:pos="139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Releasor will not issue any press releases, press briefings, tweets, Instagram posts, or any other social media posts relating to this Release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25" w:lineRule="exact"/>
        <w:rPr>
          <w:sz w:val="20"/>
          <w:szCs w:val="20"/>
          <w:color w:val="auto"/>
        </w:rPr>
      </w:pPr>
    </w:p>
    <w:p>
      <w:pPr>
        <w:ind w:left="100" w:right="259" w:firstLine="642"/>
        <w:spacing w:after="0" w:line="237" w:lineRule="auto"/>
        <w:tabs>
          <w:tab w:leader="none" w:pos="1486"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Good Faith Settlement Determination</w:t>
      </w:r>
      <w:r>
        <w:rPr>
          <w:rFonts w:ascii="Arial" w:cs="Arial" w:eastAsia="Arial" w:hAnsi="Arial"/>
          <w:sz w:val="18"/>
          <w:szCs w:val="18"/>
          <w:color w:val="auto"/>
        </w:rPr>
        <w:t>. If requested by any Released Party, Releasor will cooperate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use best efforts to obtain a Good Faith Settlement Determination.</w:t>
      </w:r>
    </w:p>
    <w:p>
      <w:pPr>
        <w:spacing w:after="0" w:line="198" w:lineRule="exact"/>
        <w:rPr>
          <w:rFonts w:ascii="Arial" w:cs="Arial" w:eastAsia="Arial" w:hAnsi="Arial"/>
          <w:sz w:val="18"/>
          <w:szCs w:val="18"/>
          <w:color w:val="auto"/>
        </w:rPr>
      </w:pPr>
    </w:p>
    <w:p>
      <w:pPr>
        <w:jc w:val="both"/>
        <w:ind w:left="100" w:right="19" w:firstLine="641"/>
        <w:spacing w:after="0" w:line="231" w:lineRule="auto"/>
        <w:tabs>
          <w:tab w:leader="none" w:pos="1479"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Release Agreement shall be governed by and construed in accordance with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Illinois without regard to any choice-of-law rules that would require the application of the law of another jurisdiction.</w:t>
      </w:r>
    </w:p>
    <w:p>
      <w:pPr>
        <w:spacing w:after="0" w:line="185" w:lineRule="exact"/>
        <w:rPr>
          <w:rFonts w:ascii="Arial" w:cs="Arial" w:eastAsia="Arial" w:hAnsi="Arial"/>
          <w:sz w:val="18"/>
          <w:szCs w:val="18"/>
          <w:color w:val="auto"/>
        </w:rPr>
      </w:pPr>
    </w:p>
    <w:p>
      <w:pPr>
        <w:jc w:val="both"/>
        <w:ind w:left="100" w:right="19" w:firstLine="641"/>
        <w:spacing w:after="0" w:line="223" w:lineRule="auto"/>
        <w:tabs>
          <w:tab w:leader="none" w:pos="1486"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Competence</w:t>
      </w:r>
      <w:r>
        <w:rPr>
          <w:rFonts w:ascii="Arial" w:cs="Arial" w:eastAsia="Arial" w:hAnsi="Arial"/>
          <w:sz w:val="18"/>
          <w:szCs w:val="18"/>
          <w:color w:val="auto"/>
        </w:rPr>
        <w:t>. Releasor warrants and represents that he or she is of legal age and legally competent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this Release Agreement, that no promise or condition not contained or expressly referenced in this Release Agreement has been made to him or her, and that Releasor has been fully informed of the terms of this Release Agreement through discussions with Releasor’s Counsel. No term in this Release Agreement shall be construed against any party on the basis that the party drafted the Release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9019"/>
          </w:cols>
          <w:pgMar w:left="1440" w:top="949" w:right="1440" w:bottom="1440" w:gutter="0" w:footer="0" w:header="0"/>
        </w:sectPr>
      </w:pPr>
    </w:p>
    <w:bookmarkStart w:id="151" w:name="page152"/>
    <w:bookmarkEnd w:id="151"/>
    <w:p>
      <w:pPr>
        <w:ind w:left="100" w:right="159"/>
        <w:spacing w:after="0" w:line="241" w:lineRule="auto"/>
        <w:rPr>
          <w:sz w:val="20"/>
          <w:szCs w:val="20"/>
          <w:color w:val="auto"/>
        </w:rPr>
      </w:pPr>
      <w:r>
        <w:rPr>
          <w:rFonts w:ascii="Arial" w:cs="Arial" w:eastAsia="Arial" w:hAnsi="Arial"/>
          <w:sz w:val="16"/>
          <w:szCs w:val="16"/>
          <w:color w:val="auto"/>
        </w:rPr>
        <w:t>Under penalties as provided by law pursuant to Section 1-109 of the Illinois Code of Civil Procedure, the undersigned Releasor certifies that the statements set forth in this Release Agreement are true and correct, except as to matters therein stated to be on information and belief and as to such matters the undersigned certifies as aforesaid that the Releasor verily</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believes the same to be true.</w:t>
      </w:r>
    </w:p>
    <w:p>
      <w:pPr>
        <w:spacing w:after="0" w:line="358" w:lineRule="exact"/>
        <w:rPr>
          <w:sz w:val="20"/>
          <w:szCs w:val="20"/>
          <w:color w:val="auto"/>
        </w:rPr>
      </w:pPr>
    </w:p>
    <w:p>
      <w:pPr>
        <w:ind w:left="100" w:right="99"/>
        <w:spacing w:after="0" w:line="248" w:lineRule="auto"/>
        <w:rPr>
          <w:sz w:val="20"/>
          <w:szCs w:val="20"/>
          <w:color w:val="auto"/>
        </w:rPr>
      </w:pPr>
      <w:r>
        <w:rPr>
          <w:rFonts w:ascii="Arial" w:cs="Arial" w:eastAsia="Arial" w:hAnsi="Arial"/>
          <w:sz w:val="16"/>
          <w:szCs w:val="16"/>
          <w:color w:val="auto"/>
        </w:rPr>
        <w:t>In so signing, I acknowledge that all provisions have been fully agreed to, understood and comprehended by me, and that I enter into this Release Agreement knowingly and voluntarily for the purpose of making a full and final compromise and</w:t>
      </w:r>
    </w:p>
    <w:p>
      <w:pPr>
        <w:ind w:left="100" w:right="99"/>
        <w:spacing w:after="0" w:line="226" w:lineRule="auto"/>
        <w:rPr>
          <w:sz w:val="20"/>
          <w:szCs w:val="20"/>
          <w:color w:val="auto"/>
        </w:rPr>
      </w:pPr>
      <w:r>
        <w:rPr>
          <w:rFonts w:ascii="Arial" w:cs="Arial" w:eastAsia="Arial" w:hAnsi="Arial"/>
          <w:sz w:val="18"/>
          <w:szCs w:val="18"/>
          <w:color w:val="auto"/>
        </w:rPr>
        <w:t>settlement of any and all claims arising out of the matters referred to above. This certification shall have the same effect as a verification provided and sworn under oath.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RELEASOR: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4517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FULL NAME OF RELEASOR: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4517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4517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4517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RELEASOR 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4517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4517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14605</wp:posOffset>
            </wp:positionV>
            <wp:extent cx="24517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ectPr>
          <w:pgSz w:w="11900" w:h="16838" w:orient="portrait"/>
          <w:cols w:equalWidth="0" w:num="1">
            <w:col w:w="9019"/>
          </w:cols>
          <w:pgMar w:left="1440" w:top="1124" w:right="1440" w:bottom="9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Release Agreement</w:t>
      </w:r>
      <w:r>
        <w:rPr>
          <w:rFonts w:ascii="Arial" w:cs="Arial" w:eastAsia="Arial" w:hAnsi="Arial"/>
          <w:sz w:val="16"/>
          <w:szCs w:val="16"/>
          <w:color w:val="auto"/>
        </w:rPr>
        <w:t>]</w:t>
      </w:r>
    </w:p>
    <w:p>
      <w:pPr>
        <w:sectPr>
          <w:pgSz w:w="11900" w:h="16838" w:orient="portrait"/>
          <w:cols w:equalWidth="0" w:num="1">
            <w:col w:w="9019"/>
          </w:cols>
          <w:pgMar w:left="1440" w:top="1124" w:right="1440" w:bottom="993" w:gutter="0" w:footer="0" w:header="0"/>
          <w:type w:val="continuous"/>
        </w:sectPr>
      </w:pPr>
    </w:p>
    <w:bookmarkStart w:id="152" w:name="page153"/>
    <w:bookmarkEnd w:id="152"/>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D</w:t>
      </w:r>
    </w:p>
    <w:p>
      <w:pPr>
        <w:jc w:val="center"/>
        <w:ind w:right="19"/>
        <w:spacing w:after="0"/>
        <w:rPr>
          <w:sz w:val="20"/>
          <w:szCs w:val="20"/>
          <w:color w:val="auto"/>
        </w:rPr>
      </w:pPr>
      <w:r>
        <w:rPr>
          <w:rFonts w:ascii="Arial" w:cs="Arial" w:eastAsia="Arial" w:hAnsi="Arial"/>
          <w:sz w:val="22"/>
          <w:szCs w:val="22"/>
          <w:color w:val="auto"/>
        </w:rPr>
        <w:t>Form of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ESCROW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among</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STERIGENICS U.S., LLC, as Sterigenics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[TBD], as Plaintiffs’ QSF and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CITIBANK, N.A., as Escrow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Dated as of [</w:t>
      </w:r>
      <w:r>
        <w:rPr>
          <w:rFonts w:ascii="Arial" w:cs="Arial" w:eastAsia="Arial" w:hAnsi="Arial"/>
          <w:sz w:val="20"/>
          <w:szCs w:val="20"/>
          <w:color w:val="auto"/>
        </w:rPr>
        <w:t>●</w:t>
      </w:r>
      <w:r>
        <w:rPr>
          <w:rFonts w:ascii="Arial" w:cs="Arial" w:eastAsia="Arial" w:hAnsi="Arial"/>
          <w:sz w:val="20"/>
          <w:szCs w:val="20"/>
          <w:b w:val="1"/>
          <w:bCs w:val="1"/>
          <w:color w:val="auto"/>
        </w:rPr>
        <w:t>], 2023</w:t>
      </w:r>
    </w:p>
    <w:p>
      <w:pPr>
        <w:sectPr>
          <w:pgSz w:w="11900" w:h="16838" w:orient="portrait"/>
          <w:cols w:equalWidth="0" w:num="1">
            <w:col w:w="9019"/>
          </w:cols>
          <w:pgMar w:left="1440" w:top="1440" w:right="1440" w:bottom="1440" w:gutter="0" w:footer="0" w:header="0"/>
        </w:sectPr>
      </w:pPr>
    </w:p>
    <w:bookmarkStart w:id="153" w:name="page154"/>
    <w:bookmarkEnd w:id="153"/>
    <w:p>
      <w:pPr>
        <w:jc w:val="both"/>
        <w:ind w:left="560" w:right="20" w:firstLine="648"/>
        <w:spacing w:after="0" w:line="243" w:lineRule="auto"/>
        <w:rPr>
          <w:sz w:val="20"/>
          <w:szCs w:val="20"/>
          <w:color w:val="auto"/>
        </w:rPr>
      </w:pPr>
      <w:r>
        <w:rPr>
          <w:rFonts w:ascii="Arial" w:cs="Arial" w:eastAsia="Arial" w:hAnsi="Arial"/>
          <w:sz w:val="16"/>
          <w:szCs w:val="16"/>
          <w:b w:val="1"/>
          <w:bCs w:val="1"/>
          <w:color w:val="auto"/>
        </w:rPr>
        <w:t xml:space="preserve">ESCROW AGREEMENT </w:t>
      </w:r>
      <w:r>
        <w:rPr>
          <w:rFonts w:ascii="Arial" w:cs="Arial" w:eastAsia="Arial" w:hAnsi="Arial"/>
          <w:sz w:val="16"/>
          <w:szCs w:val="16"/>
          <w:color w:val="auto"/>
        </w:rPr>
        <w:t>(this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w:t>
      </w:r>
      <w:r>
        <w:rPr>
          <w:rFonts w:ascii="Arial" w:cs="Arial" w:eastAsia="Arial" w:hAnsi="Arial"/>
          <w:sz w:val="16"/>
          <w:szCs w:val="16"/>
          <w:b w:val="1"/>
          <w:bCs w:val="1"/>
          <w:color w:val="auto"/>
        </w:rPr>
        <w:t>●</w:t>
      </w:r>
      <w:r>
        <w:rPr>
          <w:rFonts w:ascii="Arial" w:cs="Arial" w:eastAsia="Arial" w:hAnsi="Arial"/>
          <w:sz w:val="16"/>
          <w:szCs w:val="16"/>
          <w:color w:val="auto"/>
        </w:rPr>
        <w:t>], 2023, by and among [</w:t>
      </w:r>
      <w:r>
        <w:rPr>
          <w:rFonts w:ascii="Arial" w:cs="Arial" w:eastAsia="Arial" w:hAnsi="Arial"/>
          <w:sz w:val="16"/>
          <w:szCs w:val="16"/>
          <w:b w:val="1"/>
          <w:bCs w:val="1"/>
          <w:color w:val="auto"/>
        </w:rPr>
        <w:t>●</w:t>
      </w:r>
      <w:r>
        <w:rPr>
          <w:rFonts w:ascii="Arial" w:cs="Arial" w:eastAsia="Arial" w:hAnsi="Arial"/>
          <w:sz w:val="16"/>
          <w:szCs w:val="16"/>
          <w:color w:val="auto"/>
        </w:rPr>
        <w:t>], a [qualified settlement fund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meaning of Section 1.468B-1 of the Treasury Regulations promulgated under the Internal Revenue Code of 1986, as</w:t>
      </w:r>
    </w:p>
    <w:p>
      <w:pPr>
        <w:spacing w:after="0" w:line="1" w:lineRule="exact"/>
        <w:rPr>
          <w:sz w:val="20"/>
          <w:szCs w:val="20"/>
          <w:color w:val="auto"/>
        </w:rPr>
      </w:pPr>
    </w:p>
    <w:p>
      <w:pPr>
        <w:jc w:val="both"/>
        <w:ind w:left="560"/>
        <w:spacing w:after="0" w:line="205" w:lineRule="auto"/>
        <w:rPr>
          <w:sz w:val="20"/>
          <w:szCs w:val="20"/>
          <w:color w:val="auto"/>
        </w:rPr>
      </w:pPr>
      <w:r>
        <w:rPr>
          <w:rFonts w:ascii="Arial" w:cs="Arial" w:eastAsia="Arial" w:hAnsi="Arial"/>
          <w:sz w:val="17"/>
          <w:szCs w:val="17"/>
          <w:color w:val="auto"/>
        </w:rPr>
        <w:t>amended] (“</w:t>
      </w:r>
      <w:r>
        <w:rPr>
          <w:rFonts w:ascii="Arial" w:cs="Arial" w:eastAsia="Arial" w:hAnsi="Arial"/>
          <w:sz w:val="17"/>
          <w:szCs w:val="17"/>
          <w:u w:val="single" w:color="auto"/>
          <w:color w:val="auto"/>
        </w:rPr>
        <w:t>Plaintiffs’ QSF</w:t>
      </w:r>
      <w:r>
        <w:rPr>
          <w:rFonts w:ascii="Arial" w:cs="Arial" w:eastAsia="Arial" w:hAnsi="Arial"/>
          <w:sz w:val="17"/>
          <w:szCs w:val="17"/>
          <w:color w:val="auto"/>
        </w:rPr>
        <w:t>”),</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Sterigenics U.S., LLC, a Delaware limited liability company (“</w:t>
      </w:r>
      <w:r>
        <w:rPr>
          <w:rFonts w:ascii="Arial" w:cs="Arial" w:eastAsia="Arial" w:hAnsi="Arial"/>
          <w:sz w:val="17"/>
          <w:szCs w:val="17"/>
          <w:u w:val="single" w:color="auto"/>
          <w:color w:val="auto"/>
        </w:rPr>
        <w:t>Sterigenics</w:t>
      </w:r>
      <w:r>
        <w:rPr>
          <w:rFonts w:ascii="Arial" w:cs="Arial" w:eastAsia="Arial" w:hAnsi="Arial"/>
          <w:sz w:val="17"/>
          <w:szCs w:val="17"/>
          <w:color w:val="auto"/>
        </w:rPr>
        <w:t>”), and Citibank, N.A., a national banking association organized and existing under the laws of the United States of America (“</w:t>
      </w:r>
      <w:r>
        <w:rPr>
          <w:rFonts w:ascii="Arial" w:cs="Arial" w:eastAsia="Arial" w:hAnsi="Arial"/>
          <w:sz w:val="17"/>
          <w:szCs w:val="17"/>
          <w:u w:val="single" w:color="auto"/>
          <w:color w:val="auto"/>
        </w:rPr>
        <w:t>Citibank</w:t>
      </w:r>
      <w:r>
        <w:rPr>
          <w:rFonts w:ascii="Arial" w:cs="Arial" w:eastAsia="Arial" w:hAnsi="Arial"/>
          <w:sz w:val="17"/>
          <w:szCs w:val="17"/>
          <w:color w:val="auto"/>
        </w:rPr>
        <w:t>”) and acting through its Agency and Trust Division and solely in its capacity as escrow agent under this Agreement, and any</w:t>
      </w:r>
    </w:p>
    <w:p>
      <w:pPr>
        <w:spacing w:after="0" w:line="1" w:lineRule="exact"/>
        <w:rPr>
          <w:sz w:val="20"/>
          <w:szCs w:val="20"/>
          <w:color w:val="auto"/>
        </w:rPr>
      </w:pPr>
    </w:p>
    <w:p>
      <w:pPr>
        <w:jc w:val="both"/>
        <w:ind w:left="560" w:right="20"/>
        <w:spacing w:after="0" w:line="226" w:lineRule="auto"/>
        <w:rPr>
          <w:sz w:val="20"/>
          <w:szCs w:val="20"/>
          <w:color w:val="auto"/>
        </w:rPr>
      </w:pPr>
      <w:r>
        <w:rPr>
          <w:rFonts w:ascii="Arial" w:cs="Arial" w:eastAsia="Arial" w:hAnsi="Arial"/>
          <w:sz w:val="18"/>
          <w:szCs w:val="18"/>
          <w:color w:val="auto"/>
        </w:rPr>
        <w:t>successors appointed pursuant to the terms hereof (Citibank in such capacity, the “</w:t>
      </w:r>
      <w:r>
        <w:rPr>
          <w:rFonts w:ascii="Arial" w:cs="Arial" w:eastAsia="Arial" w:hAnsi="Arial"/>
          <w:sz w:val="18"/>
          <w:szCs w:val="18"/>
          <w:u w:val="single" w:color="auto"/>
          <w:color w:val="auto"/>
        </w:rPr>
        <w:t>Escrow Agent</w:t>
      </w:r>
      <w:r>
        <w:rPr>
          <w:rFonts w:ascii="Arial" w:cs="Arial" w:eastAsia="Arial" w:hAnsi="Arial"/>
          <w:sz w:val="18"/>
          <w:szCs w:val="18"/>
          <w:color w:val="auto"/>
        </w:rPr>
        <w:t>”). Plaintiffs’ QSF and Sterigenics are sometimes collectively referred to herein as the “</w:t>
      </w:r>
      <w:r>
        <w:rPr>
          <w:rFonts w:ascii="Arial" w:cs="Arial" w:eastAsia="Arial" w:hAnsi="Arial"/>
          <w:sz w:val="18"/>
          <w:szCs w:val="18"/>
          <w:u w:val="single" w:color="auto"/>
          <w:color w:val="auto"/>
        </w:rPr>
        <w:t>Interested Parties</w:t>
      </w:r>
      <w:r>
        <w:rPr>
          <w:rFonts w:ascii="Arial" w:cs="Arial" w:eastAsia="Arial" w:hAnsi="Arial"/>
          <w:sz w:val="18"/>
          <w:szCs w:val="18"/>
          <w:color w:val="auto"/>
        </w:rPr>
        <w:t>.”</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Willowbrook Group Settlement Agreement, dated as of [</w:t>
      </w:r>
      <w:r>
        <w:rPr>
          <w:rFonts w:ascii="Arial" w:cs="Arial" w:eastAsia="Arial" w:hAnsi="Arial"/>
          <w:sz w:val="18"/>
          <w:szCs w:val="18"/>
          <w:b w:val="1"/>
          <w:bCs w:val="1"/>
          <w:color w:val="auto"/>
        </w:rPr>
        <w:t xml:space="preserve"> ● </w:t>
      </w:r>
      <w:r>
        <w:rPr>
          <w:rFonts w:ascii="Arial" w:cs="Arial" w:eastAsia="Arial" w:hAnsi="Arial"/>
          <w:sz w:val="18"/>
          <w:szCs w:val="18"/>
          <w:color w:val="auto"/>
        </w:rPr>
        <w:t>], 2023 (the “</w:t>
      </w:r>
      <w:r>
        <w:rPr>
          <w:rFonts w:ascii="Arial" w:cs="Arial" w:eastAsia="Arial" w:hAnsi="Arial"/>
          <w:sz w:val="18"/>
          <w:szCs w:val="18"/>
          <w:u w:val="single" w:color="auto"/>
          <w:color w:val="auto"/>
        </w:rPr>
        <w:t>Settlement</w:t>
      </w:r>
    </w:p>
    <w:p>
      <w:pPr>
        <w:spacing w:after="0" w:line="2" w:lineRule="exact"/>
        <w:rPr>
          <w:sz w:val="20"/>
          <w:szCs w:val="20"/>
          <w:color w:val="auto"/>
        </w:rPr>
      </w:pPr>
    </w:p>
    <w:p>
      <w:pPr>
        <w:jc w:val="both"/>
        <w:ind w:left="560" w:right="20"/>
        <w:spacing w:after="0" w:line="234" w:lineRule="auto"/>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in this Agreement and not otherwise defined herein have the meanings ascribed to such terms in the Settlement Agreement), by and among Plaintiffs’ Executive Committee, Sotera Health LLC, a Delaware limited liability company, and Sterigenics, whereby the parties agreed to settle certain claims in order to achieve closure and finality</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to avoid the costs, expense, time, efforts, disruption, and uncertainty inherent in litigation;</w:t>
      </w:r>
    </w:p>
    <w:p>
      <w:pPr>
        <w:spacing w:after="0" w:line="192" w:lineRule="exact"/>
        <w:rPr>
          <w:sz w:val="20"/>
          <w:szCs w:val="20"/>
          <w:color w:val="auto"/>
        </w:rPr>
      </w:pPr>
    </w:p>
    <w:p>
      <w:pPr>
        <w:jc w:val="both"/>
        <w:ind w:left="560" w:right="20" w:firstLine="647"/>
        <w:spacing w:after="0" w:line="26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terms of the Settlement Agreement, Sterigenics has agreed to place an amount in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the Escrow Deposit Amount (as defined below) in the Escrow Account (as defined below); and</w:t>
      </w:r>
    </w:p>
    <w:p>
      <w:pPr>
        <w:spacing w:after="0" w:line="193" w:lineRule="exact"/>
        <w:rPr>
          <w:sz w:val="20"/>
          <w:szCs w:val="20"/>
          <w:color w:val="auto"/>
        </w:rPr>
      </w:pPr>
    </w:p>
    <w:p>
      <w:pPr>
        <w:jc w:val="both"/>
        <w:ind w:left="560" w:right="20"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Interested Parties desire to appoint Escrow Agent as escrow agent hereunder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set forth and Escrow Agent is willing to act in such capacity;</w:t>
      </w:r>
    </w:p>
    <w:p>
      <w:pPr>
        <w:spacing w:after="0" w:line="199" w:lineRule="exact"/>
        <w:rPr>
          <w:sz w:val="20"/>
          <w:szCs w:val="20"/>
          <w:color w:val="auto"/>
        </w:rPr>
      </w:pPr>
    </w:p>
    <w:p>
      <w:pPr>
        <w:jc w:val="both"/>
        <w:ind w:left="560" w:right="20" w:firstLine="648"/>
        <w:spacing w:after="0" w:line="237"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adequacy of which is hereby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r>
        <w:rPr>
          <w:rFonts w:ascii="Arial" w:cs="Arial" w:eastAsia="Arial" w:hAnsi="Arial"/>
          <w:sz w:val="18"/>
          <w:szCs w:val="18"/>
          <w:b w:val="1"/>
          <w:bCs w:val="1"/>
          <w:color w:val="auto"/>
        </w:rPr>
        <w:t>:</w:t>
      </w:r>
    </w:p>
    <w:p>
      <w:pPr>
        <w:spacing w:after="0" w:line="199" w:lineRule="exact"/>
        <w:rPr>
          <w:sz w:val="20"/>
          <w:szCs w:val="20"/>
          <w:color w:val="auto"/>
        </w:rPr>
      </w:pPr>
    </w:p>
    <w:p>
      <w:pPr>
        <w:ind w:left="1840" w:hanging="639"/>
        <w:spacing w:after="0"/>
        <w:tabs>
          <w:tab w:leader="none" w:pos="1840" w:val="left"/>
        </w:tabs>
        <w:numPr>
          <w:ilvl w:val="2"/>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Establishment of Escrow Account; Investment of Funds</w:t>
      </w:r>
      <w:r>
        <w:rPr>
          <w:rFonts w:ascii="Arial" w:cs="Arial" w:eastAsia="Arial" w:hAnsi="Arial"/>
          <w:sz w:val="18"/>
          <w:szCs w:val="18"/>
          <w:b w:val="1"/>
          <w:bCs w:val="1"/>
          <w:color w:val="auto"/>
        </w:rPr>
        <w:t>.</w:t>
      </w:r>
    </w:p>
    <w:p>
      <w:pPr>
        <w:spacing w:after="0" w:line="296" w:lineRule="exact"/>
        <w:rPr>
          <w:rFonts w:ascii="Arial" w:cs="Arial" w:eastAsia="Arial" w:hAnsi="Arial"/>
          <w:sz w:val="18"/>
          <w:szCs w:val="18"/>
          <w:b w:val="1"/>
          <w:bCs w:val="1"/>
          <w:color w:val="auto"/>
        </w:rPr>
      </w:pPr>
    </w:p>
    <w:p>
      <w:pPr>
        <w:jc w:val="both"/>
        <w:ind w:left="560" w:right="20" w:firstLine="1289"/>
        <w:spacing w:after="0" w:line="245" w:lineRule="auto"/>
        <w:tabs>
          <w:tab w:leader="none" w:pos="2582" w:val="left"/>
        </w:tabs>
        <w:numPr>
          <w:ilvl w:val="3"/>
          <w:numId w:val="216"/>
        </w:numPr>
        <w:rPr>
          <w:rFonts w:ascii="Arial" w:cs="Arial" w:eastAsia="Arial" w:hAnsi="Arial"/>
          <w:sz w:val="17"/>
          <w:szCs w:val="17"/>
          <w:color w:val="auto"/>
        </w:rPr>
      </w:pPr>
      <w:r>
        <w:rPr>
          <w:rFonts w:ascii="Arial" w:cs="Arial" w:eastAsia="Arial" w:hAnsi="Arial"/>
          <w:sz w:val="17"/>
          <w:szCs w:val="17"/>
          <w:color w:val="auto"/>
        </w:rPr>
        <w:t>The Interested Parties hereby appoint the Escrow Agent as escrow agent for the purposes set forth herein, and the Escrow Agent hereby accepts such appointment and agrees to act as escrow agent hereunder, to hold and release the Escrow Property (as defined below) in accordance with the terms and conditions set forth herein.</w:t>
      </w:r>
    </w:p>
    <w:p>
      <w:pPr>
        <w:spacing w:after="0" w:line="184" w:lineRule="exact"/>
        <w:rPr>
          <w:rFonts w:ascii="Arial" w:cs="Arial" w:eastAsia="Arial" w:hAnsi="Arial"/>
          <w:sz w:val="17"/>
          <w:szCs w:val="17"/>
          <w:color w:val="auto"/>
        </w:rPr>
      </w:pPr>
    </w:p>
    <w:p>
      <w:pPr>
        <w:jc w:val="both"/>
        <w:ind w:left="560" w:firstLine="1289"/>
        <w:spacing w:after="0" w:line="215" w:lineRule="auto"/>
        <w:tabs>
          <w:tab w:leader="none" w:pos="2592" w:val="left"/>
        </w:tabs>
        <w:numPr>
          <w:ilvl w:val="3"/>
          <w:numId w:val="216"/>
        </w:numPr>
        <w:rPr>
          <w:rFonts w:ascii="Arial" w:cs="Arial" w:eastAsia="Arial" w:hAnsi="Arial"/>
          <w:sz w:val="18"/>
          <w:szCs w:val="18"/>
          <w:color w:val="auto"/>
        </w:rPr>
      </w:pPr>
      <w:r>
        <w:rPr>
          <w:rFonts w:ascii="Arial" w:cs="Arial" w:eastAsia="Arial" w:hAnsi="Arial"/>
          <w:sz w:val="18"/>
          <w:szCs w:val="18"/>
          <w:color w:val="auto"/>
        </w:rPr>
        <w:t>On May 1, 2023, Sterigenics shall deposit with the Escrow Agent in immediately available funds the amount of $285,500,000 (the “</w:t>
      </w:r>
      <w:r>
        <w:rPr>
          <w:rFonts w:ascii="Arial" w:cs="Arial" w:eastAsia="Arial" w:hAnsi="Arial"/>
          <w:sz w:val="18"/>
          <w:szCs w:val="18"/>
          <w:u w:val="single" w:color="auto"/>
          <w:color w:val="auto"/>
        </w:rPr>
        <w:t>Escrow Deposit Amount</w:t>
      </w:r>
      <w:r>
        <w:rPr>
          <w:rFonts w:ascii="Arial" w:cs="Arial" w:eastAsia="Arial" w:hAnsi="Arial"/>
          <w:sz w:val="18"/>
          <w:szCs w:val="18"/>
          <w:color w:val="auto"/>
        </w:rPr>
        <w:t>”). The Escrow Deposit Amount shall be deposited in an interest-bearing account insured by the Federal Deposit Insurance Corporation to the applicable limits (the “</w:t>
      </w:r>
      <w:r>
        <w:rPr>
          <w:rFonts w:ascii="Arial" w:cs="Arial" w:eastAsia="Arial" w:hAnsi="Arial"/>
          <w:sz w:val="18"/>
          <w:szCs w:val="18"/>
          <w:u w:val="single" w:color="auto"/>
          <w:color w:val="auto"/>
        </w:rPr>
        <w:t>Escrow Account</w:t>
      </w:r>
      <w:r>
        <w:rPr>
          <w:rFonts w:ascii="Arial" w:cs="Arial" w:eastAsia="Arial" w:hAnsi="Arial"/>
          <w:sz w:val="18"/>
          <w:szCs w:val="18"/>
          <w:color w:val="auto"/>
        </w:rPr>
        <w:t>”). Any interest, investment income, or proceeds received from the deposit or investment of the Escrow Deposit Amount, and any further amount earned or received thereon, shall be referred to herein as the “</w:t>
      </w:r>
      <w:r>
        <w:rPr>
          <w:rFonts w:ascii="Arial" w:cs="Arial" w:eastAsia="Arial" w:hAnsi="Arial"/>
          <w:sz w:val="18"/>
          <w:szCs w:val="18"/>
          <w:u w:val="single" w:color="auto"/>
          <w:color w:val="auto"/>
        </w:rPr>
        <w:t>Escrow Earnings</w:t>
      </w:r>
      <w:r>
        <w:rPr>
          <w:rFonts w:ascii="Arial" w:cs="Arial" w:eastAsia="Arial" w:hAnsi="Arial"/>
          <w:sz w:val="18"/>
          <w:szCs w:val="18"/>
          <w:color w:val="auto"/>
        </w:rPr>
        <w:t>,” and the Escrow Deposit Amount and the Escrow Earnings shall be collectively referred to herein as the “</w:t>
      </w:r>
      <w:r>
        <w:rPr>
          <w:rFonts w:ascii="Arial" w:cs="Arial" w:eastAsia="Arial" w:hAnsi="Arial"/>
          <w:sz w:val="18"/>
          <w:szCs w:val="18"/>
          <w:u w:val="single" w:color="auto"/>
          <w:color w:val="auto"/>
        </w:rPr>
        <w:t>Escrow Property</w:t>
      </w:r>
      <w:r>
        <w:rPr>
          <w:rFonts w:ascii="Arial" w:cs="Arial" w:eastAsia="Arial" w:hAnsi="Arial"/>
          <w:sz w:val="18"/>
          <w:szCs w:val="18"/>
          <w:color w:val="auto"/>
        </w:rPr>
        <w:t>.” The Interested Parties acknowledge that the initial interest rate is subject to change from time to time and shall be reflected in the monthly statement provided to the Interested Parties.</w:t>
      </w:r>
    </w:p>
    <w:p>
      <w:pPr>
        <w:spacing w:after="0" w:line="200" w:lineRule="exact"/>
        <w:rPr>
          <w:rFonts w:ascii="Arial" w:cs="Arial" w:eastAsia="Arial" w:hAnsi="Arial"/>
          <w:sz w:val="18"/>
          <w:szCs w:val="18"/>
          <w:color w:val="auto"/>
        </w:rPr>
      </w:pPr>
    </w:p>
    <w:p>
      <w:pPr>
        <w:ind w:left="560" w:right="240" w:firstLine="642"/>
        <w:spacing w:after="0" w:line="250" w:lineRule="auto"/>
        <w:tabs>
          <w:tab w:leader="none" w:pos="1937" w:val="left"/>
        </w:tabs>
        <w:numPr>
          <w:ilvl w:val="2"/>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and Payment; Release from Escrow</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Interested Parties shall act in accordance with,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Escrow Agent shall hold and release the Escrow Property as provided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as follows:</w:t>
      </w:r>
    </w:p>
    <w:p>
      <w:pPr>
        <w:spacing w:after="0" w:line="261" w:lineRule="exact"/>
        <w:rPr>
          <w:rFonts w:ascii="Arial" w:cs="Arial" w:eastAsia="Arial" w:hAnsi="Arial"/>
          <w:sz w:val="18"/>
          <w:szCs w:val="18"/>
          <w:b w:val="1"/>
          <w:bCs w:val="1"/>
          <w:color w:val="auto"/>
        </w:rPr>
      </w:pPr>
    </w:p>
    <w:p>
      <w:pPr>
        <w:jc w:val="both"/>
        <w:ind w:left="560" w:right="20" w:firstLine="1289"/>
        <w:spacing w:after="0" w:line="216" w:lineRule="auto"/>
        <w:tabs>
          <w:tab w:leader="none" w:pos="2582" w:val="left"/>
        </w:tabs>
        <w:numPr>
          <w:ilvl w:val="3"/>
          <w:numId w:val="216"/>
        </w:numPr>
        <w:rPr>
          <w:rFonts w:ascii="Arial" w:cs="Arial" w:eastAsia="Arial" w:hAnsi="Arial"/>
          <w:sz w:val="18"/>
          <w:szCs w:val="18"/>
          <w:color w:val="auto"/>
        </w:rPr>
      </w:pPr>
      <w:r>
        <w:rPr>
          <w:rFonts w:ascii="Arial" w:cs="Arial" w:eastAsia="Arial" w:hAnsi="Arial"/>
          <w:sz w:val="18"/>
          <w:szCs w:val="18"/>
          <w:color w:val="auto"/>
        </w:rPr>
        <w:t>Upon receipt of a written instruction executed by an Authorized Person (as defined in Section 11) of Sterigenics stating that (i) it is a QSF funding instruction and (ii) instructing the Escrow Agent to disburse the Escrow Deposit Amount (less the Escrow Agent’s Fees) (a “</w:t>
      </w:r>
      <w:r>
        <w:rPr>
          <w:rFonts w:ascii="Arial" w:cs="Arial" w:eastAsia="Arial" w:hAnsi="Arial"/>
          <w:sz w:val="18"/>
          <w:szCs w:val="18"/>
          <w:u w:val="single" w:color="auto"/>
          <w:color w:val="auto"/>
        </w:rPr>
        <w:t>QSF Funding Instruction</w:t>
      </w:r>
      <w:r>
        <w:rPr>
          <w:rFonts w:ascii="Arial" w:cs="Arial" w:eastAsia="Arial" w:hAnsi="Arial"/>
          <w:sz w:val="18"/>
          <w:szCs w:val="18"/>
          <w:color w:val="auto"/>
        </w:rPr>
        <w:t>”), the Escrow Agent shall promptly, but in any event within one (1) Business Day after receipt of a QSF Funding Instruction, disburse the Escrow Deposit Amount (less the Escrow Agent’s Fees) to Plaintiffs’ QSF. For purposes of this Agreement,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that the Escrow Agent is open for business.</w:t>
      </w:r>
    </w:p>
    <w:p>
      <w:pPr>
        <w:spacing w:after="0" w:line="205" w:lineRule="exact"/>
        <w:rPr>
          <w:rFonts w:ascii="Arial" w:cs="Arial" w:eastAsia="Arial" w:hAnsi="Arial"/>
          <w:sz w:val="18"/>
          <w:szCs w:val="18"/>
          <w:color w:val="auto"/>
        </w:rPr>
      </w:pPr>
    </w:p>
    <w:p>
      <w:pPr>
        <w:ind w:left="2580" w:hanging="731"/>
        <w:spacing w:after="0"/>
        <w:tabs>
          <w:tab w:leader="none" w:pos="2580" w:val="left"/>
        </w:tabs>
        <w:numPr>
          <w:ilvl w:val="3"/>
          <w:numId w:val="216"/>
        </w:numPr>
        <w:rPr>
          <w:rFonts w:ascii="Arial" w:cs="Arial" w:eastAsia="Arial" w:hAnsi="Arial"/>
          <w:sz w:val="16"/>
          <w:szCs w:val="16"/>
          <w:color w:val="auto"/>
        </w:rPr>
      </w:pPr>
      <w:r>
        <w:rPr>
          <w:rFonts w:ascii="Arial" w:cs="Arial" w:eastAsia="Arial" w:hAnsi="Arial"/>
          <w:sz w:val="16"/>
          <w:szCs w:val="16"/>
          <w:color w:val="auto"/>
        </w:rPr>
        <w:t>Upon receipt of a written instruction executed by an Authorized Person of Sterigenics stating that</w:t>
      </w:r>
    </w:p>
    <w:p>
      <w:pPr>
        <w:spacing w:after="0" w:line="7" w:lineRule="exact"/>
        <w:rPr>
          <w:rFonts w:ascii="Arial" w:cs="Arial" w:eastAsia="Arial" w:hAnsi="Arial"/>
          <w:sz w:val="16"/>
          <w:szCs w:val="16"/>
          <w:color w:val="auto"/>
        </w:rPr>
      </w:pPr>
    </w:p>
    <w:p>
      <w:pPr>
        <w:jc w:val="both"/>
        <w:ind w:left="560" w:right="20" w:hanging="7"/>
        <w:spacing w:after="0" w:line="214" w:lineRule="auto"/>
        <w:tabs>
          <w:tab w:leader="none" w:pos="77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it is a return instruction, (ii) Sterigenics is exercising its right to terminate the Settlement Agreement, and (iii) instructing the Escrow Agent to disburse all or a portion of the Escrow Property (a “</w:t>
      </w:r>
      <w:r>
        <w:rPr>
          <w:rFonts w:ascii="Arial" w:cs="Arial" w:eastAsia="Arial" w:hAnsi="Arial"/>
          <w:sz w:val="18"/>
          <w:szCs w:val="18"/>
          <w:u w:val="single" w:color="auto"/>
          <w:color w:val="auto"/>
        </w:rPr>
        <w:t>Return Instruction</w:t>
      </w:r>
      <w:r>
        <w:rPr>
          <w:rFonts w:ascii="Arial" w:cs="Arial" w:eastAsia="Arial" w:hAnsi="Arial"/>
          <w:sz w:val="18"/>
          <w:szCs w:val="18"/>
          <w:color w:val="auto"/>
        </w:rPr>
        <w:t>”), the Escrow Agent shall promptly, but in any event within one (1) Business Day after receipt of a Return Instruction, disburse all or such portion of the Escrow Property to Sterigenics.</w:t>
      </w:r>
    </w:p>
    <w:p>
      <w:pPr>
        <w:spacing w:after="0" w:line="190" w:lineRule="exact"/>
        <w:rPr>
          <w:rFonts w:ascii="Arial" w:cs="Arial" w:eastAsia="Arial" w:hAnsi="Arial"/>
          <w:sz w:val="18"/>
          <w:szCs w:val="18"/>
          <w:color w:val="auto"/>
        </w:rPr>
      </w:pPr>
    </w:p>
    <w:p>
      <w:pPr>
        <w:ind w:left="2580" w:hanging="730"/>
        <w:spacing w:after="0"/>
        <w:tabs>
          <w:tab w:leader="none" w:pos="2580" w:val="left"/>
        </w:tabs>
        <w:numPr>
          <w:ilvl w:val="3"/>
          <w:numId w:val="217"/>
        </w:numPr>
        <w:rPr>
          <w:rFonts w:ascii="Arial" w:cs="Arial" w:eastAsia="Arial" w:hAnsi="Arial"/>
          <w:sz w:val="16"/>
          <w:szCs w:val="16"/>
          <w:color w:val="auto"/>
        </w:rPr>
      </w:pPr>
      <w:r>
        <w:rPr>
          <w:rFonts w:ascii="Arial" w:cs="Arial" w:eastAsia="Arial" w:hAnsi="Arial"/>
          <w:sz w:val="16"/>
          <w:szCs w:val="16"/>
          <w:color w:val="auto"/>
        </w:rPr>
        <w:t>Upon receipt of a written instruction executed by an Authorized Person of Sterigenics stating that</w:t>
      </w:r>
    </w:p>
    <w:p>
      <w:pPr>
        <w:spacing w:after="0" w:line="21" w:lineRule="exact"/>
        <w:rPr>
          <w:rFonts w:ascii="Arial" w:cs="Arial" w:eastAsia="Arial" w:hAnsi="Arial"/>
          <w:sz w:val="16"/>
          <w:szCs w:val="16"/>
          <w:color w:val="auto"/>
        </w:rPr>
      </w:pPr>
    </w:p>
    <w:p>
      <w:pPr>
        <w:jc w:val="both"/>
        <w:ind w:left="560" w:right="20" w:hanging="6"/>
        <w:spacing w:after="0" w:line="208" w:lineRule="auto"/>
        <w:tabs>
          <w:tab w:leader="none" w:pos="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it is an earnings instruction and (ii) instructing the Escrow Agent to release all or part of the Escrow Earnings (an “</w:t>
      </w:r>
      <w:r>
        <w:rPr>
          <w:rFonts w:ascii="Arial" w:cs="Arial" w:eastAsia="Arial" w:hAnsi="Arial"/>
          <w:sz w:val="18"/>
          <w:szCs w:val="18"/>
          <w:u w:val="single" w:color="auto"/>
          <w:color w:val="auto"/>
        </w:rPr>
        <w:t>Earnings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Instruction</w:t>
      </w:r>
      <w:r>
        <w:rPr>
          <w:rFonts w:ascii="Arial" w:cs="Arial" w:eastAsia="Arial" w:hAnsi="Arial"/>
          <w:sz w:val="18"/>
          <w:szCs w:val="18"/>
          <w:color w:val="auto"/>
        </w:rPr>
        <w:t>”), the Escrow Agent shall promptly, but in any event within one (1) Business Day after receipt of an Earnings Instruction, disburse all or such part of the Escrow Earnings to Sterigenics.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30" w:lineRule="exact"/>
        <w:rPr>
          <w:sz w:val="20"/>
          <w:szCs w:val="20"/>
          <w:color w:val="auto"/>
        </w:rPr>
      </w:pPr>
    </w:p>
    <w:p>
      <w:pPr>
        <w:ind w:left="560" w:right="320" w:hanging="7"/>
        <w:spacing w:after="0" w:line="235" w:lineRule="auto"/>
        <w:tabs>
          <w:tab w:leader="none" w:pos="662" w:val="left"/>
        </w:tabs>
        <w:numPr>
          <w:ilvl w:val="0"/>
          <w:numId w:val="219"/>
        </w:numPr>
        <w:rPr>
          <w:rFonts w:ascii="Arial" w:cs="Arial" w:eastAsia="Arial" w:hAnsi="Arial"/>
          <w:sz w:val="21"/>
          <w:szCs w:val="21"/>
          <w:color w:val="auto"/>
          <w:vertAlign w:val="superscript"/>
        </w:rPr>
      </w:pPr>
      <w:r>
        <w:rPr>
          <w:rFonts w:ascii="Arial" w:cs="Arial" w:eastAsia="Arial" w:hAnsi="Arial"/>
          <w:sz w:val="16"/>
          <w:szCs w:val="16"/>
          <w:b w:val="1"/>
          <w:bCs w:val="1"/>
          <w:color w:val="auto"/>
        </w:rPr>
        <w:t>Note to Draft</w:t>
      </w:r>
      <w:r>
        <w:rPr>
          <w:rFonts w:ascii="Arial" w:cs="Arial" w:eastAsia="Arial" w:hAnsi="Arial"/>
          <w:sz w:val="16"/>
          <w:szCs w:val="16"/>
          <w:color w:val="auto"/>
        </w:rPr>
        <w:t>: This is a placeholder. We will work together to determine the appropriate party for the Escrow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which may depend on the QSF Administrator/court order establishing the QSF. In any case, we anticipate that a PEC representative would either be a direct party or one of the authorized signatories for a direct party to the Escrow Agreement.</w:t>
      </w:r>
    </w:p>
    <w:p>
      <w:pPr>
        <w:sectPr>
          <w:pgSz w:w="11900" w:h="16838" w:orient="portrait"/>
          <w:cols w:equalWidth="0" w:num="1">
            <w:col w:w="9800"/>
          </w:cols>
          <w:pgMar w:left="980" w:top="1390" w:right="1119" w:bottom="1440" w:gutter="0" w:footer="0" w:header="0"/>
        </w:sectPr>
      </w:pPr>
    </w:p>
    <w:bookmarkStart w:id="154" w:name="page155"/>
    <w:bookmarkEnd w:id="154"/>
    <w:p>
      <w:pPr>
        <w:jc w:val="both"/>
        <w:ind w:left="100" w:right="20" w:firstLine="1289"/>
        <w:spacing w:after="0" w:line="241" w:lineRule="auto"/>
        <w:tabs>
          <w:tab w:leader="none" w:pos="213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Plaintiffs’ QSF hereby acknowledges and agrees that in respect of any release of Escrow Property pursuant to Sections 2(a), 2(b), or 2(c), (i) the Escrow Agent shall be entitled to release the Escrow Property upon receipt of unilateral instructions from Sterigenics, upon which the Escrow Agent may rely conclusively without further inquiry,</w:t>
      </w:r>
    </w:p>
    <w:p>
      <w:pPr>
        <w:spacing w:after="0" w:line="1" w:lineRule="exact"/>
        <w:rPr>
          <w:rFonts w:ascii="Arial" w:cs="Arial" w:eastAsia="Arial" w:hAnsi="Arial"/>
          <w:sz w:val="16"/>
          <w:szCs w:val="16"/>
          <w:color w:val="auto"/>
        </w:rPr>
      </w:pPr>
    </w:p>
    <w:p>
      <w:pPr>
        <w:ind w:left="360" w:hanging="266"/>
        <w:spacing w:after="0"/>
        <w:tabs>
          <w:tab w:leader="none" w:pos="3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that no action by or on behalf of Plaintiffs’ QSF is required as a condition of such release, and (iii) that Plaintiffs’ QSF shall</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have no right to contest the release of such Escrow Property.</w:t>
      </w:r>
    </w:p>
    <w:p>
      <w:pPr>
        <w:spacing w:after="0" w:line="290" w:lineRule="exact"/>
        <w:rPr>
          <w:sz w:val="20"/>
          <w:szCs w:val="20"/>
          <w:color w:val="auto"/>
        </w:rPr>
      </w:pPr>
    </w:p>
    <w:p>
      <w:pPr>
        <w:ind w:left="100" w:right="20" w:firstLine="1289"/>
        <w:spacing w:after="0" w:line="277" w:lineRule="auto"/>
        <w:tabs>
          <w:tab w:leader="none" w:pos="212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 Escrow Earnings are for the account of Sterigenics. The Interested Parties agree that the total of all disbursements of Escrow Property to Plaintiffs’ QSF shall not exceed the Escrow Deposit Amount.</w:t>
      </w:r>
    </w:p>
    <w:p>
      <w:pPr>
        <w:spacing w:after="0" w:line="179" w:lineRule="exact"/>
        <w:rPr>
          <w:rFonts w:ascii="Arial" w:cs="Arial" w:eastAsia="Arial" w:hAnsi="Arial"/>
          <w:sz w:val="18"/>
          <w:szCs w:val="18"/>
          <w:color w:val="auto"/>
        </w:rPr>
      </w:pPr>
    </w:p>
    <w:p>
      <w:pPr>
        <w:ind w:left="1380" w:hanging="639"/>
        <w:spacing w:after="0"/>
        <w:tabs>
          <w:tab w:leader="none" w:pos="13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296" w:lineRule="exact"/>
        <w:rPr>
          <w:rFonts w:ascii="Arial" w:cs="Arial" w:eastAsia="Arial" w:hAnsi="Arial"/>
          <w:sz w:val="18"/>
          <w:szCs w:val="18"/>
          <w:b w:val="1"/>
          <w:bCs w:val="1"/>
          <w:color w:val="auto"/>
        </w:rPr>
      </w:pPr>
    </w:p>
    <w:p>
      <w:pPr>
        <w:jc w:val="both"/>
        <w:ind w:left="100" w:firstLine="1289"/>
        <w:spacing w:after="0" w:line="219" w:lineRule="auto"/>
        <w:tabs>
          <w:tab w:leader="none" w:pos="212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Interested Parties agree any Escrow Earnings shall be treated as the income of Sterigenics and shall be reported on an annual basis on United States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Form 1099-INT, as required pursuant to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thereunder. Principal payments are not reportable to any payee hereunder. The Interested Parties and the Escrow Agent agree that the Escrow Agent will not be responsible for providing tax reporting and withholding for payments that are for compensation for services performed by an employee or independent contractor.</w:t>
      </w:r>
    </w:p>
    <w:p>
      <w:pPr>
        <w:spacing w:after="0" w:line="189" w:lineRule="exact"/>
        <w:rPr>
          <w:rFonts w:ascii="Arial" w:cs="Arial" w:eastAsia="Arial" w:hAnsi="Arial"/>
          <w:sz w:val="18"/>
          <w:szCs w:val="18"/>
          <w:color w:val="auto"/>
        </w:rPr>
      </w:pPr>
    </w:p>
    <w:p>
      <w:pPr>
        <w:ind w:left="100" w:right="180" w:firstLine="1289"/>
        <w:spacing w:after="0" w:line="216" w:lineRule="auto"/>
        <w:tabs>
          <w:tab w:leader="none" w:pos="213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If IRS imputed interest requirements apply, Sterigenics is solely responsible to inform the Escrow Agent, provide the Escrow Agent with all imputed interest calculations, and direct the Escrow Agent to disburse imputed interest amounts. The Escrow Agent shall rely solely on such provided calculations and information and shall have no responsibility for the accuracy or completeness of any such calculations or information or for the failure of Sterigenics to provide such calculations or information.</w:t>
      </w:r>
    </w:p>
    <w:p>
      <w:pPr>
        <w:spacing w:after="0" w:line="202" w:lineRule="exact"/>
        <w:rPr>
          <w:rFonts w:ascii="Arial" w:cs="Arial" w:eastAsia="Arial" w:hAnsi="Arial"/>
          <w:sz w:val="18"/>
          <w:szCs w:val="18"/>
          <w:color w:val="auto"/>
        </w:rPr>
      </w:pPr>
    </w:p>
    <w:p>
      <w:pPr>
        <w:jc w:val="both"/>
        <w:ind w:left="100" w:right="20" w:firstLine="1289"/>
        <w:spacing w:after="0" w:line="214" w:lineRule="auto"/>
        <w:tabs>
          <w:tab w:leader="none" w:pos="212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Interested Parties shall upon the execution of this Agreement provide the Escrow Agent with a duly completed and properly executed IRS Form W-9 or applicable IRS Form W-8, in the case of a non-U.S. person, for each payee, together with any other documentation and information requested by the Escrow Agent in connection with the Escrow Agent’s tax reporting obligations under the Code and the regulations thereunder. With respect to the Escrow Agent’s tax reporting obligations under the Code, the Foreign Account Tax Compliance Act and the Foreign Investment in Real Property Tax Act and any other applicable law or regulation, the Interested Parties understand that, in the event valid U.S. tax forms or other required supporting documentation are not provided to the Escrow Agent, the Escrow Agent may be required to withhold tax from the Escrow Property and report account information on any earnings, proceeds or distributions from the Escrow Property.</w:t>
      </w:r>
    </w:p>
    <w:p>
      <w:pPr>
        <w:spacing w:after="0" w:line="269" w:lineRule="exact"/>
        <w:rPr>
          <w:rFonts w:ascii="Arial" w:cs="Arial" w:eastAsia="Arial" w:hAnsi="Arial"/>
          <w:sz w:val="18"/>
          <w:szCs w:val="18"/>
          <w:color w:val="auto"/>
        </w:rPr>
      </w:pPr>
    </w:p>
    <w:p>
      <w:pPr>
        <w:jc w:val="both"/>
        <w:ind w:left="100" w:firstLine="1289"/>
        <w:spacing w:after="0" w:line="217" w:lineRule="auto"/>
        <w:tabs>
          <w:tab w:leader="none" w:pos="213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Should the Escrow Agent become liable for the payment of taxes, including withholding taxes relating to any funds, including interest and penalties thereon, held by it pursuant to this Agreement or any payment made hereunder (but excluding any taxes of the Escrow Agent with respect to its compensation hereunder), the Escrow Agent shall satisfy such liability to the extent possible from the Escrow Property. The Interested Parties agree, jointly and severally, to indemnify and hold the Escrow Agent harmless pursuant to Section 5(c) hereof from any liability or obligation on account of taxes, assessments, interest, penalties, expenses and other governmental charges that may be assessed or asserted against the Escrow Agent.</w:t>
      </w:r>
    </w:p>
    <w:p>
      <w:pPr>
        <w:spacing w:after="0" w:line="267" w:lineRule="exact"/>
        <w:rPr>
          <w:rFonts w:ascii="Arial" w:cs="Arial" w:eastAsia="Arial" w:hAnsi="Arial"/>
          <w:sz w:val="18"/>
          <w:szCs w:val="18"/>
          <w:color w:val="auto"/>
        </w:rPr>
      </w:pPr>
    </w:p>
    <w:p>
      <w:pPr>
        <w:ind w:left="2040" w:hanging="651"/>
        <w:spacing w:after="0"/>
        <w:tabs>
          <w:tab w:leader="none" w:pos="20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Escrow Account will be treated as owned by Sterigenics for U.S. federal income</w:t>
      </w:r>
    </w:p>
    <w:p>
      <w:pPr>
        <w:ind w:left="100"/>
        <w:spacing w:after="0"/>
        <w:rPr>
          <w:sz w:val="20"/>
          <w:szCs w:val="20"/>
          <w:color w:val="auto"/>
        </w:rPr>
      </w:pPr>
      <w:r>
        <w:rPr>
          <w:rFonts w:ascii="Arial" w:cs="Arial" w:eastAsia="Arial" w:hAnsi="Arial"/>
          <w:sz w:val="18"/>
          <w:szCs w:val="18"/>
          <w:color w:val="auto"/>
        </w:rPr>
        <w:t>tax purposes.</w:t>
      </w:r>
    </w:p>
    <w:p>
      <w:pPr>
        <w:spacing w:after="0" w:line="277" w:lineRule="exact"/>
        <w:rPr>
          <w:sz w:val="20"/>
          <w:szCs w:val="20"/>
          <w:color w:val="auto"/>
        </w:rPr>
      </w:pPr>
    </w:p>
    <w:p>
      <w:pPr>
        <w:ind w:left="100" w:right="180" w:firstLine="1290"/>
        <w:spacing w:after="0" w:line="235" w:lineRule="auto"/>
        <w:tabs>
          <w:tab w:leader="none" w:pos="212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The Escrow Agent’s rights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survive the termination of this Agreement or the resignation or removal of the Escrow Agent.</w:t>
      </w:r>
    </w:p>
    <w:p>
      <w:pPr>
        <w:spacing w:after="0" w:line="198" w:lineRule="exact"/>
        <w:rPr>
          <w:rFonts w:ascii="Arial" w:cs="Arial" w:eastAsia="Arial" w:hAnsi="Arial"/>
          <w:sz w:val="18"/>
          <w:szCs w:val="18"/>
          <w:color w:val="auto"/>
        </w:rPr>
      </w:pPr>
    </w:p>
    <w:p>
      <w:pPr>
        <w:ind w:left="1380" w:hanging="639"/>
        <w:spacing w:after="0"/>
        <w:tabs>
          <w:tab w:leader="none" w:pos="138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Concerning the Escrow Agent</w:t>
      </w:r>
      <w:r>
        <w:rPr>
          <w:rFonts w:ascii="Arial" w:cs="Arial" w:eastAsia="Arial" w:hAnsi="Arial"/>
          <w:sz w:val="18"/>
          <w:szCs w:val="18"/>
          <w:b w:val="1"/>
          <w:bCs w:val="1"/>
          <w:color w:val="auto"/>
        </w:rPr>
        <w:t>.</w:t>
      </w:r>
    </w:p>
    <w:p>
      <w:pPr>
        <w:spacing w:after="0" w:line="296" w:lineRule="exact"/>
        <w:rPr>
          <w:rFonts w:ascii="Arial" w:cs="Arial" w:eastAsia="Arial" w:hAnsi="Arial"/>
          <w:sz w:val="18"/>
          <w:szCs w:val="18"/>
          <w:b w:val="1"/>
          <w:bCs w:val="1"/>
          <w:color w:val="auto"/>
        </w:rPr>
      </w:pPr>
    </w:p>
    <w:p>
      <w:pPr>
        <w:jc w:val="both"/>
        <w:ind w:left="100" w:firstLine="1290"/>
        <w:spacing w:after="0" w:line="215" w:lineRule="auto"/>
        <w:tabs>
          <w:tab w:leader="none" w:pos="2122"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Escrow Agent Duties</w:t>
      </w:r>
      <w:r>
        <w:rPr>
          <w:rFonts w:ascii="Arial" w:cs="Arial" w:eastAsia="Arial" w:hAnsi="Arial"/>
          <w:sz w:val="18"/>
          <w:szCs w:val="18"/>
          <w:color w:val="auto"/>
        </w:rPr>
        <w:t>. Each Interested Party acknowledges and agrees that (i) the duties, responsibilities and obligations of the Escrow Agent shall be limited to those expressly set forth in this Agreement, each of which is administrative or ministerial (and shall not be construed to be fiduciary) in nature, and no duties, responsibilities or obligations shall be inferred or implied, (ii) the Escrow Agent shall not be responsible for any of the agreements referred to or described herein (including without limitation the Settlement Agreement and any defined term therein not otherwise defined in this Agreement), or for determining or compelling compliance therewith, and shall not otherwise be bound thereby, and (iii) the Escrow Agent shall not be required to expend or risk any of its own funds to satisfy payments from the Escrow Property hereunder.</w:t>
      </w:r>
    </w:p>
    <w:p>
      <w:pPr>
        <w:spacing w:after="0" w:line="204" w:lineRule="exact"/>
        <w:rPr>
          <w:rFonts w:ascii="Arial" w:cs="Arial" w:eastAsia="Arial" w:hAnsi="Arial"/>
          <w:sz w:val="18"/>
          <w:szCs w:val="18"/>
          <w:color w:val="auto"/>
        </w:rPr>
      </w:pPr>
    </w:p>
    <w:p>
      <w:pPr>
        <w:jc w:val="both"/>
        <w:ind w:left="100" w:firstLine="1289"/>
        <w:spacing w:after="0" w:line="235" w:lineRule="auto"/>
        <w:tabs>
          <w:tab w:leader="none" w:pos="2142"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Liability of Escrow Agent</w:t>
      </w:r>
      <w:r>
        <w:rPr>
          <w:rFonts w:ascii="Arial" w:cs="Arial" w:eastAsia="Arial" w:hAnsi="Arial"/>
          <w:sz w:val="17"/>
          <w:szCs w:val="17"/>
          <w:color w:val="auto"/>
        </w:rPr>
        <w:t>. The Escrow Agent shall not be liable for any damage, loss or injury resulting from any action taken or omitted in the absence of gross negligence or willful misconduct (as finally adjudicated by a court of competent jurisdiction). In no event shall the Escrow Agent be liable for indirect, incidental, consequential, punitive or special losses or damages (including but not limited to lost profits), regardless of the form of action and whether or not any such losses or damages were foreseeable or contemplated. The Escrow Agent shall be</w:t>
      </w:r>
    </w:p>
    <w:p>
      <w:pPr>
        <w:sectPr>
          <w:pgSz w:w="11900" w:h="16838" w:orient="portrait"/>
          <w:cols w:equalWidth="0" w:num="1">
            <w:col w:w="9340"/>
          </w:cols>
          <w:pgMar w:left="1440" w:top="1408" w:right="1119" w:bottom="1440" w:gutter="0" w:footer="0" w:header="0"/>
        </w:sectPr>
      </w:pPr>
    </w:p>
    <w:bookmarkStart w:id="155" w:name="page156"/>
    <w:bookmarkEnd w:id="155"/>
    <w:p>
      <w:pPr>
        <w:ind w:left="100"/>
        <w:spacing w:after="0"/>
        <w:rPr>
          <w:sz w:val="20"/>
          <w:szCs w:val="20"/>
          <w:color w:val="auto"/>
        </w:rPr>
      </w:pPr>
      <w:r>
        <w:rPr>
          <w:rFonts w:ascii="Arial" w:cs="Arial" w:eastAsia="Arial" w:hAnsi="Arial"/>
          <w:sz w:val="16"/>
          <w:szCs w:val="16"/>
          <w:color w:val="auto"/>
        </w:rPr>
        <w:t>entitled to rely upon any instruction, notice, request or other instrument delivered to it without being required to determine the</w:t>
      </w:r>
    </w:p>
    <w:p>
      <w:pPr>
        <w:spacing w:after="0" w:line="21" w:lineRule="exact"/>
        <w:rPr>
          <w:sz w:val="20"/>
          <w:szCs w:val="20"/>
          <w:color w:val="auto"/>
        </w:rPr>
      </w:pPr>
    </w:p>
    <w:p>
      <w:pPr>
        <w:jc w:val="both"/>
        <w:ind w:left="100" w:right="20"/>
        <w:spacing w:after="0" w:line="234" w:lineRule="auto"/>
        <w:rPr>
          <w:sz w:val="20"/>
          <w:szCs w:val="20"/>
          <w:color w:val="auto"/>
        </w:rPr>
      </w:pPr>
      <w:r>
        <w:rPr>
          <w:rFonts w:ascii="Arial" w:cs="Arial" w:eastAsia="Arial" w:hAnsi="Arial"/>
          <w:sz w:val="16"/>
          <w:szCs w:val="16"/>
          <w:color w:val="auto"/>
        </w:rPr>
        <w:t>authenticity or validity thereof, or the truth or accuracy of any information stated therein. The Escrow Agent may act in reliance upon any signature believed by it to be genuine (including any signature affixed by DocuSign) and may assume that any person purporting to make any statement, execute any document, or send any instruction in connection with the provisions hereof has</w:t>
      </w:r>
    </w:p>
    <w:p>
      <w:pPr>
        <w:spacing w:after="0" w:line="2" w:lineRule="exact"/>
        <w:rPr>
          <w:sz w:val="20"/>
          <w:szCs w:val="20"/>
          <w:color w:val="auto"/>
        </w:rPr>
      </w:pPr>
    </w:p>
    <w:p>
      <w:pPr>
        <w:jc w:val="both"/>
        <w:ind w:left="100" w:right="20"/>
        <w:spacing w:after="0" w:line="234" w:lineRule="auto"/>
        <w:rPr>
          <w:sz w:val="20"/>
          <w:szCs w:val="20"/>
          <w:color w:val="auto"/>
        </w:rPr>
      </w:pPr>
      <w:r>
        <w:rPr>
          <w:rFonts w:ascii="Arial" w:cs="Arial" w:eastAsia="Arial" w:hAnsi="Arial"/>
          <w:sz w:val="16"/>
          <w:szCs w:val="16"/>
          <w:color w:val="auto"/>
        </w:rPr>
        <w:t>been duly authorized to do so. The Escrow Agent may consult with counsel satisfactory to it, and the opinion or advice of such counsel shall be full and complete authorization and protection in respect of any action taken, suffered or omitted by it in good faith and in accordance with the opinion and advice of such counsel. The Escrow Agent may perform any and all of its duties</w:t>
      </w:r>
    </w:p>
    <w:p>
      <w:pPr>
        <w:spacing w:after="0" w:line="2" w:lineRule="exact"/>
        <w:rPr>
          <w:sz w:val="20"/>
          <w:szCs w:val="20"/>
          <w:color w:val="auto"/>
        </w:rPr>
      </w:pPr>
    </w:p>
    <w:p>
      <w:pPr>
        <w:jc w:val="both"/>
        <w:ind w:left="100"/>
        <w:spacing w:after="0" w:line="234" w:lineRule="auto"/>
        <w:rPr>
          <w:sz w:val="20"/>
          <w:szCs w:val="20"/>
          <w:color w:val="auto"/>
        </w:rPr>
      </w:pPr>
      <w:r>
        <w:rPr>
          <w:rFonts w:ascii="Arial" w:cs="Arial" w:eastAsia="Arial" w:hAnsi="Arial"/>
          <w:sz w:val="16"/>
          <w:szCs w:val="16"/>
          <w:color w:val="auto"/>
        </w:rPr>
        <w:t>through its agents, representatives, attorneys, custodians and/or nominees. The Escrow Agent shall not incur any liability for not performing any act or fulfilling any obligation hereunder by reason of any occurrence beyond its control (including, without limitation, any provision of any present or future law or regulation or any act of any governmental authority, any act of God or</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war or terrorism, or the unavailability of the Federal Reserve Bank wire services or any electronic communication facility).</w:t>
      </w:r>
    </w:p>
    <w:p>
      <w:pPr>
        <w:spacing w:after="0" w:line="221" w:lineRule="exact"/>
        <w:rPr>
          <w:sz w:val="20"/>
          <w:szCs w:val="20"/>
          <w:color w:val="auto"/>
        </w:rPr>
      </w:pPr>
    </w:p>
    <w:p>
      <w:pPr>
        <w:jc w:val="both"/>
        <w:ind w:left="100" w:firstLine="1290"/>
        <w:spacing w:after="0" w:line="225" w:lineRule="auto"/>
        <w:tabs>
          <w:tab w:leader="none" w:pos="2122"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Reliance on Orders</w:t>
      </w:r>
      <w:r>
        <w:rPr>
          <w:rFonts w:ascii="Arial" w:cs="Arial" w:eastAsia="Arial" w:hAnsi="Arial"/>
          <w:sz w:val="17"/>
          <w:szCs w:val="17"/>
          <w:color w:val="auto"/>
        </w:rPr>
        <w:t>. The Escrow Agent is authorized to comply with final orders issued or process entered by any court with respect to the Escrow Property, without determination by the Escrow Agent of such court's jurisdiction in the matter. If any portion of the Escrow Property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thereof, then and in any such event, the Escrow Agent is authorized to rely upon and comply with any such order, writ, judgment or decree which it is advised is binding upon it without the need for appeal or other action; and if the Escrow Agent complies with any such order, writ, judgment or decree, it shall not be liable to any of the Interested Parties hereto or to any other person or entity by reason of such compliance even though such order, writ, judgment or decree may be subsequently reversed, modified, annulled, set aside or vacated.</w:t>
      </w:r>
    </w:p>
    <w:p>
      <w:pPr>
        <w:spacing w:after="0" w:line="205" w:lineRule="exact"/>
        <w:rPr>
          <w:rFonts w:ascii="Arial" w:cs="Arial" w:eastAsia="Arial" w:hAnsi="Arial"/>
          <w:sz w:val="17"/>
          <w:szCs w:val="17"/>
          <w:color w:val="auto"/>
        </w:rPr>
      </w:pPr>
    </w:p>
    <w:p>
      <w:pPr>
        <w:jc w:val="both"/>
        <w:ind w:left="100" w:firstLine="1289"/>
        <w:spacing w:after="0" w:line="242" w:lineRule="auto"/>
        <w:tabs>
          <w:tab w:leader="none" w:pos="2132"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Erroneous Payments</w:t>
      </w:r>
      <w:r>
        <w:rPr>
          <w:rFonts w:ascii="Arial" w:cs="Arial" w:eastAsia="Arial" w:hAnsi="Arial"/>
          <w:sz w:val="16"/>
          <w:szCs w:val="16"/>
          <w:color w:val="auto"/>
        </w:rPr>
        <w:t>. If the Escrow Agent releases any funds (including but not limited to the Escrow Property or any portion of it) to an Interested Party and subsequently determines (in its absolute discretion) that the payment (or any portion of it) was made in error, that Interested Party shall upon notice promptly refund the erroneous payment, and none of the obligations of the Interested Party or the remedies of the Escrow Agent will be affected by any act, omission, matter or thing (including, without limitation, any obligation pursuant to which an erroneous payment is made) which, but for this provision, would reduce, release, preclude or prejudice any such obligation or remedy (whether or not known by the Escrow Agent or any Interested Party). Each of the Interested Parties agrees not to assert discharge for value, bona fide payee, or any similar doctrine as a defense to recovery of any erroneous payment by the Escrow Agent.</w:t>
      </w:r>
    </w:p>
    <w:p>
      <w:pPr>
        <w:spacing w:after="0" w:line="199" w:lineRule="exact"/>
        <w:rPr>
          <w:rFonts w:ascii="Arial" w:cs="Arial" w:eastAsia="Arial" w:hAnsi="Arial"/>
          <w:sz w:val="16"/>
          <w:szCs w:val="16"/>
          <w:color w:val="auto"/>
        </w:rPr>
      </w:pPr>
    </w:p>
    <w:p>
      <w:pPr>
        <w:ind w:left="1380" w:hanging="639"/>
        <w:spacing w:after="0"/>
        <w:tabs>
          <w:tab w:leader="none" w:pos="138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Expense Reimbursement and Indemnification</w:t>
      </w:r>
      <w:r>
        <w:rPr>
          <w:rFonts w:ascii="Arial" w:cs="Arial" w:eastAsia="Arial" w:hAnsi="Arial"/>
          <w:sz w:val="18"/>
          <w:szCs w:val="18"/>
          <w:b w:val="1"/>
          <w:bCs w:val="1"/>
          <w:color w:val="auto"/>
        </w:rPr>
        <w:t>.</w:t>
      </w:r>
    </w:p>
    <w:p>
      <w:pPr>
        <w:spacing w:after="0" w:line="310" w:lineRule="exact"/>
        <w:rPr>
          <w:rFonts w:ascii="Arial" w:cs="Arial" w:eastAsia="Arial" w:hAnsi="Arial"/>
          <w:sz w:val="18"/>
          <w:szCs w:val="18"/>
          <w:b w:val="1"/>
          <w:bCs w:val="1"/>
          <w:color w:val="auto"/>
        </w:rPr>
      </w:pPr>
    </w:p>
    <w:p>
      <w:pPr>
        <w:jc w:val="both"/>
        <w:ind w:left="100" w:right="20" w:firstLine="1289"/>
        <w:spacing w:after="0"/>
        <w:tabs>
          <w:tab w:leader="none" w:pos="2122"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The Escrow Agent’s compensation specified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Escrow Agent’s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Compensation</w:t>
      </w:r>
      <w:r>
        <w:rPr>
          <w:rFonts w:ascii="Arial" w:cs="Arial" w:eastAsia="Arial" w:hAnsi="Arial"/>
          <w:sz w:val="16"/>
          <w:szCs w:val="16"/>
          <w:color w:val="auto"/>
        </w:rPr>
        <w:t>”) shall be paid directly from the Escrow Property. Each of the Interested Parties covenants and agrees, jointly and severally, to pay to the Escrow Agent all out-of-pocket expenses incurred by the Escrow Agent in the performance of its role under this Agreement (including, but not limited to, any attorney’s fees incurred in connection with the preparation and negotiation of this Agreement, which shall be due and payable when the Escrow Account has been funded with the Escrow Deposit Amount) (the “</w:t>
      </w:r>
      <w:r>
        <w:rPr>
          <w:rFonts w:ascii="Arial" w:cs="Arial" w:eastAsia="Arial" w:hAnsi="Arial"/>
          <w:sz w:val="16"/>
          <w:szCs w:val="16"/>
          <w:u w:val="single" w:color="auto"/>
          <w:color w:val="auto"/>
        </w:rPr>
        <w:t>Escrow Agent’s Expenses</w:t>
      </w:r>
      <w:r>
        <w:rPr>
          <w:rFonts w:ascii="Arial" w:cs="Arial" w:eastAsia="Arial" w:hAnsi="Arial"/>
          <w:sz w:val="16"/>
          <w:szCs w:val="16"/>
          <w:color w:val="auto"/>
        </w:rPr>
        <w:t>” and together with the Escrow Agent’s Compensation, the “</w:t>
      </w:r>
      <w:r>
        <w:rPr>
          <w:rFonts w:ascii="Arial" w:cs="Arial" w:eastAsia="Arial" w:hAnsi="Arial"/>
          <w:sz w:val="16"/>
          <w:szCs w:val="16"/>
          <w:u w:val="single" w:color="auto"/>
          <w:color w:val="auto"/>
        </w:rPr>
        <w:t>Escrow Agent’s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Fees</w:t>
      </w:r>
      <w:r>
        <w:rPr>
          <w:rFonts w:ascii="Arial" w:cs="Arial" w:eastAsia="Arial" w:hAnsi="Arial"/>
          <w:sz w:val="16"/>
          <w:szCs w:val="16"/>
          <w:color w:val="auto"/>
        </w:rPr>
        <w:t>”). Without altering or limiting the joint and several obligations of the Interested Parties to the Escrow Agent in this Section 5(a), solely as between the Interested Parties and consistent with the Settlement Agreement, Plaintiffs’ QSF shall each be responsible for 100% of any fees or expenses payable to the Escrow Agent hereunder.</w:t>
      </w:r>
    </w:p>
    <w:p>
      <w:pPr>
        <w:spacing w:after="0" w:line="207" w:lineRule="exact"/>
        <w:rPr>
          <w:rFonts w:ascii="Arial" w:cs="Arial" w:eastAsia="Arial" w:hAnsi="Arial"/>
          <w:sz w:val="16"/>
          <w:szCs w:val="16"/>
          <w:color w:val="auto"/>
        </w:rPr>
      </w:pPr>
    </w:p>
    <w:p>
      <w:pPr>
        <w:jc w:val="both"/>
        <w:ind w:left="100" w:firstLine="1290"/>
        <w:spacing w:after="0" w:line="226" w:lineRule="auto"/>
        <w:tabs>
          <w:tab w:leader="none" w:pos="2132"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t>Security and Offset</w:t>
      </w:r>
      <w:r>
        <w:rPr>
          <w:rFonts w:ascii="Arial" w:cs="Arial" w:eastAsia="Arial" w:hAnsi="Arial"/>
          <w:sz w:val="17"/>
          <w:szCs w:val="17"/>
          <w:color w:val="auto"/>
        </w:rPr>
        <w:t>. The Interested Parties hereby grant to the Escrow Agent a first lien upon, and right of offset against, the Escrow Property with respect to any fees or expenses due to the Escrow Agent hereunder (including any claim for indemnification hereunder). In the event that any fees or expenses, or any other obligations owed to the Escrow Agent (or its counsel) are not paid to the Escrow Agent within 30 calendar days following the presentment of an invoice for the payment of such fees and expenses or the demand for such payment, then the Escrow Agent may, without further action or notice, pay such fees and expenses from the Escrow Property and may sell, convey or otherwise dispose of any Escrow Property for such purpose. The Escrow Agent may in its sole discretion withhold from any distribution of the Escrow Property an amount of such distribution it reasonably believes would, upon sale or liquidation, produce proceeds equal to any unpaid amounts to which the Escrow Agent is entitled to hereunder.</w:t>
      </w:r>
    </w:p>
    <w:p>
      <w:pPr>
        <w:spacing w:after="0" w:line="206" w:lineRule="exact"/>
        <w:rPr>
          <w:rFonts w:ascii="Arial" w:cs="Arial" w:eastAsia="Arial" w:hAnsi="Arial"/>
          <w:sz w:val="17"/>
          <w:szCs w:val="17"/>
          <w:color w:val="auto"/>
        </w:rPr>
      </w:pPr>
    </w:p>
    <w:p>
      <w:pPr>
        <w:jc w:val="both"/>
        <w:ind w:left="100" w:firstLine="1290"/>
        <w:spacing w:after="0" w:line="222" w:lineRule="auto"/>
        <w:tabs>
          <w:tab w:leader="none" w:pos="2122"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Each of the Interested Parties covenants and agrees, jointly and severally, to indemnify the Escrow Agent and its employees, officers, directors, affiliates, and agents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for, hold each Indemnified Party harmless from, and defend each Indemnified Party against, any and all claims, losses, actions, liabilities, costs, damages and expenses of any nature incurred by any Indemnified Party, arising out of or in connection with this Agreement or with the administration of its duties hereunder, including but not limited to attorney’s fees, costs and expenses, except to the extent such loss, liability, damage, cost or expense shall have been finally adjudicated by a court of competent jurisdiction to have resulted solely from the Indemnified Party's own gross negligence or willful misconduct. Notwithstanding the foregoing, without altering or limiting the joint and several obligations of the Interested Parties to the Escrow Agent in this Section 5(c), the Interested Parties agree, solely as</w:t>
      </w:r>
    </w:p>
    <w:p>
      <w:pPr>
        <w:sectPr>
          <w:pgSz w:w="11900" w:h="16838" w:orient="portrait"/>
          <w:cols w:equalWidth="0" w:num="1">
            <w:col w:w="9340"/>
          </w:cols>
          <w:pgMar w:left="1440" w:top="1327" w:right="1119" w:bottom="1440" w:gutter="0" w:footer="0" w:header="0"/>
        </w:sectPr>
      </w:pPr>
    </w:p>
    <w:bookmarkStart w:id="156" w:name="page157"/>
    <w:bookmarkEnd w:id="156"/>
    <w:p>
      <w:pPr>
        <w:jc w:val="both"/>
        <w:ind w:left="100"/>
        <w:spacing w:after="0" w:line="216" w:lineRule="auto"/>
        <w:rPr>
          <w:sz w:val="20"/>
          <w:szCs w:val="20"/>
          <w:color w:val="auto"/>
        </w:rPr>
      </w:pPr>
      <w:r>
        <w:rPr>
          <w:rFonts w:ascii="Arial" w:cs="Arial" w:eastAsia="Arial" w:hAnsi="Arial"/>
          <w:sz w:val="18"/>
          <w:szCs w:val="18"/>
          <w:color w:val="auto"/>
        </w:rPr>
        <w:t>between themselves, that any obligation for indemnification under this Section 5(c) shall be borne by the Interested Party finally determined by a court of competent jurisdiction to be responsible for causing the loss, damage, liability, cost or expense against which the Escrow Agent is entitled to indemnification or, if no such determination is made, then one-half by Sterigenics and one-half by Plaintiffs’ QSF. The foregoing indemnification and agreement to hold harmless shall survive the termination of this Agreement and the resignation or removal of the Escrow Agent.</w:t>
      </w:r>
    </w:p>
    <w:p>
      <w:pPr>
        <w:spacing w:after="0" w:line="199" w:lineRule="exact"/>
        <w:rPr>
          <w:sz w:val="20"/>
          <w:szCs w:val="20"/>
          <w:color w:val="auto"/>
        </w:rPr>
      </w:pPr>
    </w:p>
    <w:p>
      <w:pPr>
        <w:jc w:val="both"/>
        <w:ind w:left="100" w:firstLine="641"/>
        <w:spacing w:after="0"/>
        <w:tabs>
          <w:tab w:leader="none" w:pos="1477"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Dispute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disagreement among any of the Interested Parties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between any of them and any other person, resulting in adverse claims or demands being made with respect to the subject matter of this Agreement, or in the event that the Escrow Agent, in good faith, is in doubt as to any action it should take hereunder, the Escrow Agent may, at its option, refuse to comply with any claims or demands and refuse to take any other action hereunder, so long as such disagreement continues or such doubt exists, and in any such event, the Escrow Agent shall not be liable in any way or to any person for its failure or refusal to act, and the Escrow Agent shall be entitled to continue to so refuse to act and refrain from acting until the Escrow Agent shall have received (i) a QSF Funding Instruction, (ii) a Return Instruction, or (iii) an Earnings Instruction, in which case the Escrow Agent shall be authorized to disburse the Escrow Property in accordance with such QSF Funding Instruction, Return Instruction, or Earnings Instruction. The Escrow Agent shall have the option, after 30 calendar days’ notice to the Interested Parties of its intention to do so, to petition Miles Ruthberg (the “</w:t>
      </w:r>
      <w:r>
        <w:rPr>
          <w:rFonts w:ascii="Arial" w:cs="Arial" w:eastAsia="Arial" w:hAnsi="Arial"/>
          <w:sz w:val="16"/>
          <w:szCs w:val="16"/>
          <w:u w:val="single" w:color="auto"/>
          <w:color w:val="auto"/>
        </w:rPr>
        <w:t>Mediator</w:t>
      </w:r>
      <w:r>
        <w:rPr>
          <w:rFonts w:ascii="Arial" w:cs="Arial" w:eastAsia="Arial" w:hAnsi="Arial"/>
          <w:sz w:val="16"/>
          <w:szCs w:val="16"/>
          <w:color w:val="auto"/>
        </w:rPr>
        <w:t>”) by any appropriate method for instructions with respect to any dispute or uncertainty related to this Agreement, including (without limitation) obligations imposed on the Interested Parties by the Settlement Agreement with respect to this Agreement. The Mediator’s resolution shall be final, binding, and enforceable on the Escrow Agent and Interested Parties. The costs and expenses (including reasonable attorneys’ fees and expenses) incurred by the Escrow Agent in connection with such petition shall be paid by, and be the joint and several obligation of, the Interested Parties; provided, however, that, without altering or limiting the joint and several obligations of the Interested Parties to the Escrow Agent in this Section 6, the Interested Parties agree, solely as between themselves, that the obligation to pay such amounts shall be an obligation of the non-prevailing party in such petition as finally determined by the Mediator or, if no such determination is made, then one-half by Sterigenics and one-half by the Plaintiffs’ QSF.</w:t>
      </w:r>
    </w:p>
    <w:p>
      <w:pPr>
        <w:spacing w:after="0" w:line="360" w:lineRule="exact"/>
        <w:rPr>
          <w:rFonts w:ascii="Arial" w:cs="Arial" w:eastAsia="Arial" w:hAnsi="Arial"/>
          <w:sz w:val="16"/>
          <w:szCs w:val="16"/>
          <w:b w:val="1"/>
          <w:bCs w:val="1"/>
          <w:color w:val="auto"/>
        </w:rPr>
      </w:pPr>
    </w:p>
    <w:p>
      <w:pPr>
        <w:jc w:val="both"/>
        <w:ind w:left="100" w:right="20" w:firstLine="642"/>
        <w:spacing w:after="0" w:line="217" w:lineRule="auto"/>
        <w:tabs>
          <w:tab w:leader="none" w:pos="1477"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Exclusive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sets forth in its entirety the obligations and duties of the Escrow Agent with respect to the Escrow Property. This Agreement is for the exclusive benefit of the parties to this Agreement and their respective permitted successors, and shall not be deemed to give, either expressly or implicitly, any legal or equitable right, remedy, or claim to any other entity or person whatsoever. No party may assign any of its rights or obligations under this Agreement without the prior written consent of the other parties.</w:t>
      </w:r>
    </w:p>
    <w:p>
      <w:pPr>
        <w:spacing w:after="0" w:line="186" w:lineRule="exact"/>
        <w:rPr>
          <w:rFonts w:ascii="Arial" w:cs="Arial" w:eastAsia="Arial" w:hAnsi="Arial"/>
          <w:sz w:val="18"/>
          <w:szCs w:val="18"/>
          <w:b w:val="1"/>
          <w:bCs w:val="1"/>
          <w:color w:val="auto"/>
        </w:rPr>
      </w:pPr>
    </w:p>
    <w:p>
      <w:pPr>
        <w:ind w:left="1380" w:hanging="639"/>
        <w:spacing w:after="0"/>
        <w:tabs>
          <w:tab w:leader="none" w:pos="13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Resignation and Removal</w:t>
      </w:r>
      <w:r>
        <w:rPr>
          <w:rFonts w:ascii="Arial" w:cs="Arial" w:eastAsia="Arial" w:hAnsi="Arial"/>
          <w:sz w:val="18"/>
          <w:szCs w:val="18"/>
          <w:b w:val="1"/>
          <w:bCs w:val="1"/>
          <w:color w:val="auto"/>
        </w:rPr>
        <w:t>.</w:t>
      </w:r>
    </w:p>
    <w:p>
      <w:pPr>
        <w:spacing w:after="0" w:line="310" w:lineRule="exact"/>
        <w:rPr>
          <w:rFonts w:ascii="Arial" w:cs="Arial" w:eastAsia="Arial" w:hAnsi="Arial"/>
          <w:sz w:val="18"/>
          <w:szCs w:val="18"/>
          <w:b w:val="1"/>
          <w:bCs w:val="1"/>
          <w:color w:val="auto"/>
        </w:rPr>
      </w:pPr>
    </w:p>
    <w:p>
      <w:pPr>
        <w:jc w:val="both"/>
        <w:ind w:left="100" w:firstLine="1289"/>
        <w:spacing w:after="0" w:line="223" w:lineRule="auto"/>
        <w:tabs>
          <w:tab w:leader="none" w:pos="212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Interested Parties may remove the Escrow Agent at any time by giving to the Escrow Agent thirty (30) calendar days’ prior written notice of removal signed by an Authorized Person of each of the Interested Parties. The Escrow Agent may resign at any time by giving to each of the Interested Parties thirty (30) calendar days’ prior written notice of resignation.</w:t>
      </w:r>
    </w:p>
    <w:p>
      <w:pPr>
        <w:spacing w:after="0" w:line="256" w:lineRule="exact"/>
        <w:rPr>
          <w:rFonts w:ascii="Arial" w:cs="Arial" w:eastAsia="Arial" w:hAnsi="Arial"/>
          <w:sz w:val="18"/>
          <w:szCs w:val="18"/>
          <w:color w:val="auto"/>
        </w:rPr>
      </w:pPr>
    </w:p>
    <w:p>
      <w:pPr>
        <w:jc w:val="both"/>
        <w:ind w:left="100" w:right="20" w:firstLine="1288"/>
        <w:spacing w:after="0" w:line="217" w:lineRule="auto"/>
        <w:tabs>
          <w:tab w:leader="none" w:pos="213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Within thirty (30) calendar days after giving the foregoing notice of removal to the Escrow Agent or within thirty (30) calendar days after receiving the foregoing notice of resignation from the Escrow Agent, the Interested Parties shall appoint a successor escrow agent and give notice of such successor escrow agent to the Escrow Agent. If a successor escrow agent has not accepted such appointment by the end of such 30-day period, the Escrow Agent may either (A) safe keep the Escrow Property until a successor escrow agent is appointed, without any obligation to invest the same or continue to perform under this Agreement, or (B) apply to a court of competent jurisdiction for the appointment of a successor escrow agent or for other appropriate relief.</w:t>
      </w:r>
    </w:p>
    <w:p>
      <w:pPr>
        <w:spacing w:after="0" w:line="201" w:lineRule="exact"/>
        <w:rPr>
          <w:rFonts w:ascii="Arial" w:cs="Arial" w:eastAsia="Arial" w:hAnsi="Arial"/>
          <w:sz w:val="18"/>
          <w:szCs w:val="18"/>
          <w:color w:val="auto"/>
        </w:rPr>
      </w:pPr>
    </w:p>
    <w:p>
      <w:pPr>
        <w:jc w:val="both"/>
        <w:ind w:left="100" w:firstLine="1289"/>
        <w:spacing w:after="0" w:line="219" w:lineRule="auto"/>
        <w:tabs>
          <w:tab w:leader="none" w:pos="212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Upon receipt of notice of the identity of the successor escrow agent, the Escrow Agent shall either deliver the Escrow Property then held hereunder to the successor escrow agent, less the Escrow Agent’s fees, costs and expenses, or hold such Escrow Property (or any portion thereof) pending distribution, until all such fees, costs and expenses are paid to it. Upon delivery of the Escrow Property to the successor escrow agent, the Escrow Agent shall have no further duties, responsibilities or obligations hereunder.</w:t>
      </w:r>
    </w:p>
    <w:p>
      <w:pPr>
        <w:spacing w:after="0" w:line="199" w:lineRule="exact"/>
        <w:rPr>
          <w:rFonts w:ascii="Arial" w:cs="Arial" w:eastAsia="Arial" w:hAnsi="Arial"/>
          <w:sz w:val="18"/>
          <w:szCs w:val="18"/>
          <w:color w:val="auto"/>
        </w:rPr>
      </w:pPr>
    </w:p>
    <w:p>
      <w:pPr>
        <w:jc w:val="both"/>
        <w:ind w:left="100" w:right="20" w:firstLine="641"/>
        <w:spacing w:after="0" w:line="245" w:lineRule="auto"/>
        <w:tabs>
          <w:tab w:leader="none" w:pos="1477"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Jurisdiction;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governed by and shall be construed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laws of the State of New York without giving effect to the conflict of laws principles thereof. The parties irrevocably and unconditionally submit to the exclusive jurisdiction of the federal and state courts located in the Borough of Manhattan, City, County and State of New York, for any proceedings commenced regarding this Agreement. The parties irrevocably submit to the jurisdiction of such courts for the determination of all issues in such proceedings and irrevocably waive any objection to venue or inconvenient forum for any proceeding brought in any such court. The parties irrevocably and unconditionally waive any right to trial by jury with respect to any proceeding relating to this Agreement.</w:t>
      </w:r>
    </w:p>
    <w:p>
      <w:pPr>
        <w:spacing w:after="0" w:line="197" w:lineRule="exact"/>
        <w:rPr>
          <w:rFonts w:ascii="Arial" w:cs="Arial" w:eastAsia="Arial" w:hAnsi="Arial"/>
          <w:sz w:val="16"/>
          <w:szCs w:val="16"/>
          <w:b w:val="1"/>
          <w:bCs w:val="1"/>
          <w:color w:val="auto"/>
        </w:rPr>
      </w:pPr>
    </w:p>
    <w:p>
      <w:pPr>
        <w:ind w:left="1380" w:hanging="639"/>
        <w:spacing w:after="0"/>
        <w:tabs>
          <w:tab w:leader="none" w:pos="13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p>
    <w:p>
      <w:pPr>
        <w:sectPr>
          <w:pgSz w:w="11900" w:h="16838" w:orient="portrait"/>
          <w:cols w:equalWidth="0" w:num="1">
            <w:col w:w="9340"/>
          </w:cols>
          <w:pgMar w:left="1440" w:top="1327" w:right="1119" w:bottom="1440" w:gutter="0" w:footer="0" w:header="0"/>
        </w:sectPr>
      </w:pPr>
    </w:p>
    <w:bookmarkStart w:id="157" w:name="page158"/>
    <w:bookmarkEnd w:id="157"/>
    <w:p>
      <w:pPr>
        <w:jc w:val="both"/>
        <w:ind w:left="100" w:firstLine="1289"/>
        <w:spacing w:after="0" w:line="222" w:lineRule="auto"/>
        <w:tabs>
          <w:tab w:leader="none" w:pos="212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of the Interested Parties represents and warrants that it has full power and authority to execute and deliver this Agreement and to perform its obligations hereunder; and this Agreement has been duly approved by all necessary action and constitutes its valid and binding agreement enforceable in accordance with its terms, except as may be limited by applicable bankruptcy, insolvency, moratorium, reorganization or other similar laws affecting the enforcement of creditors’ rights and subject to general equity principles.</w:t>
      </w:r>
    </w:p>
    <w:p>
      <w:pPr>
        <w:spacing w:after="0" w:line="190" w:lineRule="exact"/>
        <w:rPr>
          <w:rFonts w:ascii="Arial" w:cs="Arial" w:eastAsia="Arial" w:hAnsi="Arial"/>
          <w:sz w:val="18"/>
          <w:szCs w:val="18"/>
          <w:color w:val="auto"/>
        </w:rPr>
      </w:pPr>
    </w:p>
    <w:p>
      <w:pPr>
        <w:jc w:val="both"/>
        <w:ind w:left="100" w:firstLine="1288"/>
        <w:spacing w:after="0" w:line="228" w:lineRule="auto"/>
        <w:tabs>
          <w:tab w:leader="none" w:pos="213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None of the Interested Parties or any of their parents or subsidiaries, or any of their respective directors, officers, or employees, or to the knowledge of any Interested Party, the affiliates of the Interested Parties or any of their subsidiaries, will, directly or indirectly, use any part of any proceeds or lend, contribute, or otherwise make available such Escrow Property in any manner that would result in a violation by any person of economic, trade, or financial sanctions, requirements, or embargoes imposed, administered, or enforced from time to time by the United States (including, without limitation, the Office of Foreign Assets Control of the U.S. Department of the Treasury and the U.S. Department of State), the United Kingdom (including, without limitation, Her Majesty’s Treasury), the European Union and any EU member state, the United Nations Security Council, and any other relevant sanctions authority.</w:t>
      </w:r>
    </w:p>
    <w:p>
      <w:pPr>
        <w:spacing w:after="0" w:line="197" w:lineRule="exact"/>
        <w:rPr>
          <w:rFonts w:ascii="Arial" w:cs="Arial" w:eastAsia="Arial" w:hAnsi="Arial"/>
          <w:sz w:val="17"/>
          <w:szCs w:val="17"/>
          <w:color w:val="auto"/>
        </w:rPr>
      </w:pPr>
    </w:p>
    <w:p>
      <w:pPr>
        <w:ind w:left="1380" w:hanging="639"/>
        <w:spacing w:after="0"/>
        <w:tabs>
          <w:tab w:leader="none" w:pos="13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 Instructions</w:t>
      </w:r>
      <w:r>
        <w:rPr>
          <w:rFonts w:ascii="Arial" w:cs="Arial" w:eastAsia="Arial" w:hAnsi="Arial"/>
          <w:sz w:val="18"/>
          <w:szCs w:val="18"/>
          <w:b w:val="1"/>
          <w:bCs w:val="1"/>
          <w:color w:val="auto"/>
        </w:rPr>
        <w:t>.</w:t>
      </w:r>
    </w:p>
    <w:p>
      <w:pPr>
        <w:spacing w:after="0" w:line="310" w:lineRule="exact"/>
        <w:rPr>
          <w:rFonts w:ascii="Arial" w:cs="Arial" w:eastAsia="Arial" w:hAnsi="Arial"/>
          <w:sz w:val="18"/>
          <w:szCs w:val="18"/>
          <w:b w:val="1"/>
          <w:bCs w:val="1"/>
          <w:color w:val="auto"/>
        </w:rPr>
      </w:pPr>
    </w:p>
    <w:p>
      <w:pPr>
        <w:jc w:val="both"/>
        <w:ind w:left="100" w:firstLine="1289"/>
        <w:spacing w:after="0" w:line="225" w:lineRule="auto"/>
        <w:tabs>
          <w:tab w:leader="none" w:pos="2122"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Any notice or instruction hereunder shall be in writing in English, and may be sent by electronic mail with a scanned attachment thereto of an executed notice or instruction, and shall be effective upon actual receipt by the Escrow Agent in accordance with the terms hereof. Any notice or instruction must be executed (which execution may be manual or affixed by DocuSign) by an authorized person of an Interested Party (the person(s) so designated from time to time, the “</w:t>
      </w:r>
      <w:r>
        <w:rPr>
          <w:rFonts w:ascii="Arial" w:cs="Arial" w:eastAsia="Arial" w:hAnsi="Arial"/>
          <w:sz w:val="17"/>
          <w:szCs w:val="17"/>
          <w:u w:val="single" w:color="auto"/>
          <w:color w:val="auto"/>
        </w:rPr>
        <w:t>Authorized Persons</w:t>
      </w:r>
      <w:r>
        <w:rPr>
          <w:rFonts w:ascii="Arial" w:cs="Arial" w:eastAsia="Arial" w:hAnsi="Arial"/>
          <w:sz w:val="17"/>
          <w:szCs w:val="17"/>
          <w:color w:val="auto"/>
        </w:rPr>
        <w:t xml:space="preserve">”). Each of the applicable persons designated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attached hereto have been duly appointed to act as Authorized Persons hereunder and individually have full power and authority to execute any notices or instructions, to amend, modify or waive any provisions of this Agreement, and to take any and all other actions permitted under this Agreement, all without further consent or direction from, or notice to, it or any other party. Any notice or instruction must be originated from a corporate domain. Any change in designation of Authorized Persons shall be provided by written notice, signed by an Authorized Person, and actually received and acknowledged by the Escrow Agent. Any communication from the Escrow Agent that the Escrow Agent deems to contain confidential, proprietary, and/or sensitive information shall be encrypted in accordance with the Escrow Agent’s internal procedures.</w:t>
      </w:r>
    </w:p>
    <w:p>
      <w:pPr>
        <w:spacing w:after="0" w:line="203" w:lineRule="exact"/>
        <w:rPr>
          <w:rFonts w:ascii="Arial" w:cs="Arial" w:eastAsia="Arial" w:hAnsi="Arial"/>
          <w:sz w:val="17"/>
          <w:szCs w:val="17"/>
          <w:color w:val="auto"/>
        </w:rPr>
      </w:pPr>
    </w:p>
    <w:p>
      <w:pPr>
        <w:jc w:val="both"/>
        <w:ind w:left="100" w:firstLine="1289"/>
        <w:spacing w:after="0" w:line="239" w:lineRule="auto"/>
        <w:tabs>
          <w:tab w:leader="none" w:pos="2131" w:val="left"/>
        </w:tabs>
        <w:numPr>
          <w:ilvl w:val="1"/>
          <w:numId w:val="230"/>
        </w:numPr>
        <w:rPr>
          <w:rFonts w:ascii="Arial" w:cs="Arial" w:eastAsia="Arial" w:hAnsi="Arial"/>
          <w:sz w:val="16"/>
          <w:szCs w:val="16"/>
          <w:color w:val="auto"/>
        </w:rPr>
      </w:pPr>
      <w:r>
        <w:rPr>
          <w:rFonts w:ascii="Arial" w:cs="Arial" w:eastAsia="Arial" w:hAnsi="Arial"/>
          <w:sz w:val="16"/>
          <w:szCs w:val="16"/>
          <w:color w:val="auto"/>
        </w:rPr>
        <w:t>Each of the Interested Parties understands and agrees that the Escrow Agent cannot determine the identity of the actual sender of any notice or instruction and that the Escrow Agent shall be entitled to conclusively presume that notices or instructions that purport to have been sent by an Authorized Person have been sent by such Authorized Person. Each of the Interested Parties agrees: (i) to assume all risks arising out of the use of electronic means (including electronic mail, secure file transfer or such other method or system specified by the Escrow Agent as available for use in connection with its services hereunder) to submit instructions to the Escrow Agent, including without limitation the risk of the Escrow Agent acting on unauthorized instructions, and the risk of interception or misuse by third parties; (ii) that it is fully informed of the protections and risks associated with the various methods of transmitting instructions to the Escrow Agent and that there may be more secure methods of transmitting instructions than the method(s) selected by the Interested Parties, as applicable; (iii) that the security procedures (if any) to be followed in connection with its transmission of instructions provide to it a commercially reasonable degree of protection in light of its particular needs and circumstances; and (iv) to notify the Escrow Agent immediately upon learning of any compromise or unauthorized use of the security procedures. The Interested Parties agree that the security procedures set forth in Section 11(a) and this Section 11(b) are commercially reasonable.</w:t>
      </w:r>
    </w:p>
    <w:p>
      <w:pPr>
        <w:spacing w:after="0" w:line="21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If to the Plaintiffs’ QSF:</w:t>
      </w:r>
    </w:p>
    <w:p>
      <w:pPr>
        <w:spacing w:after="0" w:line="200" w:lineRule="exact"/>
        <w:rPr>
          <w:sz w:val="20"/>
          <w:szCs w:val="20"/>
          <w:color w:val="auto"/>
        </w:rPr>
      </w:pPr>
    </w:p>
    <w:p>
      <w:pPr>
        <w:spacing w:after="0" w:line="25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w:t>
      </w:r>
    </w:p>
    <w:p>
      <w:pPr>
        <w:ind w:left="1400"/>
        <w:spacing w:after="0" w:line="203" w:lineRule="auto"/>
        <w:rPr>
          <w:sz w:val="20"/>
          <w:szCs w:val="20"/>
          <w:color w:val="auto"/>
        </w:rPr>
      </w:pPr>
      <w:r>
        <w:rPr>
          <w:rFonts w:ascii="Arial" w:cs="Arial" w:eastAsia="Arial" w:hAnsi="Arial"/>
          <w:sz w:val="18"/>
          <w:szCs w:val="18"/>
          <w:color w:val="auto"/>
        </w:rPr>
        <w:t>Telephone: [●] E-mail:</w:t>
      </w:r>
    </w:p>
    <w:p>
      <w:pPr>
        <w:ind w:left="1400"/>
        <w:spacing w:after="0"/>
        <w:rPr>
          <w:sz w:val="20"/>
          <w:szCs w:val="20"/>
          <w:color w:val="auto"/>
        </w:rPr>
      </w:pPr>
      <w:r>
        <w:rPr>
          <w:rFonts w:ascii="Arial" w:cs="Arial" w:eastAsia="Arial" w:hAnsi="Arial"/>
          <w:sz w:val="18"/>
          <w:szCs w:val="18"/>
          <w:color w:val="auto"/>
        </w:rPr>
        <w:t>[●]</w:t>
      </w:r>
    </w:p>
    <w:p>
      <w:pPr>
        <w:spacing w:after="0" w:line="2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If to Sterigenics:</w:t>
      </w:r>
    </w:p>
    <w:p>
      <w:pPr>
        <w:spacing w:after="0" w:line="200" w:lineRule="exact"/>
        <w:rPr>
          <w:sz w:val="20"/>
          <w:szCs w:val="20"/>
          <w:color w:val="auto"/>
        </w:rPr>
      </w:pPr>
    </w:p>
    <w:p>
      <w:pPr>
        <w:spacing w:after="0" w:line="25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w:t>
      </w:r>
    </w:p>
    <w:p>
      <w:pPr>
        <w:ind w:left="1400"/>
        <w:spacing w:after="0" w:line="203" w:lineRule="auto"/>
        <w:rPr>
          <w:sz w:val="20"/>
          <w:szCs w:val="20"/>
          <w:color w:val="auto"/>
        </w:rPr>
      </w:pPr>
      <w:r>
        <w:rPr>
          <w:rFonts w:ascii="Arial" w:cs="Arial" w:eastAsia="Arial" w:hAnsi="Arial"/>
          <w:sz w:val="18"/>
          <w:szCs w:val="18"/>
          <w:color w:val="auto"/>
        </w:rPr>
        <w:t>Telephone: [●] E-mail:</w:t>
      </w:r>
    </w:p>
    <w:p>
      <w:pPr>
        <w:ind w:left="1400"/>
        <w:spacing w:after="0"/>
        <w:rPr>
          <w:sz w:val="20"/>
          <w:szCs w:val="20"/>
          <w:color w:val="auto"/>
        </w:rPr>
      </w:pPr>
      <w:r>
        <w:rPr>
          <w:rFonts w:ascii="Arial" w:cs="Arial" w:eastAsia="Arial" w:hAnsi="Arial"/>
          <w:sz w:val="18"/>
          <w:szCs w:val="18"/>
          <w:color w:val="auto"/>
        </w:rPr>
        <w:t>[●]</w:t>
      </w:r>
    </w:p>
    <w:p>
      <w:pPr>
        <w:spacing w:after="0" w:line="1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If to the Escrow Agent: Citibank,</w:t>
      </w:r>
    </w:p>
    <w:p>
      <w:pPr>
        <w:spacing w:after="0" w:line="21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w:t>
      </w:r>
    </w:p>
    <w:p>
      <w:pPr>
        <w:spacing w:after="0" w:line="9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Agency &amp; Trust</w:t>
      </w:r>
    </w:p>
    <w:p>
      <w:pPr>
        <w:sectPr>
          <w:pgSz w:w="11900" w:h="16838" w:orient="portrait"/>
          <w:cols w:equalWidth="0" w:num="1">
            <w:col w:w="9340"/>
          </w:cols>
          <w:pgMar w:left="1440" w:top="1408" w:right="1119" w:bottom="1440" w:gutter="0" w:footer="0" w:header="0"/>
        </w:sectPr>
      </w:pPr>
    </w:p>
    <w:bookmarkStart w:id="158" w:name="page159"/>
    <w:bookmarkEnd w:id="158"/>
    <w:p>
      <w:pPr>
        <w:ind w:left="1400"/>
        <w:spacing w:after="0"/>
        <w:rPr>
          <w:sz w:val="20"/>
          <w:szCs w:val="20"/>
          <w:color w:val="auto"/>
        </w:rPr>
      </w:pPr>
      <w:r>
        <w:rPr>
          <w:rFonts w:ascii="Arial" w:cs="Arial" w:eastAsia="Arial" w:hAnsi="Arial"/>
          <w:sz w:val="18"/>
          <w:szCs w:val="18"/>
          <w:color w:val="auto"/>
        </w:rPr>
        <w:t>388 Greenwich Street</w:t>
      </w:r>
    </w:p>
    <w:p>
      <w:pPr>
        <w:ind w:left="840"/>
        <w:spacing w:after="0" w:line="203" w:lineRule="auto"/>
        <w:rPr>
          <w:sz w:val="20"/>
          <w:szCs w:val="20"/>
          <w:color w:val="auto"/>
        </w:rPr>
      </w:pPr>
      <w:r>
        <w:rPr>
          <w:rFonts w:ascii="Arial" w:cs="Arial" w:eastAsia="Arial" w:hAnsi="Arial"/>
          <w:sz w:val="18"/>
          <w:szCs w:val="18"/>
          <w:color w:val="auto"/>
        </w:rPr>
        <w:t>New York, NY 10013</w:t>
      </w:r>
    </w:p>
    <w:p>
      <w:pPr>
        <w:ind w:left="840"/>
        <w:spacing w:after="0" w:line="219" w:lineRule="auto"/>
        <w:rPr>
          <w:sz w:val="20"/>
          <w:szCs w:val="20"/>
          <w:color w:val="auto"/>
        </w:rPr>
      </w:pPr>
      <w:r>
        <w:rPr>
          <w:rFonts w:ascii="Arial" w:cs="Arial" w:eastAsia="Arial" w:hAnsi="Arial"/>
          <w:sz w:val="18"/>
          <w:szCs w:val="18"/>
          <w:color w:val="auto"/>
        </w:rPr>
        <w:t>Attn.: [●]</w:t>
      </w:r>
    </w:p>
    <w:p>
      <w:pPr>
        <w:ind w:left="1400"/>
        <w:spacing w:after="0" w:line="235" w:lineRule="auto"/>
        <w:rPr>
          <w:sz w:val="20"/>
          <w:szCs w:val="20"/>
          <w:color w:val="auto"/>
        </w:rPr>
      </w:pPr>
      <w:r>
        <w:rPr>
          <w:rFonts w:ascii="Arial" w:cs="Arial" w:eastAsia="Arial" w:hAnsi="Arial"/>
          <w:sz w:val="18"/>
          <w:szCs w:val="18"/>
          <w:color w:val="auto"/>
        </w:rPr>
        <w:t>Telephone: [●]</w:t>
      </w:r>
    </w:p>
    <w:p>
      <w:pPr>
        <w:ind w:left="14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BCF1"/>
        </w:rPr>
        <w:t>cts.spag@citi.com</w:t>
      </w:r>
      <w:r>
        <w:rPr>
          <w:rFonts w:ascii="Arial" w:cs="Arial" w:eastAsia="Arial" w:hAnsi="Arial"/>
          <w:sz w:val="18"/>
          <w:szCs w:val="18"/>
          <w:color w:val="auto"/>
        </w:rPr>
        <w:t xml:space="preserve"> / [●]</w:t>
      </w:r>
    </w:p>
    <w:p>
      <w:pPr>
        <w:spacing w:after="0" w:line="196" w:lineRule="exact"/>
        <w:rPr>
          <w:sz w:val="20"/>
          <w:szCs w:val="20"/>
          <w:color w:val="auto"/>
        </w:rPr>
      </w:pPr>
    </w:p>
    <w:p>
      <w:pPr>
        <w:jc w:val="both"/>
        <w:ind w:left="100" w:right="100" w:firstLine="1289"/>
        <w:spacing w:after="0" w:line="224" w:lineRule="auto"/>
        <w:tabs>
          <w:tab w:leader="none" w:pos="212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Any funds to be paid by the Escrow Agent hereunder shall be sent by wire transfer pursuant to the instructions set forth on </w:t>
      </w:r>
      <w:r>
        <w:rPr>
          <w:rFonts w:ascii="Arial" w:cs="Arial" w:eastAsia="Arial" w:hAnsi="Arial"/>
          <w:sz w:val="18"/>
          <w:szCs w:val="18"/>
          <w:u w:val="single" w:color="auto"/>
          <w:color w:val="auto"/>
        </w:rPr>
        <w:t>Schedule D</w:t>
      </w:r>
      <w:r>
        <w:rPr>
          <w:rFonts w:ascii="Arial" w:cs="Arial" w:eastAsia="Arial" w:hAnsi="Arial"/>
          <w:sz w:val="18"/>
          <w:szCs w:val="18"/>
          <w:color w:val="auto"/>
        </w:rPr>
        <w:t>, or pursuant to such other wire payment instructions as may be instructed by the Interested Parties.</w:t>
      </w:r>
    </w:p>
    <w:p>
      <w:pPr>
        <w:spacing w:after="0" w:line="203" w:lineRule="exact"/>
        <w:rPr>
          <w:rFonts w:ascii="Arial" w:cs="Arial" w:eastAsia="Arial" w:hAnsi="Arial"/>
          <w:sz w:val="18"/>
          <w:szCs w:val="18"/>
          <w:color w:val="auto"/>
        </w:rPr>
      </w:pPr>
    </w:p>
    <w:p>
      <w:pPr>
        <w:ind w:left="100" w:right="20" w:firstLine="1288"/>
        <w:spacing w:after="0" w:line="235" w:lineRule="auto"/>
        <w:tabs>
          <w:tab w:leader="none" w:pos="213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Payments to the Escrow Agent shall be sent by wire transfer pursuant to the following instructions: </w:t>
      </w:r>
      <w:r>
        <w:rPr>
          <w:rFonts w:ascii="Arial" w:cs="Arial" w:eastAsia="Arial" w:hAnsi="Arial"/>
          <w:sz w:val="18"/>
          <w:szCs w:val="18"/>
          <w:b w:val="1"/>
          <w:bCs w:val="1"/>
          <w:color w:val="auto"/>
        </w:rPr>
        <w:t>CITIBANK, N.A</w:t>
      </w:r>
      <w:r>
        <w:rPr>
          <w:rFonts w:ascii="Arial" w:cs="Arial" w:eastAsia="Arial" w:hAnsi="Arial"/>
          <w:sz w:val="18"/>
          <w:szCs w:val="18"/>
          <w:color w:val="auto"/>
        </w:rPr>
        <w:t>., ABA:******; Account Name: [●]; A/C#.: [●]</w:t>
      </w:r>
    </w:p>
    <w:p>
      <w:pPr>
        <w:spacing w:after="0" w:line="184" w:lineRule="exact"/>
        <w:rPr>
          <w:rFonts w:ascii="Arial" w:cs="Arial" w:eastAsia="Arial" w:hAnsi="Arial"/>
          <w:sz w:val="18"/>
          <w:szCs w:val="18"/>
          <w:color w:val="auto"/>
        </w:rPr>
      </w:pPr>
    </w:p>
    <w:p>
      <w:pPr>
        <w:jc w:val="both"/>
        <w:ind w:left="100" w:right="20" w:firstLine="642"/>
        <w:spacing w:after="0" w:line="231" w:lineRule="auto"/>
        <w:tabs>
          <w:tab w:leader="none" w:pos="1486"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of this Agreement shall be binding only if evidenced by a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each of the parties to this Agreement. No waiver of any provision hereof shall be effective unless expressed in writing and signed by the party to be charged.</w:t>
      </w:r>
    </w:p>
    <w:p>
      <w:pPr>
        <w:spacing w:after="0" w:line="185" w:lineRule="exact"/>
        <w:rPr>
          <w:rFonts w:ascii="Arial" w:cs="Arial" w:eastAsia="Arial" w:hAnsi="Arial"/>
          <w:sz w:val="18"/>
          <w:szCs w:val="18"/>
          <w:b w:val="1"/>
          <w:bCs w:val="1"/>
          <w:color w:val="auto"/>
        </w:rPr>
      </w:pPr>
    </w:p>
    <w:p>
      <w:pPr>
        <w:jc w:val="both"/>
        <w:ind w:left="100" w:right="20" w:firstLine="642"/>
        <w:spacing w:after="0" w:line="270" w:lineRule="auto"/>
        <w:tabs>
          <w:tab w:leader="none" w:pos="1486"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invalidity, illegality or unenforceability of any provision of this Agreement shall in no</w:t>
      </w:r>
      <w:r>
        <w:rPr>
          <w:rFonts w:ascii="Arial" w:cs="Arial" w:eastAsia="Arial" w:hAnsi="Arial"/>
          <w:sz w:val="16"/>
          <w:szCs w:val="16"/>
          <w:b w:val="1"/>
          <w:bCs w:val="1"/>
          <w:color w:val="auto"/>
        </w:rPr>
        <w:t xml:space="preserve"> </w:t>
      </w:r>
      <w:r>
        <w:rPr>
          <w:rFonts w:ascii="Arial" w:cs="Arial" w:eastAsia="Arial" w:hAnsi="Arial"/>
          <w:sz w:val="16"/>
          <w:szCs w:val="16"/>
          <w:color w:val="auto"/>
        </w:rPr>
        <w:t>way affect the validity, legality or enforceability of any other provision. If any provision of this Agreement is held to be unenforceable as a matter of law, the other provisions shall not be affected thereby and shall remain in full force and effect.</w:t>
      </w:r>
    </w:p>
    <w:p>
      <w:pPr>
        <w:spacing w:after="0" w:line="162" w:lineRule="exact"/>
        <w:rPr>
          <w:rFonts w:ascii="Arial" w:cs="Arial" w:eastAsia="Arial" w:hAnsi="Arial"/>
          <w:sz w:val="16"/>
          <w:szCs w:val="16"/>
          <w:b w:val="1"/>
          <w:bCs w:val="1"/>
          <w:color w:val="auto"/>
        </w:rPr>
      </w:pPr>
    </w:p>
    <w:p>
      <w:pPr>
        <w:jc w:val="both"/>
        <w:ind w:left="100" w:firstLine="642"/>
        <w:spacing w:after="0" w:line="233" w:lineRule="auto"/>
        <w:tabs>
          <w:tab w:leader="none" w:pos="1486"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Mergers and Conversions</w:t>
      </w:r>
      <w:r>
        <w:rPr>
          <w:rFonts w:ascii="Arial" w:cs="Arial" w:eastAsia="Arial" w:hAnsi="Arial"/>
          <w:sz w:val="17"/>
          <w:szCs w:val="17"/>
          <w:color w:val="auto"/>
        </w:rPr>
        <w:t>. Any corporation or entity into which the Escrow Agent may be merged or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converted or with which it may be consolidated, or any corporation or entity resulting from any merger, conversion or consolidation to which the Escrow Agent will be a party, or any corporation or entity succeeding to the business of the Escrow Agent will be the successor of the Escrow Agent hereunder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97" w:lineRule="exact"/>
        <w:rPr>
          <w:rFonts w:ascii="Arial" w:cs="Arial" w:eastAsia="Arial" w:hAnsi="Arial"/>
          <w:sz w:val="17"/>
          <w:szCs w:val="17"/>
          <w:b w:val="1"/>
          <w:bCs w:val="1"/>
          <w:color w:val="auto"/>
        </w:rPr>
      </w:pPr>
    </w:p>
    <w:p>
      <w:pPr>
        <w:jc w:val="both"/>
        <w:ind w:left="100" w:right="20" w:firstLine="642"/>
        <w:spacing w:after="0" w:line="247" w:lineRule="auto"/>
        <w:tabs>
          <w:tab w:leader="none" w:pos="1486"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terminate and the Escrow Account shall be closed upon the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all Escrow Property from the Escrow Account established hereunder in accordance with the terms of this Agreement, subject, however, to the survival of obligations specifically contemplated in this Agreement to so survive.</w:t>
      </w:r>
    </w:p>
    <w:p>
      <w:pPr>
        <w:spacing w:after="0" w:line="179" w:lineRule="exact"/>
        <w:rPr>
          <w:rFonts w:ascii="Arial" w:cs="Arial" w:eastAsia="Arial" w:hAnsi="Arial"/>
          <w:sz w:val="17"/>
          <w:szCs w:val="17"/>
          <w:b w:val="1"/>
          <w:bCs w:val="1"/>
          <w:color w:val="auto"/>
        </w:rPr>
      </w:pPr>
    </w:p>
    <w:p>
      <w:pPr>
        <w:jc w:val="both"/>
        <w:ind w:left="100" w:firstLine="642"/>
        <w:spacing w:after="0" w:line="220" w:lineRule="auto"/>
        <w:tabs>
          <w:tab w:leader="none" w:pos="1486"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simultaneously in two or more counterparts, any one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need not contain the signatures of more than one party, but all such counterparts taken together shall constitute one and the same agreement. Signatures on counterparts of this Agreement executed and delivered in electronic format (i.e. “pdf”) or by other electronic means (including DocuSign) shall be deemed original signatures with all rights accruing thereto except in respect to any non-US entity, whereby originals may be required.</w:t>
      </w:r>
    </w:p>
    <w:p>
      <w:pPr>
        <w:spacing w:after="0" w:line="19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[Remainder of Page Left Intentionally Blank]</w:t>
      </w:r>
    </w:p>
    <w:p>
      <w:pPr>
        <w:sectPr>
          <w:pgSz w:w="11900" w:h="16838" w:orient="portrait"/>
          <w:cols w:equalWidth="0" w:num="1">
            <w:col w:w="9340"/>
          </w:cols>
          <w:pgMar w:left="1440" w:top="1325" w:right="1119" w:bottom="1440" w:gutter="0" w:footer="0" w:header="0"/>
        </w:sectPr>
      </w:pPr>
    </w:p>
    <w:bookmarkStart w:id="159" w:name="page160"/>
    <w:bookmarkEnd w:id="159"/>
    <w:p>
      <w:pPr>
        <w:ind w:left="100" w:right="19" w:firstLine="648"/>
        <w:spacing w:after="0" w:line="232" w:lineRule="auto"/>
        <w:rPr>
          <w:sz w:val="20"/>
          <w:szCs w:val="20"/>
          <w:color w:val="auto"/>
        </w:rPr>
      </w:pPr>
      <w:r>
        <w:rPr>
          <w:rFonts w:ascii="Arial" w:cs="Arial" w:eastAsia="Arial" w:hAnsi="Arial"/>
          <w:sz w:val="20"/>
          <w:szCs w:val="20"/>
          <w:b w:val="1"/>
          <w:bCs w:val="1"/>
          <w:color w:val="auto"/>
        </w:rPr>
        <w:t>IN WITNESS WHEREOF, each of the parties has caused this Agreement to be executed by a duly authorized representative as of the day and year first written above.</w:t>
      </w:r>
    </w:p>
    <w:p>
      <w:pPr>
        <w:spacing w:after="0" w:line="200" w:lineRule="exact"/>
        <w:rPr>
          <w:sz w:val="20"/>
          <w:szCs w:val="20"/>
          <w:color w:val="auto"/>
        </w:rPr>
      </w:pPr>
    </w:p>
    <w:p>
      <w:pPr>
        <w:spacing w:after="0" w:line="28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CITIBANK,</w:t>
      </w:r>
    </w:p>
    <w:p>
      <w:pPr>
        <w:ind w:left="5100"/>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as Escrow Agent</w:t>
      </w:r>
    </w:p>
    <w:p>
      <w:pPr>
        <w:spacing w:after="0" w:line="200" w:lineRule="exact"/>
        <w:rPr>
          <w:sz w:val="20"/>
          <w:szCs w:val="20"/>
          <w:color w:val="auto"/>
        </w:rPr>
      </w:pP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w:t>
      </w:r>
    </w:p>
    <w:p>
      <w:pPr>
        <w:spacing w:after="0" w:line="27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[PLAINTIFFS’</w:t>
      </w:r>
    </w:p>
    <w:p>
      <w:pPr>
        <w:ind w:left="5100"/>
        <w:spacing w:after="0"/>
        <w:rPr>
          <w:sz w:val="20"/>
          <w:szCs w:val="20"/>
          <w:color w:val="auto"/>
        </w:rPr>
      </w:pPr>
      <w:r>
        <w:rPr>
          <w:rFonts w:ascii="Arial" w:cs="Arial" w:eastAsia="Arial" w:hAnsi="Arial"/>
          <w:sz w:val="18"/>
          <w:szCs w:val="18"/>
          <w:b w:val="1"/>
          <w:bCs w:val="1"/>
          <w:color w:val="auto"/>
        </w:rPr>
        <w:t>QSF]</w:t>
      </w:r>
    </w:p>
    <w:p>
      <w:pPr>
        <w:spacing w:after="0" w:line="29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[STERIGENICS]</w:t>
      </w:r>
    </w:p>
    <w:p>
      <w:pPr>
        <w:spacing w:after="0" w:line="200" w:lineRule="exact"/>
        <w:rPr>
          <w:sz w:val="20"/>
          <w:szCs w:val="20"/>
          <w:color w:val="auto"/>
        </w:rPr>
      </w:pPr>
    </w:p>
    <w:p>
      <w:pPr>
        <w:spacing w:after="0" w:line="36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399" w:right="1440" w:bottom="1440" w:gutter="0" w:footer="0" w:header="0"/>
        </w:sectPr>
      </w:pPr>
    </w:p>
    <w:bookmarkStart w:id="160" w:name="page161"/>
    <w:bookmarkEnd w:id="160"/>
    <w:p>
      <w:pPr>
        <w:jc w:val="center"/>
        <w:ind w:right="-1060"/>
        <w:spacing w:after="0"/>
        <w:rPr>
          <w:sz w:val="20"/>
          <w:szCs w:val="20"/>
          <w:color w:val="auto"/>
        </w:rPr>
      </w:pPr>
      <w:r>
        <w:rPr>
          <w:rFonts w:ascii="Arial" w:cs="Arial" w:eastAsia="Arial" w:hAnsi="Arial"/>
          <w:sz w:val="20"/>
          <w:szCs w:val="20"/>
          <w:b w:val="1"/>
          <w:bCs w:val="1"/>
          <w:color w:val="auto"/>
        </w:rPr>
        <w:t>SCHEDULE A</w:t>
      </w:r>
    </w:p>
    <w:p>
      <w:pPr>
        <w:spacing w:after="0" w:line="216" w:lineRule="exact"/>
        <w:rPr>
          <w:sz w:val="20"/>
          <w:szCs w:val="20"/>
          <w:color w:val="auto"/>
        </w:rPr>
      </w:pPr>
    </w:p>
    <w:p>
      <w:pPr>
        <w:jc w:val="right"/>
        <w:ind w:right="2919"/>
        <w:spacing w:after="0"/>
        <w:rPr>
          <w:sz w:val="20"/>
          <w:szCs w:val="20"/>
          <w:color w:val="auto"/>
        </w:rPr>
      </w:pPr>
      <w:r>
        <w:rPr>
          <w:rFonts w:ascii="Arial" w:cs="Arial" w:eastAsia="Arial" w:hAnsi="Arial"/>
          <w:sz w:val="20"/>
          <w:szCs w:val="20"/>
          <w:b w:val="1"/>
          <w:bCs w:val="1"/>
          <w:color w:val="auto"/>
        </w:rPr>
        <w:t>ESCROW AGENT FEE SCHEDULE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0099"/>
          </w:cols>
          <w:pgMar w:left="360" w:top="1399" w:right="1440" w:bottom="1440" w:gutter="0" w:footer="0" w:header="0"/>
        </w:sectPr>
      </w:pPr>
    </w:p>
    <w:bookmarkStart w:id="161" w:name="page162"/>
    <w:bookmarkEnd w:id="161"/>
    <w:p>
      <w:pPr>
        <w:spacing w:after="0" w:line="9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SCHEDULE B AUTHORIZED</w:t>
      </w:r>
    </w:p>
    <w:p>
      <w:pPr>
        <w:spacing w:after="0" w:line="229"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LIST OF SIGNERS</w:t>
      </w:r>
    </w:p>
    <w:p>
      <w:pPr>
        <w:spacing w:after="0" w:line="100" w:lineRule="exact"/>
        <w:rPr>
          <w:sz w:val="20"/>
          <w:szCs w:val="20"/>
          <w:color w:val="auto"/>
        </w:rPr>
      </w:pPr>
    </w:p>
    <w:p>
      <w:pPr>
        <w:ind w:left="100" w:firstLine="648"/>
        <w:spacing w:after="0" w:line="236" w:lineRule="auto"/>
        <w:rPr>
          <w:sz w:val="20"/>
          <w:szCs w:val="20"/>
          <w:color w:val="auto"/>
        </w:rPr>
      </w:pPr>
      <w:r>
        <w:rPr>
          <w:rFonts w:ascii="Arial" w:cs="Arial" w:eastAsia="Arial" w:hAnsi="Arial"/>
          <w:sz w:val="18"/>
          <w:szCs w:val="18"/>
          <w:color w:val="auto"/>
        </w:rPr>
        <w:t>Each of the following person(s) is authorized to execute documents and to direct the Escrow Agent as to all matters on the Plaintiffs’ QSF’s behalf. The Escrow Agent may confirm the instructions received by return call to</w:t>
      </w:r>
    </w:p>
    <w:p>
      <w:pPr>
        <w:ind w:left="100"/>
        <w:spacing w:after="0"/>
        <w:rPr>
          <w:sz w:val="20"/>
          <w:szCs w:val="20"/>
          <w:color w:val="auto"/>
        </w:rPr>
      </w:pPr>
      <w:r>
        <w:rPr>
          <w:rFonts w:ascii="Arial" w:cs="Arial" w:eastAsia="Arial" w:hAnsi="Arial"/>
          <w:sz w:val="20"/>
          <w:szCs w:val="20"/>
          <w:color w:val="auto"/>
        </w:rPr>
        <w:t>any one of the telephone numbers listed below.</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PLAINTIFFS’ QSF</w:t>
      </w:r>
    </w:p>
    <w:p>
      <w:pPr>
        <w:spacing w:after="0" w:line="222" w:lineRule="exact"/>
        <w:rPr>
          <w:sz w:val="20"/>
          <w:szCs w:val="20"/>
          <w:color w:val="auto"/>
        </w:rPr>
      </w:pPr>
    </w:p>
    <w:p>
      <w:pPr>
        <w:ind w:left="100"/>
        <w:spacing w:after="0"/>
        <w:tabs>
          <w:tab w:leader="none" w:pos="1280" w:val="left"/>
          <w:tab w:leader="none" w:pos="2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-14605</wp:posOffset>
            </wp:positionV>
            <wp:extent cx="2940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94005" cy="825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-14605</wp:posOffset>
            </wp:positionV>
            <wp:extent cx="302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-143510</wp:posOffset>
            </wp:positionV>
            <wp:extent cx="125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-14605</wp:posOffset>
            </wp:positionV>
            <wp:extent cx="1257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84" w:lineRule="exact"/>
        <w:rPr>
          <w:sz w:val="20"/>
          <w:szCs w:val="20"/>
          <w:color w:val="auto"/>
        </w:rPr>
      </w:pPr>
    </w:p>
    <w:p>
      <w:pPr>
        <w:ind w:left="100"/>
        <w:spacing w:after="0"/>
        <w:tabs>
          <w:tab w:leader="none" w:pos="2660" w:val="left"/>
        </w:tabs>
        <w:rPr>
          <w:sz w:val="20"/>
          <w:szCs w:val="20"/>
          <w:color w:val="auto"/>
        </w:rPr>
      </w:pPr>
      <w:r>
        <w:rPr>
          <w:rFonts w:ascii="Arial" w:cs="Arial" w:eastAsia="Arial" w:hAnsi="Arial"/>
          <w:sz w:val="20"/>
          <w:szCs w:val="20"/>
          <w:b w:val="1"/>
          <w:bCs w:val="1"/>
          <w:color w:val="auto"/>
        </w:rPr>
        <w:t>Manual Specimen Signature</w:t>
      </w:r>
      <w:r>
        <w:rPr>
          <w:sz w:val="20"/>
          <w:szCs w:val="20"/>
          <w:color w:val="auto"/>
        </w:rPr>
        <w:tab/>
      </w:r>
      <w:r>
        <w:rPr>
          <w:rFonts w:ascii="Arial" w:cs="Arial" w:eastAsia="Arial" w:hAnsi="Arial"/>
          <w:sz w:val="16"/>
          <w:szCs w:val="16"/>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tabs>
          <w:tab w:leader="none" w:pos="1280" w:val="left"/>
          <w:tab w:leader="none" w:pos="2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-14605</wp:posOffset>
            </wp:positionV>
            <wp:extent cx="2940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94005" cy="825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-14605</wp:posOffset>
            </wp:positionV>
            <wp:extent cx="302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104775</wp:posOffset>
            </wp:positionV>
            <wp:extent cx="1257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-14605</wp:posOffset>
            </wp:positionV>
            <wp:extent cx="1257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84" w:lineRule="exact"/>
        <w:rPr>
          <w:sz w:val="20"/>
          <w:szCs w:val="20"/>
          <w:color w:val="auto"/>
        </w:rPr>
      </w:pPr>
    </w:p>
    <w:p>
      <w:pPr>
        <w:ind w:left="100"/>
        <w:spacing w:after="0"/>
        <w:tabs>
          <w:tab w:leader="none" w:pos="2660" w:val="left"/>
        </w:tabs>
        <w:rPr>
          <w:sz w:val="20"/>
          <w:szCs w:val="20"/>
          <w:color w:val="auto"/>
        </w:rPr>
      </w:pPr>
      <w:r>
        <w:rPr>
          <w:rFonts w:ascii="Arial" w:cs="Arial" w:eastAsia="Arial" w:hAnsi="Arial"/>
          <w:sz w:val="20"/>
          <w:szCs w:val="20"/>
          <w:b w:val="1"/>
          <w:bCs w:val="1"/>
          <w:color w:val="auto"/>
        </w:rPr>
        <w:t>Manual Specimen Signature</w:t>
      </w:r>
      <w:r>
        <w:rPr>
          <w:sz w:val="20"/>
          <w:szCs w:val="20"/>
          <w:color w:val="auto"/>
        </w:rPr>
        <w:tab/>
      </w:r>
      <w:r>
        <w:rPr>
          <w:rFonts w:ascii="Arial" w:cs="Arial" w:eastAsia="Arial" w:hAnsi="Arial"/>
          <w:sz w:val="16"/>
          <w:szCs w:val="16"/>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View-Only Reporting Access via Citidirect for Securities</w:t>
      </w:r>
      <w:r>
        <w:rPr>
          <w:rFonts w:ascii="Arial" w:cs="Arial" w:eastAsia="Arial" w:hAnsi="Arial"/>
          <w:sz w:val="20"/>
          <w:szCs w:val="20"/>
          <w:color w:val="auto"/>
        </w:rPr>
        <w:t>:</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_____ Check here for same as above.</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Please indicate those persons other than above requiring view access for statement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5203190" cy="11398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203190" cy="1139825"/>
                    </a:xfrm>
                    <a:prstGeom prst="rect">
                      <a:avLst/>
                    </a:prstGeom>
                    <a:noFill/>
                  </pic:spPr>
                </pic:pic>
              </a:graphicData>
            </a:graphic>
          </wp:anchor>
        </w:drawing>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483"/>
        </w:trPr>
        <w:tc>
          <w:tcPr>
            <w:tcW w:w="2500" w:type="dxa"/>
            <w:vAlign w:val="bottom"/>
            <w:shd w:val="clear" w:color="auto" w:fill="C0C0C0"/>
          </w:tcPr>
          <w:p>
            <w:pPr>
              <w:ind w:left="1020"/>
              <w:spacing w:after="0"/>
              <w:rPr>
                <w:sz w:val="20"/>
                <w:szCs w:val="20"/>
                <w:color w:val="auto"/>
              </w:rPr>
            </w:pPr>
            <w:r>
              <w:rPr>
                <w:rFonts w:ascii="Arial" w:cs="Arial" w:eastAsia="Arial" w:hAnsi="Arial"/>
                <w:sz w:val="20"/>
                <w:szCs w:val="20"/>
                <w:b w:val="1"/>
                <w:bCs w:val="1"/>
                <w:color w:val="auto"/>
              </w:rPr>
              <w:t>First Name</w:t>
            </w:r>
          </w:p>
        </w:tc>
        <w:tc>
          <w:tcPr>
            <w:tcW w:w="1780" w:type="dxa"/>
            <w:vAlign w:val="bottom"/>
            <w:shd w:val="clear" w:color="auto" w:fill="C0C0C0"/>
          </w:tcPr>
          <w:p>
            <w:pPr>
              <w:ind w:left="540"/>
              <w:spacing w:after="0"/>
              <w:rPr>
                <w:sz w:val="20"/>
                <w:szCs w:val="20"/>
                <w:color w:val="auto"/>
              </w:rPr>
            </w:pPr>
            <w:r>
              <w:rPr>
                <w:rFonts w:ascii="Arial" w:cs="Arial" w:eastAsia="Arial" w:hAnsi="Arial"/>
                <w:sz w:val="20"/>
                <w:szCs w:val="20"/>
                <w:b w:val="1"/>
                <w:bCs w:val="1"/>
                <w:color w:val="auto"/>
              </w:rPr>
              <w:t>Last Name</w:t>
            </w:r>
          </w:p>
        </w:tc>
        <w:tc>
          <w:tcPr>
            <w:tcW w:w="1580" w:type="dxa"/>
            <w:vAlign w:val="bottom"/>
            <w:shd w:val="clear" w:color="auto" w:fill="C0C0C0"/>
          </w:tcPr>
          <w:p>
            <w:pPr>
              <w:ind w:left="320"/>
              <w:spacing w:after="0"/>
              <w:rPr>
                <w:sz w:val="20"/>
                <w:szCs w:val="20"/>
                <w:color w:val="auto"/>
              </w:rPr>
            </w:pPr>
            <w:r>
              <w:rPr>
                <w:rFonts w:ascii="Arial" w:cs="Arial" w:eastAsia="Arial" w:hAnsi="Arial"/>
                <w:sz w:val="20"/>
                <w:szCs w:val="20"/>
                <w:b w:val="1"/>
                <w:bCs w:val="1"/>
                <w:color w:val="auto"/>
              </w:rPr>
              <w:t>Telephone</w:t>
            </w:r>
          </w:p>
        </w:tc>
        <w:tc>
          <w:tcPr>
            <w:tcW w:w="2320" w:type="dxa"/>
            <w:vAlign w:val="bottom"/>
            <w:shd w:val="clear" w:color="auto" w:fill="C0C0C0"/>
          </w:tcPr>
          <w:p>
            <w:pPr>
              <w:ind w:left="400"/>
              <w:spacing w:after="0"/>
              <w:rPr>
                <w:sz w:val="20"/>
                <w:szCs w:val="20"/>
                <w:color w:val="auto"/>
              </w:rPr>
            </w:pPr>
            <w:r>
              <w:rPr>
                <w:rFonts w:ascii="Arial" w:cs="Arial" w:eastAsia="Arial" w:hAnsi="Arial"/>
                <w:sz w:val="20"/>
                <w:szCs w:val="20"/>
                <w:b w:val="1"/>
                <w:bCs w:val="1"/>
                <w:color w:val="auto"/>
              </w:rPr>
              <w:t>Corporate Email</w:t>
            </w:r>
          </w:p>
        </w:tc>
      </w:tr>
      <w:tr>
        <w:trPr>
          <w:trHeight w:val="23"/>
        </w:trPr>
        <w:tc>
          <w:tcPr>
            <w:tcW w:w="2500" w:type="dxa"/>
            <w:vAlign w:val="bottom"/>
            <w:shd w:val="clear" w:color="auto" w:fill="C0C0C0"/>
          </w:tcPr>
          <w:p>
            <w:pPr>
              <w:spacing w:after="0"/>
              <w:rPr>
                <w:sz w:val="2"/>
                <w:szCs w:val="2"/>
                <w:color w:val="auto"/>
              </w:rPr>
            </w:pPr>
          </w:p>
        </w:tc>
        <w:tc>
          <w:tcPr>
            <w:tcW w:w="1780" w:type="dxa"/>
            <w:vAlign w:val="bottom"/>
            <w:shd w:val="clear" w:color="auto" w:fill="C0C0C0"/>
          </w:tcPr>
          <w:p>
            <w:pPr>
              <w:spacing w:after="0"/>
              <w:rPr>
                <w:sz w:val="2"/>
                <w:szCs w:val="2"/>
                <w:color w:val="auto"/>
              </w:rPr>
            </w:pPr>
          </w:p>
        </w:tc>
        <w:tc>
          <w:tcPr>
            <w:tcW w:w="1580" w:type="dxa"/>
            <w:vAlign w:val="bottom"/>
            <w:shd w:val="clear" w:color="auto" w:fill="C0C0C0"/>
          </w:tcPr>
          <w:p>
            <w:pPr>
              <w:spacing w:after="0"/>
              <w:rPr>
                <w:sz w:val="2"/>
                <w:szCs w:val="2"/>
                <w:color w:val="auto"/>
              </w:rPr>
            </w:pPr>
          </w:p>
        </w:tc>
        <w:tc>
          <w:tcPr>
            <w:tcW w:w="2320" w:type="dxa"/>
            <w:vAlign w:val="bottom"/>
            <w:shd w:val="clear" w:color="auto" w:fill="C0C0C0"/>
          </w:tcPr>
          <w:p>
            <w:pPr>
              <w:spacing w:after="0"/>
              <w:rPr>
                <w:sz w:val="2"/>
                <w:szCs w:val="2"/>
                <w:color w:val="auto"/>
              </w:rPr>
            </w:pPr>
          </w:p>
        </w:tc>
      </w:tr>
    </w:tbl>
    <w:p>
      <w:pPr>
        <w:spacing w:after="0" w:line="14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1</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320"/>
          </w:cols>
          <w:pgMar w:left="1440" w:top="1440" w:right="1139" w:bottom="1440" w:gutter="0" w:footer="0" w:header="0"/>
        </w:sectPr>
      </w:pPr>
    </w:p>
    <w:bookmarkStart w:id="162" w:name="page163"/>
    <w:bookmarkEnd w:id="162"/>
    <w:p>
      <w:pPr>
        <w:spacing w:after="0" w:line="9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SCHEDULE C AUTHORIZED</w:t>
      </w:r>
    </w:p>
    <w:p>
      <w:pPr>
        <w:spacing w:after="0" w:line="229"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LIST OF SIGNERS</w:t>
      </w:r>
    </w:p>
    <w:p>
      <w:pPr>
        <w:spacing w:after="0" w:line="100" w:lineRule="exact"/>
        <w:rPr>
          <w:sz w:val="20"/>
          <w:szCs w:val="20"/>
          <w:color w:val="auto"/>
        </w:rPr>
      </w:pPr>
    </w:p>
    <w:p>
      <w:pPr>
        <w:ind w:left="100" w:firstLine="648"/>
        <w:spacing w:after="0" w:line="236" w:lineRule="auto"/>
        <w:rPr>
          <w:sz w:val="20"/>
          <w:szCs w:val="20"/>
          <w:color w:val="auto"/>
        </w:rPr>
      </w:pPr>
      <w:r>
        <w:rPr>
          <w:rFonts w:ascii="Arial" w:cs="Arial" w:eastAsia="Arial" w:hAnsi="Arial"/>
          <w:sz w:val="18"/>
          <w:szCs w:val="18"/>
          <w:color w:val="auto"/>
        </w:rPr>
        <w:t>Each of the following person(s) is authorized to execute documents and to direct the Escrow Agent as to all matters on Sterigenics’ behalf. The Escrow Agent may confirm the instructions received by return call to any one of</w:t>
      </w:r>
    </w:p>
    <w:p>
      <w:pPr>
        <w:ind w:left="100"/>
        <w:spacing w:after="0"/>
        <w:rPr>
          <w:sz w:val="20"/>
          <w:szCs w:val="20"/>
          <w:color w:val="auto"/>
        </w:rPr>
      </w:pPr>
      <w:r>
        <w:rPr>
          <w:rFonts w:ascii="Arial" w:cs="Arial" w:eastAsia="Arial" w:hAnsi="Arial"/>
          <w:sz w:val="20"/>
          <w:szCs w:val="20"/>
          <w:color w:val="auto"/>
        </w:rPr>
        <w:t>the telephone numbers listed below.</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STERIGENICS</w:t>
      </w:r>
    </w:p>
    <w:p>
      <w:pPr>
        <w:spacing w:after="0" w:line="222" w:lineRule="exact"/>
        <w:rPr>
          <w:sz w:val="20"/>
          <w:szCs w:val="20"/>
          <w:color w:val="auto"/>
        </w:rPr>
      </w:pPr>
    </w:p>
    <w:p>
      <w:pPr>
        <w:ind w:left="100"/>
        <w:spacing w:after="0"/>
        <w:tabs>
          <w:tab w:leader="none" w:pos="1280" w:val="left"/>
          <w:tab w:leader="none" w:pos="2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-14605</wp:posOffset>
            </wp:positionV>
            <wp:extent cx="2940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94005" cy="88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-14605</wp:posOffset>
            </wp:positionV>
            <wp:extent cx="302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-143510</wp:posOffset>
            </wp:positionV>
            <wp:extent cx="1257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-14605</wp:posOffset>
            </wp:positionV>
            <wp:extent cx="1257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84" w:lineRule="exact"/>
        <w:rPr>
          <w:sz w:val="20"/>
          <w:szCs w:val="20"/>
          <w:color w:val="auto"/>
        </w:rPr>
      </w:pPr>
    </w:p>
    <w:p>
      <w:pPr>
        <w:ind w:left="100"/>
        <w:spacing w:after="0"/>
        <w:tabs>
          <w:tab w:leader="none" w:pos="2660" w:val="left"/>
        </w:tabs>
        <w:rPr>
          <w:sz w:val="20"/>
          <w:szCs w:val="20"/>
          <w:color w:val="auto"/>
        </w:rPr>
      </w:pPr>
      <w:r>
        <w:rPr>
          <w:rFonts w:ascii="Arial" w:cs="Arial" w:eastAsia="Arial" w:hAnsi="Arial"/>
          <w:sz w:val="20"/>
          <w:szCs w:val="20"/>
          <w:b w:val="1"/>
          <w:bCs w:val="1"/>
          <w:color w:val="auto"/>
        </w:rPr>
        <w:t>Manual Specimen Signature</w:t>
      </w:r>
      <w:r>
        <w:rPr>
          <w:sz w:val="20"/>
          <w:szCs w:val="20"/>
          <w:color w:val="auto"/>
        </w:rPr>
        <w:tab/>
      </w:r>
      <w:r>
        <w:rPr>
          <w:rFonts w:ascii="Arial" w:cs="Arial" w:eastAsia="Arial" w:hAnsi="Arial"/>
          <w:sz w:val="16"/>
          <w:szCs w:val="16"/>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tabs>
          <w:tab w:leader="none" w:pos="1280" w:val="left"/>
          <w:tab w:leader="none" w:pos="2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-14605</wp:posOffset>
            </wp:positionV>
            <wp:extent cx="2940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94005" cy="8255"/>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-14605</wp:posOffset>
            </wp:positionV>
            <wp:extent cx="302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104775</wp:posOffset>
            </wp:positionV>
            <wp:extent cx="1257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CORPORATE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-14605</wp:posOffset>
            </wp:positionV>
            <wp:extent cx="1257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84" w:lineRule="exact"/>
        <w:rPr>
          <w:sz w:val="20"/>
          <w:szCs w:val="20"/>
          <w:color w:val="auto"/>
        </w:rPr>
      </w:pPr>
    </w:p>
    <w:p>
      <w:pPr>
        <w:ind w:left="100"/>
        <w:spacing w:after="0"/>
        <w:tabs>
          <w:tab w:leader="none" w:pos="2660" w:val="left"/>
        </w:tabs>
        <w:rPr>
          <w:sz w:val="20"/>
          <w:szCs w:val="20"/>
          <w:color w:val="auto"/>
        </w:rPr>
      </w:pPr>
      <w:r>
        <w:rPr>
          <w:rFonts w:ascii="Arial" w:cs="Arial" w:eastAsia="Arial" w:hAnsi="Arial"/>
          <w:sz w:val="20"/>
          <w:szCs w:val="20"/>
          <w:b w:val="1"/>
          <w:bCs w:val="1"/>
          <w:color w:val="auto"/>
        </w:rPr>
        <w:t>Manual Specimen Signature</w:t>
      </w:r>
      <w:r>
        <w:rPr>
          <w:sz w:val="20"/>
          <w:szCs w:val="20"/>
          <w:color w:val="auto"/>
        </w:rPr>
        <w:tab/>
      </w:r>
      <w:r>
        <w:rPr>
          <w:rFonts w:ascii="Arial" w:cs="Arial" w:eastAsia="Arial" w:hAnsi="Arial"/>
          <w:sz w:val="16"/>
          <w:szCs w:val="16"/>
          <w:b w:val="1"/>
          <w:bCs w:val="1"/>
          <w:color w:val="auto"/>
        </w:rPr>
        <w:t>DocuSign Specimen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View-Only Reporting Access via Citidirect for Securities</w:t>
      </w:r>
      <w:r>
        <w:rPr>
          <w:rFonts w:ascii="Arial" w:cs="Arial" w:eastAsia="Arial" w:hAnsi="Arial"/>
          <w:sz w:val="20"/>
          <w:szCs w:val="20"/>
          <w:color w:val="auto"/>
        </w:rPr>
        <w:t>:</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____ Check here for same as above.</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Please indicate those persons other than above requiring view access for statement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5203190" cy="11398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203190" cy="1139825"/>
                    </a:xfrm>
                    <a:prstGeom prst="rect">
                      <a:avLst/>
                    </a:prstGeom>
                    <a:noFill/>
                  </pic:spPr>
                </pic:pic>
              </a:graphicData>
            </a:graphic>
          </wp:anchor>
        </w:drawing>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483"/>
        </w:trPr>
        <w:tc>
          <w:tcPr>
            <w:tcW w:w="2500" w:type="dxa"/>
            <w:vAlign w:val="bottom"/>
            <w:shd w:val="clear" w:color="auto" w:fill="C0C0C0"/>
          </w:tcPr>
          <w:p>
            <w:pPr>
              <w:ind w:left="1020"/>
              <w:spacing w:after="0"/>
              <w:rPr>
                <w:sz w:val="20"/>
                <w:szCs w:val="20"/>
                <w:color w:val="auto"/>
              </w:rPr>
            </w:pPr>
            <w:r>
              <w:rPr>
                <w:rFonts w:ascii="Arial" w:cs="Arial" w:eastAsia="Arial" w:hAnsi="Arial"/>
                <w:sz w:val="20"/>
                <w:szCs w:val="20"/>
                <w:b w:val="1"/>
                <w:bCs w:val="1"/>
                <w:color w:val="auto"/>
              </w:rPr>
              <w:t>First Name</w:t>
            </w:r>
          </w:p>
        </w:tc>
        <w:tc>
          <w:tcPr>
            <w:tcW w:w="1780" w:type="dxa"/>
            <w:vAlign w:val="bottom"/>
            <w:shd w:val="clear" w:color="auto" w:fill="C0C0C0"/>
          </w:tcPr>
          <w:p>
            <w:pPr>
              <w:ind w:left="540"/>
              <w:spacing w:after="0"/>
              <w:rPr>
                <w:sz w:val="20"/>
                <w:szCs w:val="20"/>
                <w:color w:val="auto"/>
              </w:rPr>
            </w:pPr>
            <w:r>
              <w:rPr>
                <w:rFonts w:ascii="Arial" w:cs="Arial" w:eastAsia="Arial" w:hAnsi="Arial"/>
                <w:sz w:val="20"/>
                <w:szCs w:val="20"/>
                <w:b w:val="1"/>
                <w:bCs w:val="1"/>
                <w:color w:val="auto"/>
              </w:rPr>
              <w:t>Last Name</w:t>
            </w:r>
          </w:p>
        </w:tc>
        <w:tc>
          <w:tcPr>
            <w:tcW w:w="1580" w:type="dxa"/>
            <w:vAlign w:val="bottom"/>
            <w:shd w:val="clear" w:color="auto" w:fill="C0C0C0"/>
          </w:tcPr>
          <w:p>
            <w:pPr>
              <w:ind w:left="320"/>
              <w:spacing w:after="0"/>
              <w:rPr>
                <w:sz w:val="20"/>
                <w:szCs w:val="20"/>
                <w:color w:val="auto"/>
              </w:rPr>
            </w:pPr>
            <w:r>
              <w:rPr>
                <w:rFonts w:ascii="Arial" w:cs="Arial" w:eastAsia="Arial" w:hAnsi="Arial"/>
                <w:sz w:val="20"/>
                <w:szCs w:val="20"/>
                <w:b w:val="1"/>
                <w:bCs w:val="1"/>
                <w:color w:val="auto"/>
              </w:rPr>
              <w:t>Telephone</w:t>
            </w:r>
          </w:p>
        </w:tc>
        <w:tc>
          <w:tcPr>
            <w:tcW w:w="2320" w:type="dxa"/>
            <w:vAlign w:val="bottom"/>
            <w:shd w:val="clear" w:color="auto" w:fill="C0C0C0"/>
          </w:tcPr>
          <w:p>
            <w:pPr>
              <w:ind w:left="400"/>
              <w:spacing w:after="0"/>
              <w:rPr>
                <w:sz w:val="20"/>
                <w:szCs w:val="20"/>
                <w:color w:val="auto"/>
              </w:rPr>
            </w:pPr>
            <w:r>
              <w:rPr>
                <w:rFonts w:ascii="Arial" w:cs="Arial" w:eastAsia="Arial" w:hAnsi="Arial"/>
                <w:sz w:val="20"/>
                <w:szCs w:val="20"/>
                <w:b w:val="1"/>
                <w:bCs w:val="1"/>
                <w:color w:val="auto"/>
              </w:rPr>
              <w:t>Corporate Email</w:t>
            </w:r>
          </w:p>
        </w:tc>
      </w:tr>
      <w:tr>
        <w:trPr>
          <w:trHeight w:val="23"/>
        </w:trPr>
        <w:tc>
          <w:tcPr>
            <w:tcW w:w="2500" w:type="dxa"/>
            <w:vAlign w:val="bottom"/>
            <w:shd w:val="clear" w:color="auto" w:fill="C0C0C0"/>
          </w:tcPr>
          <w:p>
            <w:pPr>
              <w:spacing w:after="0"/>
              <w:rPr>
                <w:sz w:val="2"/>
                <w:szCs w:val="2"/>
                <w:color w:val="auto"/>
              </w:rPr>
            </w:pPr>
          </w:p>
        </w:tc>
        <w:tc>
          <w:tcPr>
            <w:tcW w:w="1780" w:type="dxa"/>
            <w:vAlign w:val="bottom"/>
            <w:shd w:val="clear" w:color="auto" w:fill="C0C0C0"/>
          </w:tcPr>
          <w:p>
            <w:pPr>
              <w:spacing w:after="0"/>
              <w:rPr>
                <w:sz w:val="2"/>
                <w:szCs w:val="2"/>
                <w:color w:val="auto"/>
              </w:rPr>
            </w:pPr>
          </w:p>
        </w:tc>
        <w:tc>
          <w:tcPr>
            <w:tcW w:w="1580" w:type="dxa"/>
            <w:vAlign w:val="bottom"/>
            <w:shd w:val="clear" w:color="auto" w:fill="C0C0C0"/>
          </w:tcPr>
          <w:p>
            <w:pPr>
              <w:spacing w:after="0"/>
              <w:rPr>
                <w:sz w:val="2"/>
                <w:szCs w:val="2"/>
                <w:color w:val="auto"/>
              </w:rPr>
            </w:pPr>
          </w:p>
        </w:tc>
        <w:tc>
          <w:tcPr>
            <w:tcW w:w="2320" w:type="dxa"/>
            <w:vAlign w:val="bottom"/>
            <w:shd w:val="clear" w:color="auto" w:fill="C0C0C0"/>
          </w:tcPr>
          <w:p>
            <w:pPr>
              <w:spacing w:after="0"/>
              <w:rPr>
                <w:sz w:val="2"/>
                <w:szCs w:val="2"/>
                <w:color w:val="auto"/>
              </w:rPr>
            </w:pPr>
          </w:p>
        </w:tc>
      </w:tr>
    </w:tbl>
    <w:p>
      <w:pPr>
        <w:spacing w:after="0" w:line="14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1</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320"/>
          </w:cols>
          <w:pgMar w:left="1440" w:top="1440" w:right="1139" w:bottom="1440" w:gutter="0" w:footer="0" w:header="0"/>
        </w:sectPr>
      </w:pPr>
    </w:p>
    <w:bookmarkStart w:id="163" w:name="page164"/>
    <w:bookmarkEnd w:id="163"/>
    <w:p>
      <w:pPr>
        <w:spacing w:after="0" w:line="324"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SCHEDULE D WIRE</w:t>
      </w:r>
    </w:p>
    <w:p>
      <w:pPr>
        <w:spacing w:after="0" w:line="229"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INSTRUCTIONS</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If to the Plaintiffs’ QSF:</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Bank:</w:t>
      </w:r>
    </w:p>
    <w:p>
      <w:pPr>
        <w:ind w:left="100"/>
        <w:spacing w:after="0" w:line="197" w:lineRule="auto"/>
        <w:rPr>
          <w:sz w:val="20"/>
          <w:szCs w:val="20"/>
          <w:color w:val="auto"/>
        </w:rPr>
      </w:pPr>
      <w:r>
        <w:rPr>
          <w:rFonts w:ascii="Arial" w:cs="Arial" w:eastAsia="Arial" w:hAnsi="Arial"/>
          <w:sz w:val="20"/>
          <w:szCs w:val="20"/>
          <w:color w:val="auto"/>
        </w:rPr>
        <w:t>ABA#:</w:t>
      </w:r>
    </w:p>
    <w:p>
      <w:pPr>
        <w:ind w:left="100"/>
        <w:spacing w:after="0" w:line="211" w:lineRule="auto"/>
        <w:rPr>
          <w:sz w:val="20"/>
          <w:szCs w:val="20"/>
          <w:color w:val="auto"/>
        </w:rPr>
      </w:pPr>
      <w:r>
        <w:rPr>
          <w:rFonts w:ascii="Arial" w:cs="Arial" w:eastAsia="Arial" w:hAnsi="Arial"/>
          <w:sz w:val="20"/>
          <w:szCs w:val="20"/>
          <w:color w:val="auto"/>
        </w:rPr>
        <w:t>Account Name:</w:t>
      </w:r>
    </w:p>
    <w:p>
      <w:pPr>
        <w:ind w:left="100"/>
        <w:spacing w:after="0" w:line="197" w:lineRule="auto"/>
        <w:rPr>
          <w:sz w:val="20"/>
          <w:szCs w:val="20"/>
          <w:color w:val="auto"/>
        </w:rPr>
      </w:pPr>
      <w:r>
        <w:rPr>
          <w:rFonts w:ascii="Arial" w:cs="Arial" w:eastAsia="Arial" w:hAnsi="Arial"/>
          <w:sz w:val="20"/>
          <w:szCs w:val="20"/>
          <w:color w:val="auto"/>
        </w:rPr>
        <w:t>A/C#:</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Ref:</w:t>
      </w:r>
    </w:p>
    <w:p>
      <w:pPr>
        <w:spacing w:after="0" w:line="37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If to Sterigenics: Bank:</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ABA#:</w:t>
      </w:r>
    </w:p>
    <w:p>
      <w:pPr>
        <w:ind w:left="100"/>
        <w:spacing w:after="0" w:line="211" w:lineRule="auto"/>
        <w:rPr>
          <w:sz w:val="20"/>
          <w:szCs w:val="20"/>
          <w:color w:val="auto"/>
        </w:rPr>
      </w:pPr>
      <w:r>
        <w:rPr>
          <w:rFonts w:ascii="Arial" w:cs="Arial" w:eastAsia="Arial" w:hAnsi="Arial"/>
          <w:sz w:val="20"/>
          <w:szCs w:val="20"/>
          <w:color w:val="auto"/>
        </w:rPr>
        <w:t>Account Name:</w:t>
      </w:r>
    </w:p>
    <w:p>
      <w:pPr>
        <w:ind w:left="100"/>
        <w:spacing w:after="0" w:line="197" w:lineRule="auto"/>
        <w:rPr>
          <w:sz w:val="20"/>
          <w:szCs w:val="20"/>
          <w:color w:val="auto"/>
        </w:rPr>
      </w:pPr>
      <w:r>
        <w:rPr>
          <w:rFonts w:ascii="Arial" w:cs="Arial" w:eastAsia="Arial" w:hAnsi="Arial"/>
          <w:sz w:val="20"/>
          <w:szCs w:val="20"/>
          <w:color w:val="auto"/>
        </w:rPr>
        <w:t>A/C#:</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Ref:</w:t>
      </w:r>
    </w:p>
    <w:p>
      <w:pPr>
        <w:sectPr>
          <w:pgSz w:w="11900" w:h="16838" w:orient="portrait"/>
          <w:cols w:equalWidth="0" w:num="1">
            <w:col w:w="9019"/>
          </w:cols>
          <w:pgMar w:left="1440" w:top="1440" w:right="1440" w:bottom="1440" w:gutter="0" w:footer="0" w:header="0"/>
        </w:sectPr>
      </w:pPr>
    </w:p>
    <w:bookmarkStart w:id="164" w:name="page165"/>
    <w:bookmarkEnd w:id="164"/>
    <w:p>
      <w:pPr>
        <w:jc w:val="center"/>
        <w:ind w:right="-139"/>
        <w:spacing w:after="0"/>
        <w:rPr>
          <w:sz w:val="20"/>
          <w:szCs w:val="20"/>
          <w:color w:val="auto"/>
        </w:rPr>
      </w:pPr>
      <w:r>
        <w:rPr>
          <w:rFonts w:ascii="Arial" w:cs="Arial" w:eastAsia="Arial" w:hAnsi="Arial"/>
          <w:sz w:val="18"/>
          <w:szCs w:val="18"/>
          <w:b w:val="1"/>
          <w:bCs w:val="1"/>
          <w:u w:val="single" w:color="auto"/>
          <w:color w:val="auto"/>
        </w:rPr>
        <w:t>EXHIBIT 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Form of Claimant Fact Sheet</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INSTRUCTIONS: If your response to any question in this Claimant Fact Sheet exceeds the space limitation provided in these fillable PDF forms, you must attach additional pages and identify the questions the additional information answers.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IN THE CIRCUIT COURT OF COOK COUNTY, ILLINOIS COUNTY DEPARTMENT, LAW DIVISION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WILLOWBROOK ETHYLENE OXIDE LITIGATION</w:t>
            </w: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3"/>
              </w:rPr>
              <w:t>Consolidated for Pretrial and Discovery Purposes Under No. 18 L 10475</w:t>
            </w:r>
          </w:p>
        </w:tc>
      </w:tr>
    </w:tbl>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APPENDIX E</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CLAIMANT FACT SHEET</w:t>
      </w:r>
    </w:p>
    <w:p>
      <w:pPr>
        <w:spacing w:after="0" w:line="324" w:lineRule="exact"/>
        <w:rPr>
          <w:sz w:val="20"/>
          <w:szCs w:val="20"/>
          <w:color w:val="auto"/>
        </w:rPr>
      </w:pPr>
    </w:p>
    <w:p>
      <w:pPr>
        <w:jc w:val="both"/>
        <w:ind w:right="220" w:firstLine="633"/>
        <w:spacing w:after="0" w:line="276" w:lineRule="auto"/>
        <w:rPr>
          <w:sz w:val="20"/>
          <w:szCs w:val="20"/>
          <w:color w:val="auto"/>
        </w:rPr>
      </w:pPr>
      <w:r>
        <w:rPr>
          <w:rFonts w:ascii="Arial" w:cs="Arial" w:eastAsia="Arial" w:hAnsi="Arial"/>
          <w:sz w:val="16"/>
          <w:szCs w:val="16"/>
          <w:color w:val="auto"/>
        </w:rPr>
        <w:t xml:space="preserve">This Claimant Fact Sheet must be completed by or on behalf of each Opt-Out Claimant and Non-Participating Claimant. Please answer every question to the best of your knowledge. In completing this Claimant Fact Sheet, you are under oath and must provide information that is true and correct to the best of your knowledge. If you cannot recall all details requested, please provide as much information as you can. </w:t>
      </w:r>
      <w:r>
        <w:rPr>
          <w:rFonts w:ascii="Arial" w:cs="Arial" w:eastAsia="Arial" w:hAnsi="Arial"/>
          <w:sz w:val="16"/>
          <w:szCs w:val="16"/>
          <w:b w:val="1"/>
          <w:bCs w:val="1"/>
          <w:color w:val="auto"/>
        </w:rPr>
        <w:t>Please do not leave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any questions unanswered or blank, and </w:t>
      </w:r>
      <w:r>
        <w:rPr>
          <w:rFonts w:ascii="Arial" w:cs="Arial" w:eastAsia="Arial" w:hAnsi="Arial"/>
          <w:sz w:val="18"/>
          <w:szCs w:val="18"/>
          <w:b w:val="1"/>
          <w:bCs w:val="1"/>
          <w:u w:val="single" w:color="auto"/>
          <w:color w:val="auto"/>
        </w:rPr>
        <w:t>attach additional pages if you need more space to answer any of the questions</w:t>
      </w:r>
      <w:r>
        <w:rPr>
          <w:rFonts w:ascii="Arial" w:cs="Arial" w:eastAsia="Arial" w:hAnsi="Arial"/>
          <w:sz w:val="18"/>
          <w:szCs w:val="18"/>
          <w:color w:val="auto"/>
        </w:rPr>
        <w:t>.</w:t>
      </w:r>
    </w:p>
    <w:p>
      <w:pPr>
        <w:spacing w:after="0" w:line="184"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Information provided will be used only for purposes related to settlement evaluation and may be disclosed only as permitted by the Stipulation and Order Governing the Protection and Exchange of Confidential Information in the litigation.</w:t>
      </w:r>
      <w:r>
        <w:rPr>
          <w:rFonts w:ascii="Arial" w:cs="Arial" w:eastAsia="Arial" w:hAnsi="Arial"/>
          <w:sz w:val="23"/>
          <w:szCs w:val="23"/>
          <w:color w:val="auto"/>
          <w:vertAlign w:val="superscript"/>
        </w:rPr>
        <w:t>1</w:t>
      </w:r>
    </w:p>
    <w:p>
      <w:pPr>
        <w:spacing w:after="0" w:line="107" w:lineRule="exact"/>
        <w:rPr>
          <w:sz w:val="20"/>
          <w:szCs w:val="20"/>
          <w:color w:val="auto"/>
        </w:rPr>
      </w:pPr>
    </w:p>
    <w:p>
      <w:pPr>
        <w:jc w:val="both"/>
        <w:ind w:right="220" w:firstLine="648"/>
        <w:spacing w:after="0" w:line="235" w:lineRule="auto"/>
        <w:rPr>
          <w:sz w:val="20"/>
          <w:szCs w:val="20"/>
          <w:color w:val="auto"/>
        </w:rPr>
      </w:pPr>
      <w:r>
        <w:rPr>
          <w:rFonts w:ascii="Arial" w:cs="Arial" w:eastAsia="Arial" w:hAnsi="Arial"/>
          <w:sz w:val="18"/>
          <w:szCs w:val="18"/>
          <w:color w:val="auto"/>
        </w:rPr>
        <w:t>All capitalized terms used but not otherwise defined in this Claimant Fact Sheet shall have the meanings ascribed to them in the Willowbrook Group Settlement Agreement dated March 28, 2023, to which this Exhibit E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50" w:lineRule="exact"/>
        <w:rPr>
          <w:sz w:val="20"/>
          <w:szCs w:val="20"/>
          <w:color w:val="auto"/>
        </w:rPr>
      </w:pPr>
    </w:p>
    <w:p>
      <w:pPr>
        <w:ind w:left="500" w:right="2420" w:hanging="77"/>
        <w:spacing w:after="0" w:line="205" w:lineRule="auto"/>
        <w:tabs>
          <w:tab w:leader="none" w:pos="532" w:val="left"/>
        </w:tabs>
        <w:numPr>
          <w:ilvl w:val="0"/>
          <w:numId w:val="233"/>
        </w:numPr>
        <w:rPr>
          <w:rFonts w:ascii="Arial" w:cs="Arial" w:eastAsia="Arial" w:hAnsi="Arial"/>
          <w:sz w:val="23"/>
          <w:szCs w:val="23"/>
          <w:color w:val="auto"/>
          <w:vertAlign w:val="superscript"/>
        </w:rPr>
      </w:pPr>
      <w:r>
        <w:rPr>
          <w:rFonts w:ascii="Arial" w:cs="Arial" w:eastAsia="Arial" w:hAnsi="Arial"/>
          <w:sz w:val="18"/>
          <w:szCs w:val="18"/>
          <w:color w:val="auto"/>
        </w:rPr>
        <w:t>If the Claimant chooses to continue to litigate his or her case, the submission of this Claimant Fact Sheet does not satisfy his or her obligation to prepare a Plaintiff Fact Sheet for the litigation as required under court orders or discovery rules.</w:t>
      </w:r>
    </w:p>
    <w:p>
      <w:pPr>
        <w:sectPr>
          <w:pgSz w:w="11900" w:h="16838" w:orient="portrait"/>
          <w:cols w:equalWidth="0" w:num="1">
            <w:col w:w="11120"/>
          </w:cols>
          <w:pgMar w:left="320" w:top="1012" w:right="459" w:bottom="1440" w:gutter="0" w:footer="0" w:header="0"/>
        </w:sectPr>
      </w:pPr>
    </w:p>
    <w:bookmarkStart w:id="165" w:name="page166"/>
    <w:bookmarkEnd w:id="165"/>
    <w:p>
      <w:pPr>
        <w:spacing w:after="0" w:line="356" w:lineRule="exact"/>
        <w:rPr>
          <w:sz w:val="20"/>
          <w:szCs w:val="20"/>
          <w:color w:val="auto"/>
        </w:rPr>
      </w:pPr>
    </w:p>
    <w:p>
      <w:pPr>
        <w:ind w:left="3185" w:hanging="402"/>
        <w:spacing w:after="0"/>
        <w:tabs>
          <w:tab w:leader="none" w:pos="3185" w:val="left"/>
        </w:tabs>
        <w:numPr>
          <w:ilvl w:val="4"/>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CASE INFORMATION</w:t>
      </w:r>
    </w:p>
    <w:p>
      <w:pPr>
        <w:spacing w:after="0" w:line="242" w:lineRule="exact"/>
        <w:rPr>
          <w:rFonts w:ascii="Arial" w:cs="Arial" w:eastAsia="Arial" w:hAnsi="Arial"/>
          <w:sz w:val="18"/>
          <w:szCs w:val="18"/>
          <w:b w:val="1"/>
          <w:bCs w:val="1"/>
          <w:color w:val="auto"/>
        </w:rPr>
      </w:pPr>
    </w:p>
    <w:p>
      <w:pPr>
        <w:ind w:left="665" w:hanging="664"/>
        <w:spacing w:after="0"/>
        <w:tabs>
          <w:tab w:leader="none" w:pos="6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Name of person on whose behalf this Claimant Fact Sheet is being prepared (first, middle, last):</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665" w:hanging="665"/>
        <w:spacing w:after="0"/>
        <w:tabs>
          <w:tab w:leader="none" w:pos="6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Name of person completing this form:</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5" w:hanging="665"/>
        <w:spacing w:after="0"/>
        <w:tabs>
          <w:tab w:leader="none" w:pos="6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Please state the following for the civil action filed by the Claimant, if any:</w:t>
      </w:r>
    </w:p>
    <w:p>
      <w:pPr>
        <w:spacing w:after="0" w:line="184" w:lineRule="exact"/>
        <w:rPr>
          <w:rFonts w:ascii="Arial" w:cs="Arial" w:eastAsia="Arial" w:hAnsi="Arial"/>
          <w:sz w:val="18"/>
          <w:szCs w:val="18"/>
          <w:color w:val="auto"/>
        </w:rPr>
      </w:pPr>
    </w:p>
    <w:p>
      <w:pPr>
        <w:ind w:left="1305" w:hanging="657"/>
        <w:spacing w:after="0"/>
        <w:tabs>
          <w:tab w:leader="none" w:pos="1305" w:val="left"/>
        </w:tabs>
        <w:numPr>
          <w:ilvl w:val="2"/>
          <w:numId w:val="235"/>
        </w:numPr>
        <w:rPr>
          <w:rFonts w:ascii="Arial" w:cs="Arial" w:eastAsia="Arial" w:hAnsi="Arial"/>
          <w:sz w:val="18"/>
          <w:szCs w:val="18"/>
          <w:color w:val="auto"/>
        </w:rPr>
      </w:pPr>
      <w:r>
        <w:rPr>
          <w:rFonts w:ascii="Arial" w:cs="Arial" w:eastAsia="Arial" w:hAnsi="Arial"/>
          <w:sz w:val="18"/>
          <w:szCs w:val="18"/>
          <w:color w:val="auto"/>
        </w:rPr>
        <w:t>Case caption:</w:t>
      </w:r>
    </w:p>
    <w:p>
      <w:pPr>
        <w:spacing w:after="0" w:line="198" w:lineRule="exact"/>
        <w:rPr>
          <w:rFonts w:ascii="Arial" w:cs="Arial" w:eastAsia="Arial" w:hAnsi="Arial"/>
          <w:sz w:val="18"/>
          <w:szCs w:val="18"/>
          <w:color w:val="auto"/>
        </w:rPr>
      </w:pPr>
    </w:p>
    <w:p>
      <w:pPr>
        <w:ind w:left="1305" w:hanging="657"/>
        <w:spacing w:after="0"/>
        <w:tabs>
          <w:tab w:leader="none" w:pos="1305" w:val="left"/>
        </w:tabs>
        <w:numPr>
          <w:ilvl w:val="2"/>
          <w:numId w:val="235"/>
        </w:numPr>
        <w:rPr>
          <w:rFonts w:ascii="Arial" w:cs="Arial" w:eastAsia="Arial" w:hAnsi="Arial"/>
          <w:sz w:val="18"/>
          <w:szCs w:val="18"/>
          <w:color w:val="auto"/>
        </w:rPr>
      </w:pPr>
      <w:r>
        <w:rPr>
          <w:rFonts w:ascii="Arial" w:cs="Arial" w:eastAsia="Arial" w:hAnsi="Arial"/>
          <w:sz w:val="18"/>
          <w:szCs w:val="18"/>
          <w:color w:val="auto"/>
        </w:rPr>
        <w:t>Docket number:</w:t>
      </w:r>
    </w:p>
    <w:p>
      <w:pPr>
        <w:spacing w:after="0" w:line="184" w:lineRule="exact"/>
        <w:rPr>
          <w:rFonts w:ascii="Arial" w:cs="Arial" w:eastAsia="Arial" w:hAnsi="Arial"/>
          <w:sz w:val="18"/>
          <w:szCs w:val="18"/>
          <w:color w:val="auto"/>
        </w:rPr>
      </w:pPr>
    </w:p>
    <w:p>
      <w:pPr>
        <w:ind w:left="1325" w:right="3419" w:hanging="677"/>
        <w:spacing w:after="0" w:line="527" w:lineRule="auto"/>
        <w:tabs>
          <w:tab w:leader="none" w:pos="1305" w:val="left"/>
        </w:tabs>
        <w:numPr>
          <w:ilvl w:val="2"/>
          <w:numId w:val="235"/>
        </w:numPr>
        <w:rPr>
          <w:rFonts w:ascii="Arial" w:cs="Arial" w:eastAsia="Arial" w:hAnsi="Arial"/>
          <w:sz w:val="18"/>
          <w:szCs w:val="18"/>
          <w:color w:val="auto"/>
        </w:rPr>
      </w:pPr>
      <w:r>
        <w:rPr>
          <w:rFonts w:ascii="Arial" w:cs="Arial" w:eastAsia="Arial" w:hAnsi="Arial"/>
          <w:sz w:val="18"/>
          <w:szCs w:val="18"/>
          <w:color w:val="auto"/>
        </w:rPr>
        <w:t>Contact information of principal attorney representing the Claimant: Name:</w:t>
      </w:r>
    </w:p>
    <w:p>
      <w:pPr>
        <w:spacing w:after="0" w:line="35" w:lineRule="exact"/>
        <w:rPr>
          <w:rFonts w:ascii="Arial" w:cs="Arial" w:eastAsia="Arial" w:hAnsi="Arial"/>
          <w:sz w:val="18"/>
          <w:szCs w:val="18"/>
          <w:color w:val="auto"/>
        </w:rPr>
      </w:pPr>
    </w:p>
    <w:p>
      <w:pPr>
        <w:ind w:left="1325"/>
        <w:spacing w:after="0"/>
        <w:rPr>
          <w:rFonts w:ascii="Arial" w:cs="Arial" w:eastAsia="Arial" w:hAnsi="Arial"/>
          <w:sz w:val="18"/>
          <w:szCs w:val="18"/>
          <w:color w:val="auto"/>
        </w:rPr>
      </w:pPr>
      <w:r>
        <w:rPr>
          <w:rFonts w:ascii="Arial" w:cs="Arial" w:eastAsia="Arial" w:hAnsi="Arial"/>
          <w:sz w:val="18"/>
          <w:szCs w:val="18"/>
          <w:color w:val="auto"/>
        </w:rPr>
        <w:t>Firm:</w:t>
      </w:r>
    </w:p>
    <w:p>
      <w:pPr>
        <w:spacing w:after="0" w:line="292" w:lineRule="exact"/>
        <w:rPr>
          <w:rFonts w:ascii="Arial" w:cs="Arial" w:eastAsia="Arial" w:hAnsi="Arial"/>
          <w:sz w:val="18"/>
          <w:szCs w:val="18"/>
          <w:color w:val="auto"/>
        </w:rPr>
      </w:pPr>
    </w:p>
    <w:p>
      <w:pPr>
        <w:ind w:left="1325" w:right="6899"/>
        <w:spacing w:after="0" w:line="673" w:lineRule="auto"/>
        <w:rPr>
          <w:rFonts w:ascii="Arial" w:cs="Arial" w:eastAsia="Arial" w:hAnsi="Arial"/>
          <w:sz w:val="18"/>
          <w:szCs w:val="18"/>
          <w:color w:val="auto"/>
        </w:rPr>
      </w:pPr>
      <w:r>
        <w:rPr>
          <w:rFonts w:ascii="Arial" w:cs="Arial" w:eastAsia="Arial" w:hAnsi="Arial"/>
          <w:sz w:val="16"/>
          <w:szCs w:val="16"/>
          <w:color w:val="auto"/>
        </w:rPr>
        <w:t>Address: Telephone Number: Fax Number: E-mail Address:</w:t>
      </w:r>
    </w:p>
    <w:p>
      <w:pPr>
        <w:spacing w:after="0" w:line="1" w:lineRule="exact"/>
        <w:rPr>
          <w:rFonts w:ascii="Arial" w:cs="Arial" w:eastAsia="Arial" w:hAnsi="Arial"/>
          <w:sz w:val="18"/>
          <w:szCs w:val="18"/>
          <w:color w:val="auto"/>
        </w:rPr>
      </w:pPr>
    </w:p>
    <w:p>
      <w:pPr>
        <w:ind w:left="665" w:right="39" w:hanging="650"/>
        <w:spacing w:after="0" w:line="277" w:lineRule="auto"/>
        <w:tabs>
          <w:tab w:leader="none" w:pos="6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If you are completing this document in a derivative capacity (e.g., you filed a loss of consortium claim derived from injuries suffered by a family member), please provide the name of the allegedly injured family member(s):</w:t>
      </w:r>
    </w:p>
    <w:p>
      <w:pPr>
        <w:spacing w:after="0" w:line="21" w:lineRule="exact"/>
        <w:rPr>
          <w:rFonts w:ascii="Arial" w:cs="Arial" w:eastAsia="Arial" w:hAnsi="Arial"/>
          <w:sz w:val="18"/>
          <w:szCs w:val="18"/>
          <w:color w:val="auto"/>
        </w:rPr>
      </w:pPr>
    </w:p>
    <w:p>
      <w:pPr>
        <w:ind w:left="665" w:right="359" w:hanging="650"/>
        <w:spacing w:after="0" w:line="277" w:lineRule="auto"/>
        <w:tabs>
          <w:tab w:leader="none" w:pos="6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If you are completing this document in a representative capacity (e.g., as a legal guardian, or on behalf of the estate of a deceased person), please complete the following:</w:t>
      </w:r>
    </w:p>
    <w:p>
      <w:pPr>
        <w:spacing w:after="0" w:line="143" w:lineRule="exact"/>
        <w:rPr>
          <w:rFonts w:ascii="Arial" w:cs="Arial" w:eastAsia="Arial" w:hAnsi="Arial"/>
          <w:sz w:val="18"/>
          <w:szCs w:val="18"/>
          <w:color w:val="auto"/>
        </w:rPr>
      </w:pPr>
    </w:p>
    <w:p>
      <w:pPr>
        <w:ind w:left="1305" w:right="439" w:hanging="642"/>
        <w:spacing w:after="0" w:line="235" w:lineRule="auto"/>
        <w:tabs>
          <w:tab w:leader="none" w:pos="1294" w:val="left"/>
        </w:tabs>
        <w:numPr>
          <w:ilvl w:val="3"/>
          <w:numId w:val="235"/>
        </w:numPr>
        <w:rPr>
          <w:rFonts w:ascii="Arial" w:cs="Arial" w:eastAsia="Arial" w:hAnsi="Arial"/>
          <w:sz w:val="18"/>
          <w:szCs w:val="18"/>
          <w:color w:val="auto"/>
        </w:rPr>
      </w:pPr>
      <w:r>
        <w:rPr>
          <w:rFonts w:ascii="Arial" w:cs="Arial" w:eastAsia="Arial" w:hAnsi="Arial"/>
          <w:sz w:val="18"/>
          <w:szCs w:val="18"/>
          <w:color w:val="auto"/>
        </w:rPr>
        <w:t>Your name, including other names you have used or by which you have been known and dates you used those names:</w:t>
      </w:r>
    </w:p>
    <w:p>
      <w:pPr>
        <w:spacing w:after="0" w:line="161" w:lineRule="exact"/>
        <w:rPr>
          <w:rFonts w:ascii="Arial" w:cs="Arial" w:eastAsia="Arial" w:hAnsi="Arial"/>
          <w:sz w:val="18"/>
          <w:szCs w:val="18"/>
          <w:color w:val="auto"/>
        </w:rPr>
      </w:pPr>
    </w:p>
    <w:p>
      <w:pPr>
        <w:ind w:left="1305" w:hanging="642"/>
        <w:spacing w:after="0"/>
        <w:tabs>
          <w:tab w:leader="none" w:pos="1305" w:val="left"/>
        </w:tabs>
        <w:numPr>
          <w:ilvl w:val="3"/>
          <w:numId w:val="235"/>
        </w:numPr>
        <w:rPr>
          <w:rFonts w:ascii="Arial" w:cs="Arial" w:eastAsia="Arial" w:hAnsi="Arial"/>
          <w:sz w:val="18"/>
          <w:szCs w:val="18"/>
          <w:color w:val="auto"/>
        </w:rPr>
      </w:pPr>
      <w:r>
        <w:rPr>
          <w:rFonts w:ascii="Arial" w:cs="Arial" w:eastAsia="Arial" w:hAnsi="Arial"/>
          <w:sz w:val="18"/>
          <w:szCs w:val="18"/>
          <w:color w:val="auto"/>
        </w:rPr>
        <w:t>Your current address:</w:t>
      </w:r>
    </w:p>
    <w:p>
      <w:pPr>
        <w:spacing w:after="0" w:line="198" w:lineRule="exact"/>
        <w:rPr>
          <w:rFonts w:ascii="Arial" w:cs="Arial" w:eastAsia="Arial" w:hAnsi="Arial"/>
          <w:sz w:val="18"/>
          <w:szCs w:val="18"/>
          <w:color w:val="auto"/>
        </w:rPr>
      </w:pPr>
    </w:p>
    <w:p>
      <w:pPr>
        <w:ind w:left="1305" w:hanging="642"/>
        <w:spacing w:after="0"/>
        <w:tabs>
          <w:tab w:leader="none" w:pos="1305" w:val="left"/>
        </w:tabs>
        <w:numPr>
          <w:ilvl w:val="3"/>
          <w:numId w:val="235"/>
        </w:numPr>
        <w:rPr>
          <w:rFonts w:ascii="Arial" w:cs="Arial" w:eastAsia="Arial" w:hAnsi="Arial"/>
          <w:sz w:val="18"/>
          <w:szCs w:val="18"/>
          <w:color w:val="auto"/>
        </w:rPr>
      </w:pPr>
      <w:r>
        <w:rPr>
          <w:rFonts w:ascii="Arial" w:cs="Arial" w:eastAsia="Arial" w:hAnsi="Arial"/>
          <w:sz w:val="18"/>
          <w:szCs w:val="18"/>
          <w:color w:val="auto"/>
        </w:rPr>
        <w:t>In what capacity you are representing the individual or estate:</w:t>
      </w:r>
    </w:p>
    <w:p>
      <w:pPr>
        <w:spacing w:after="0" w:line="184" w:lineRule="exact"/>
        <w:rPr>
          <w:rFonts w:ascii="Arial" w:cs="Arial" w:eastAsia="Arial" w:hAnsi="Arial"/>
          <w:sz w:val="18"/>
          <w:szCs w:val="18"/>
          <w:color w:val="auto"/>
        </w:rPr>
      </w:pPr>
    </w:p>
    <w:p>
      <w:pPr>
        <w:ind w:left="1305" w:hanging="642"/>
        <w:spacing w:after="0"/>
        <w:tabs>
          <w:tab w:leader="none" w:pos="1305" w:val="left"/>
        </w:tabs>
        <w:numPr>
          <w:ilvl w:val="3"/>
          <w:numId w:val="235"/>
        </w:numPr>
        <w:rPr>
          <w:rFonts w:ascii="Arial" w:cs="Arial" w:eastAsia="Arial" w:hAnsi="Arial"/>
          <w:sz w:val="18"/>
          <w:szCs w:val="18"/>
          <w:color w:val="auto"/>
        </w:rPr>
      </w:pPr>
      <w:r>
        <w:rPr>
          <w:rFonts w:ascii="Arial" w:cs="Arial" w:eastAsia="Arial" w:hAnsi="Arial"/>
          <w:sz w:val="18"/>
          <w:szCs w:val="18"/>
          <w:color w:val="auto"/>
        </w:rPr>
        <w:t>If you were appointed as a representative by a court, state the:</w:t>
      </w:r>
    </w:p>
    <w:p>
      <w:pPr>
        <w:spacing w:after="0" w:line="225" w:lineRule="exact"/>
        <w:rPr>
          <w:sz w:val="20"/>
          <w:szCs w:val="20"/>
          <w:color w:val="auto"/>
        </w:rPr>
      </w:pPr>
    </w:p>
    <w:p>
      <w:pPr>
        <w:ind w:left="1465"/>
        <w:spacing w:after="0"/>
        <w:rPr>
          <w:sz w:val="20"/>
          <w:szCs w:val="20"/>
          <w:color w:val="auto"/>
        </w:rPr>
      </w:pPr>
      <w:r>
        <w:rPr>
          <w:rFonts w:ascii="Arial" w:cs="Arial" w:eastAsia="Arial" w:hAnsi="Arial"/>
          <w:sz w:val="18"/>
          <w:szCs w:val="18"/>
          <w:color w:val="auto"/>
        </w:rPr>
        <w:t>Court that appointed you:</w:t>
      </w:r>
    </w:p>
    <w:p>
      <w:pPr>
        <w:spacing w:after="0" w:line="212" w:lineRule="exact"/>
        <w:rPr>
          <w:sz w:val="20"/>
          <w:szCs w:val="20"/>
          <w:color w:val="auto"/>
        </w:rPr>
      </w:pPr>
    </w:p>
    <w:p>
      <w:pPr>
        <w:ind w:left="1465"/>
        <w:spacing w:after="0"/>
        <w:rPr>
          <w:sz w:val="20"/>
          <w:szCs w:val="20"/>
          <w:color w:val="auto"/>
        </w:rPr>
      </w:pPr>
      <w:r>
        <w:rPr>
          <w:rFonts w:ascii="Arial" w:cs="Arial" w:eastAsia="Arial" w:hAnsi="Arial"/>
          <w:sz w:val="18"/>
          <w:szCs w:val="18"/>
          <w:color w:val="auto"/>
        </w:rPr>
        <w:t>Date of appointment:</w:t>
      </w:r>
    </w:p>
    <w:p>
      <w:pPr>
        <w:spacing w:after="0" w:line="185" w:lineRule="exact"/>
        <w:rPr>
          <w:sz w:val="20"/>
          <w:szCs w:val="20"/>
          <w:color w:val="auto"/>
        </w:rPr>
      </w:pPr>
    </w:p>
    <w:p>
      <w:pPr>
        <w:ind w:left="1305" w:hanging="642"/>
        <w:spacing w:after="0"/>
        <w:tabs>
          <w:tab w:leader="none" w:pos="1305"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What is your relationship to the individual you represent:</w:t>
      </w:r>
    </w:p>
    <w:p>
      <w:pPr>
        <w:spacing w:after="0" w:line="198" w:lineRule="exact"/>
        <w:rPr>
          <w:rFonts w:ascii="Arial" w:cs="Arial" w:eastAsia="Arial" w:hAnsi="Arial"/>
          <w:sz w:val="18"/>
          <w:szCs w:val="18"/>
          <w:color w:val="auto"/>
        </w:rPr>
      </w:pPr>
    </w:p>
    <w:p>
      <w:pPr>
        <w:ind w:left="1305" w:hanging="642"/>
        <w:spacing w:after="0"/>
        <w:tabs>
          <w:tab w:leader="none" w:pos="1305"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you represent a decedent’s estate, please state the date and cause of decedent’s death:</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2605"/>
        <w:spacing w:after="0"/>
        <w:rPr>
          <w:rFonts w:ascii="Arial" w:cs="Arial" w:eastAsia="Arial" w:hAnsi="Arial"/>
          <w:sz w:val="18"/>
          <w:szCs w:val="18"/>
          <w:color w:val="auto"/>
        </w:rPr>
      </w:pPr>
      <w:r>
        <w:rPr>
          <w:rFonts w:ascii="Arial" w:cs="Arial" w:eastAsia="Arial" w:hAnsi="Arial"/>
          <w:sz w:val="18"/>
          <w:szCs w:val="18"/>
          <w:b w:val="1"/>
          <w:bCs w:val="1"/>
          <w:color w:val="auto"/>
        </w:rPr>
        <w:t>II.</w:t>
      </w:r>
      <w:r>
        <w:rPr>
          <w:rFonts w:ascii="Arial" w:cs="Arial" w:eastAsia="Arial" w:hAnsi="Arial"/>
          <w:sz w:val="18"/>
          <w:szCs w:val="18"/>
          <w:b w:val="1"/>
          <w:bCs w:val="1"/>
          <w:u w:val="single" w:color="auto"/>
          <w:color w:val="auto"/>
        </w:rPr>
        <w:t>PERSONAL INFORMATION</w:t>
      </w:r>
    </w:p>
    <w:p>
      <w:pPr>
        <w:spacing w:after="0" w:line="215" w:lineRule="exact"/>
        <w:rPr>
          <w:rFonts w:ascii="Arial" w:cs="Arial" w:eastAsia="Arial" w:hAnsi="Arial"/>
          <w:sz w:val="18"/>
          <w:szCs w:val="18"/>
          <w:color w:val="auto"/>
        </w:rPr>
      </w:pPr>
    </w:p>
    <w:p>
      <w:pPr>
        <w:ind w:left="665" w:hanging="665"/>
        <w:spacing w:after="0"/>
        <w:tabs>
          <w:tab w:leader="none" w:pos="66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Claimant’s Name:</w:t>
      </w:r>
    </w:p>
    <w:p>
      <w:pPr>
        <w:spacing w:after="0" w:line="333" w:lineRule="exact"/>
        <w:rPr>
          <w:rFonts w:ascii="Arial" w:cs="Arial" w:eastAsia="Arial" w:hAnsi="Arial"/>
          <w:sz w:val="18"/>
          <w:szCs w:val="18"/>
          <w:color w:val="auto"/>
        </w:rPr>
      </w:pPr>
    </w:p>
    <w:p>
      <w:pPr>
        <w:ind w:left="665"/>
        <w:spacing w:after="0"/>
        <w:rPr>
          <w:rFonts w:ascii="Arial" w:cs="Arial" w:eastAsia="Arial" w:hAnsi="Arial"/>
          <w:sz w:val="18"/>
          <w:szCs w:val="18"/>
          <w:color w:val="auto"/>
        </w:rPr>
      </w:pPr>
      <w:r>
        <w:rPr>
          <w:rFonts w:ascii="Arial" w:cs="Arial" w:eastAsia="Arial" w:hAnsi="Arial"/>
          <w:sz w:val="18"/>
          <w:szCs w:val="18"/>
          <w:color w:val="auto"/>
        </w:rPr>
        <w:t>Other names by which Claimant has been known (from prior marriages or otherwise, if any):</w:t>
      </w:r>
    </w:p>
    <w:p>
      <w:pPr>
        <w:sectPr>
          <w:pgSz w:w="11900" w:h="16838" w:orient="portrait"/>
          <w:cols w:equalWidth="0" w:num="1">
            <w:col w:w="9644"/>
          </w:cols>
          <w:pgMar w:left="815" w:top="1440" w:right="1440" w:bottom="1440" w:gutter="0" w:footer="0" w:header="0"/>
        </w:sectPr>
      </w:pPr>
    </w:p>
    <w:bookmarkStart w:id="166" w:name="page167"/>
    <w:bookmarkEnd w:id="166"/>
    <w:p>
      <w:pPr>
        <w:spacing w:after="0" w:line="387" w:lineRule="exact"/>
        <w:rPr>
          <w:sz w:val="20"/>
          <w:szCs w:val="20"/>
          <w:color w:val="auto"/>
        </w:rPr>
      </w:pPr>
    </w:p>
    <w:p>
      <w:pPr>
        <w:ind w:left="1160" w:hanging="665"/>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Sex:</w:t>
      </w:r>
    </w:p>
    <w:p>
      <w:pPr>
        <w:spacing w:after="0" w:line="306" w:lineRule="exact"/>
        <w:rPr>
          <w:rFonts w:ascii="Arial" w:cs="Arial" w:eastAsia="Arial" w:hAnsi="Arial"/>
          <w:sz w:val="18"/>
          <w:szCs w:val="18"/>
          <w:color w:val="auto"/>
        </w:rPr>
      </w:pPr>
    </w:p>
    <w:p>
      <w:pPr>
        <w:ind w:left="1160" w:hanging="665"/>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Race:</w:t>
      </w:r>
    </w:p>
    <w:p>
      <w:pPr>
        <w:spacing w:after="0" w:line="306" w:lineRule="exact"/>
        <w:rPr>
          <w:rFonts w:ascii="Arial" w:cs="Arial" w:eastAsia="Arial" w:hAnsi="Arial"/>
          <w:sz w:val="18"/>
          <w:szCs w:val="18"/>
          <w:color w:val="auto"/>
        </w:rPr>
      </w:pPr>
    </w:p>
    <w:p>
      <w:pPr>
        <w:ind w:left="1160" w:hanging="665"/>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Social Security Number:</w:t>
      </w:r>
    </w:p>
    <w:p>
      <w:pPr>
        <w:spacing w:after="0" w:line="306" w:lineRule="exact"/>
        <w:rPr>
          <w:rFonts w:ascii="Arial" w:cs="Arial" w:eastAsia="Arial" w:hAnsi="Arial"/>
          <w:sz w:val="18"/>
          <w:szCs w:val="18"/>
          <w:color w:val="auto"/>
        </w:rPr>
      </w:pPr>
    </w:p>
    <w:p>
      <w:pPr>
        <w:ind w:left="1160" w:hanging="650"/>
        <w:spacing w:after="0"/>
        <w:tabs>
          <w:tab w:leader="none" w:pos="11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Driver’s license number and state issuing license (if you have had driver’s licenses in more than one state, list response for each state):</w:t>
      </w:r>
    </w:p>
    <w:p>
      <w:pPr>
        <w:spacing w:after="0" w:line="200" w:lineRule="exact"/>
        <w:rPr>
          <w:sz w:val="20"/>
          <w:szCs w:val="20"/>
          <w:color w:val="auto"/>
        </w:rPr>
      </w:pPr>
    </w:p>
    <w:p>
      <w:pPr>
        <w:spacing w:after="0" w:line="291" w:lineRule="exact"/>
        <w:rPr>
          <w:sz w:val="20"/>
          <w:szCs w:val="20"/>
          <w:color w:val="auto"/>
        </w:rPr>
      </w:pPr>
    </w:p>
    <w:p>
      <w:pPr>
        <w:ind w:left="1160" w:hanging="665"/>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Date and place of birth (City, State, Country):</w:t>
      </w:r>
    </w:p>
    <w:p>
      <w:pPr>
        <w:spacing w:after="0" w:line="200" w:lineRule="exact"/>
        <w:rPr>
          <w:sz w:val="20"/>
          <w:szCs w:val="20"/>
          <w:color w:val="auto"/>
        </w:rPr>
      </w:pP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“YOU” AND “YOUR” REFERENCED IN SECTIONS III-VI OF THIS CLAIMANT FACT SHEET REQUEST INFORMATION</w:t>
      </w:r>
    </w:p>
    <w:p>
      <w:pPr>
        <w:spacing w:after="0" w:line="2" w:lineRule="exact"/>
        <w:rPr>
          <w:sz w:val="20"/>
          <w:szCs w:val="20"/>
          <w:color w:val="auto"/>
        </w:rPr>
      </w:pPr>
    </w:p>
    <w:p>
      <w:pPr>
        <w:jc w:val="both"/>
        <w:ind w:left="520"/>
        <w:spacing w:after="0" w:line="229" w:lineRule="auto"/>
        <w:rPr>
          <w:sz w:val="20"/>
          <w:szCs w:val="20"/>
          <w:color w:val="auto"/>
        </w:rPr>
      </w:pPr>
      <w:r>
        <w:rPr>
          <w:rFonts w:ascii="Arial" w:cs="Arial" w:eastAsia="Arial" w:hAnsi="Arial"/>
          <w:sz w:val="18"/>
          <w:szCs w:val="18"/>
          <w:b w:val="1"/>
          <w:bCs w:val="1"/>
          <w:color w:val="auto"/>
        </w:rPr>
        <w:t>ABOUT THE CLAIMANT, OR, IF THE CLAIMANT IS SOMEONE BRINGING A CLAIM IN A REPRESENTATIVE OR DERIVATIVE CAPACITY, THE PERSON ALLEGEDLY INJURED BY ETHYLENE OXIDE FROM WHOM THE CLAIM DERIVES, UNLESS OTHERWISE SPECIFIED.</w:t>
      </w:r>
      <w:r>
        <w:rPr>
          <w:rFonts w:ascii="Arial" w:cs="Arial" w:eastAsia="Arial" w:hAnsi="Arial"/>
          <w:sz w:val="23"/>
          <w:szCs w:val="23"/>
          <w:b w:val="1"/>
          <w:bCs w:val="1"/>
          <w:color w:val="auto"/>
          <w:vertAlign w:val="superscript"/>
        </w:rPr>
        <w:t>2</w:t>
      </w:r>
    </w:p>
    <w:p>
      <w:pPr>
        <w:spacing w:after="0" w:line="291" w:lineRule="exact"/>
        <w:rPr>
          <w:sz w:val="20"/>
          <w:szCs w:val="20"/>
          <w:color w:val="auto"/>
        </w:rPr>
      </w:pPr>
    </w:p>
    <w:p>
      <w:pPr>
        <w:ind w:left="3680" w:hanging="489"/>
        <w:spacing w:after="0"/>
        <w:tabs>
          <w:tab w:leader="none" w:pos="3680" w:val="left"/>
        </w:tabs>
        <w:numPr>
          <w:ilvl w:val="2"/>
          <w:numId w:val="2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 INFORMATION</w:t>
      </w:r>
    </w:p>
    <w:p>
      <w:pPr>
        <w:spacing w:after="0" w:line="229" w:lineRule="exact"/>
        <w:rPr>
          <w:rFonts w:ascii="Arial" w:cs="Arial" w:eastAsia="Arial" w:hAnsi="Arial"/>
          <w:sz w:val="18"/>
          <w:szCs w:val="18"/>
          <w:b w:val="1"/>
          <w:bCs w:val="1"/>
          <w:color w:val="auto"/>
        </w:rPr>
      </w:pPr>
    </w:p>
    <w:p>
      <w:pPr>
        <w:ind w:left="1160" w:right="780" w:hanging="650"/>
        <w:spacing w:after="0" w:line="262" w:lineRule="auto"/>
        <w:tabs>
          <w:tab w:leader="none" w:pos="115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Have you suffered any physical injuries or illness as a result of your alleged ethylene oxide exposure from the Willowbrook facility as described in III below?</w:t>
      </w:r>
    </w:p>
    <w:p>
      <w:pPr>
        <w:spacing w:after="0" w:line="1" w:lineRule="exact"/>
        <w:rPr>
          <w:rFonts w:ascii="Arial" w:cs="Arial" w:eastAsia="Arial" w:hAnsi="Arial"/>
          <w:sz w:val="18"/>
          <w:szCs w:val="18"/>
          <w:color w:val="auto"/>
        </w:rPr>
      </w:pPr>
    </w:p>
    <w:p>
      <w:pPr>
        <w:ind w:left="11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If yes, </w:t>
      </w:r>
      <w:r>
        <w:rPr>
          <w:rFonts w:ascii="Arial" w:cs="Arial" w:eastAsia="Arial" w:hAnsi="Arial"/>
          <w:sz w:val="18"/>
          <w:szCs w:val="18"/>
          <w:color w:val="auto"/>
        </w:rPr>
        <w:t>please describe in detail the following:</w:t>
      </w:r>
    </w:p>
    <w:p>
      <w:pPr>
        <w:spacing w:after="0" w:line="238"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 xml:space="preserve">The diagnosis or illness claimed </w:t>
      </w:r>
      <w:r>
        <w:rPr>
          <w:rFonts w:ascii="Arial" w:cs="Arial" w:eastAsia="Arial" w:hAnsi="Arial"/>
          <w:sz w:val="16"/>
          <w:szCs w:val="16"/>
          <w:b w:val="1"/>
          <w:bCs w:val="1"/>
          <w:color w:val="auto"/>
        </w:rPr>
        <w:t>and</w:t>
      </w:r>
      <w:r>
        <w:rPr>
          <w:rFonts w:ascii="Arial" w:cs="Arial" w:eastAsia="Arial" w:hAnsi="Arial"/>
          <w:sz w:val="16"/>
          <w:szCs w:val="16"/>
          <w:color w:val="auto"/>
        </w:rPr>
        <w:t xml:space="preserve"> when any corresponding symptoms first began.</w:t>
      </w:r>
    </w:p>
    <w:p>
      <w:pPr>
        <w:spacing w:after="0" w:line="242" w:lineRule="exact"/>
        <w:rPr>
          <w:rFonts w:ascii="Arial" w:cs="Arial" w:eastAsia="Arial" w:hAnsi="Arial"/>
          <w:sz w:val="18"/>
          <w:szCs w:val="18"/>
          <w:color w:val="auto"/>
        </w:rPr>
      </w:pPr>
    </w:p>
    <w:p>
      <w:pPr>
        <w:ind w:left="1800" w:right="600"/>
        <w:spacing w:after="0" w:line="259" w:lineRule="auto"/>
        <w:rPr>
          <w:rFonts w:ascii="Arial" w:cs="Arial" w:eastAsia="Arial" w:hAnsi="Arial"/>
          <w:sz w:val="18"/>
          <w:szCs w:val="18"/>
          <w:color w:val="auto"/>
        </w:rPr>
      </w:pPr>
      <w:r>
        <w:rPr>
          <w:rFonts w:ascii="Arial" w:cs="Arial" w:eastAsia="Arial" w:hAnsi="Arial"/>
          <w:sz w:val="16"/>
          <w:szCs w:val="16"/>
          <w:u w:val="single" w:color="auto"/>
          <w:color w:val="auto"/>
        </w:rPr>
        <w:t>Special instructions:</w:t>
      </w:r>
      <w:r>
        <w:rPr>
          <w:rFonts w:ascii="Arial" w:cs="Arial" w:eastAsia="Arial" w:hAnsi="Arial"/>
          <w:sz w:val="16"/>
          <w:szCs w:val="16"/>
          <w:color w:val="auto"/>
        </w:rPr>
        <w:t xml:space="preserve"> Please describe the nature and extent of the claimed diagnosis or injury with specificity. For example, for a cancer-related injury, it is important to write down the type and stage of cancer claimed. Similarly, if a miscarriage-related injury is claimed, please specify the number and type of miscarriage to the extent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36" w:lineRule="exact"/>
        <w:rPr>
          <w:sz w:val="20"/>
          <w:szCs w:val="20"/>
          <w:color w:val="auto"/>
        </w:rPr>
      </w:pPr>
    </w:p>
    <w:p>
      <w:pPr>
        <w:ind w:left="100" w:right="60" w:firstLine="6"/>
        <w:spacing w:after="0" w:line="206" w:lineRule="auto"/>
        <w:tabs>
          <w:tab w:leader="none" w:pos="203" w:val="left"/>
        </w:tabs>
        <w:numPr>
          <w:ilvl w:val="0"/>
          <w:numId w:val="242"/>
        </w:numPr>
        <w:rPr>
          <w:rFonts w:ascii="Arial" w:cs="Arial" w:eastAsia="Arial" w:hAnsi="Arial"/>
          <w:sz w:val="23"/>
          <w:szCs w:val="23"/>
          <w:color w:val="auto"/>
          <w:vertAlign w:val="superscript"/>
        </w:rPr>
      </w:pPr>
      <w:r>
        <w:rPr>
          <w:rFonts w:ascii="Arial" w:cs="Arial" w:eastAsia="Arial" w:hAnsi="Arial"/>
          <w:sz w:val="18"/>
          <w:szCs w:val="18"/>
          <w:color w:val="auto"/>
        </w:rPr>
        <w:t>For example, if the Claimant is someone who has asserted a loss of consortium claim derived from injuries suffered by his spouse, Sections III-VII should contain information relating to the allegedly injured spouse.</w:t>
      </w:r>
    </w:p>
    <w:p>
      <w:pPr>
        <w:sectPr>
          <w:pgSz w:w="11900" w:h="16838" w:orient="portrait"/>
          <w:cols w:equalWidth="0" w:num="1">
            <w:col w:w="10840"/>
          </w:cols>
          <w:pgMar w:left="320" w:top="1440" w:right="739" w:bottom="826" w:gutter="0" w:footer="0" w:header="0"/>
        </w:sectPr>
      </w:pPr>
    </w:p>
    <w:bookmarkStart w:id="167" w:name="page168"/>
    <w:bookmarkEnd w:id="167"/>
    <w:p>
      <w:pPr>
        <w:ind w:left="1362" w:right="120" w:hanging="655"/>
        <w:spacing w:after="0" w:line="308" w:lineRule="auto"/>
        <w:tabs>
          <w:tab w:leader="none" w:pos="13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When did you first receive a diagnosis, if any, of the injuries or illnesses or occurrences identified in II(1)(a) above? Please insert the month, day (if available), and year (MM/DD/YYYY) of diagnosis for each injury or illness.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362" w:hanging="641"/>
        <w:spacing w:after="0" w:line="277" w:lineRule="auto"/>
        <w:tabs>
          <w:tab w:leader="none" w:pos="135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you claim to have experienced symptoms before the date of diagnosis in part II(1)(a) above, please describe the symptoms and their dates of onset.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2"/>
        <w:spacing w:after="0"/>
        <w:tabs>
          <w:tab w:leader="none" w:pos="3321"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u w:val="single" w:color="auto"/>
          <w:color w:val="auto"/>
        </w:rPr>
        <w:t>EXPOSURE HISTORY</w:t>
      </w:r>
    </w:p>
    <w:p>
      <w:pPr>
        <w:spacing w:after="0" w:line="243" w:lineRule="exact"/>
        <w:rPr>
          <w:sz w:val="20"/>
          <w:szCs w:val="20"/>
          <w:color w:val="auto"/>
        </w:rPr>
      </w:pPr>
    </w:p>
    <w:p>
      <w:pPr>
        <w:ind w:left="722" w:right="360" w:hanging="722"/>
        <w:spacing w:after="0" w:line="256" w:lineRule="auto"/>
        <w:tabs>
          <w:tab w:leader="none" w:pos="31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Identify any and all residences, places of employment, schools, or other locations where you were allegedly exposed to ethylene oxide from the Willowbrook Facility, by name to the extent applicable (e.g. business or school), address, and dates of exposure (i.e., MM/DD/YYYY-MM/DD/YYYY).</w:t>
      </w:r>
    </w:p>
    <w:p>
      <w:pPr>
        <w:spacing w:after="0" w:line="202" w:lineRule="exact"/>
        <w:rPr>
          <w:sz w:val="20"/>
          <w:szCs w:val="20"/>
          <w:color w:val="auto"/>
        </w:rPr>
      </w:pPr>
    </w:p>
    <w:p>
      <w:pPr>
        <w:ind w:left="722"/>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28" w:lineRule="exact"/>
        <w:rPr>
          <w:sz w:val="20"/>
          <w:szCs w:val="20"/>
          <w:color w:val="auto"/>
        </w:rPr>
      </w:pPr>
    </w:p>
    <w:p>
      <w:pPr>
        <w:ind w:left="722"/>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28" w:lineRule="exact"/>
        <w:rPr>
          <w:sz w:val="20"/>
          <w:szCs w:val="20"/>
          <w:color w:val="auto"/>
        </w:rPr>
      </w:pPr>
    </w:p>
    <w:p>
      <w:pPr>
        <w:ind w:left="722"/>
        <w:spacing w:after="0"/>
        <w:rPr>
          <w:sz w:val="20"/>
          <w:szCs w:val="20"/>
          <w:color w:val="auto"/>
        </w:rPr>
      </w:pPr>
      <w:r>
        <w:rPr>
          <w:rFonts w:ascii="Arial" w:cs="Arial" w:eastAsia="Arial" w:hAnsi="Arial"/>
          <w:sz w:val="18"/>
          <w:szCs w:val="18"/>
          <w:color w:val="auto"/>
        </w:rPr>
        <w:t>c.</w:t>
      </w:r>
    </w:p>
    <w:p>
      <w:pPr>
        <w:spacing w:after="0" w:line="200" w:lineRule="exact"/>
        <w:rPr>
          <w:sz w:val="20"/>
          <w:szCs w:val="20"/>
          <w:color w:val="auto"/>
        </w:rPr>
      </w:pPr>
    </w:p>
    <w:p>
      <w:pPr>
        <w:spacing w:after="0" w:line="318" w:lineRule="exact"/>
        <w:rPr>
          <w:sz w:val="20"/>
          <w:szCs w:val="20"/>
          <w:color w:val="auto"/>
        </w:rPr>
      </w:pPr>
    </w:p>
    <w:p>
      <w:pPr>
        <w:ind w:left="2622" w:hanging="618"/>
        <w:spacing w:after="0"/>
        <w:tabs>
          <w:tab w:leader="none" w:pos="2622"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CURRENT MEDICAL CONDITION(S)</w:t>
      </w:r>
    </w:p>
    <w:p>
      <w:pPr>
        <w:spacing w:after="0" w:line="215" w:lineRule="exact"/>
        <w:rPr>
          <w:rFonts w:ascii="Arial" w:cs="Arial" w:eastAsia="Arial" w:hAnsi="Arial"/>
          <w:sz w:val="18"/>
          <w:szCs w:val="18"/>
          <w:b w:val="1"/>
          <w:bCs w:val="1"/>
          <w:color w:val="auto"/>
        </w:rPr>
      </w:pPr>
    </w:p>
    <w:p>
      <w:pPr>
        <w:ind w:left="642" w:right="20" w:hanging="555"/>
        <w:spacing w:after="0" w:line="243" w:lineRule="auto"/>
        <w:tabs>
          <w:tab w:leader="none" w:pos="63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Do you currently suffer from any physical injuries, illnesses or disabilities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those alleged to be the result of the Willowbrook facility’s ethylene oxide emissions identified in II(1)(a) above?</w:t>
      </w:r>
    </w:p>
    <w:p>
      <w:pPr>
        <w:ind w:left="3682"/>
        <w:spacing w:after="0" w:line="207" w:lineRule="exact"/>
        <w:tabs>
          <w:tab w:leader="none" w:pos="4101"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07" w:lineRule="exact"/>
        <w:rPr>
          <w:sz w:val="20"/>
          <w:szCs w:val="20"/>
          <w:color w:val="auto"/>
        </w:rPr>
      </w:pPr>
    </w:p>
    <w:p>
      <w:pPr>
        <w:ind w:left="642" w:hanging="560"/>
        <w:spacing w:after="0"/>
        <w:tabs>
          <w:tab w:leader="none" w:pos="642"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list each injury(ies), illness, or disability: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42"/>
        <w:spacing w:after="0"/>
        <w:tabs>
          <w:tab w:leader="none" w:pos="3461"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MEDICAL HISTORY</w:t>
      </w:r>
    </w:p>
    <w:p>
      <w:pPr>
        <w:spacing w:after="0" w:line="243" w:lineRule="exact"/>
        <w:rPr>
          <w:sz w:val="20"/>
          <w:szCs w:val="20"/>
          <w:color w:val="auto"/>
        </w:rPr>
      </w:pPr>
    </w:p>
    <w:p>
      <w:pPr>
        <w:ind w:left="642" w:right="380" w:hanging="560"/>
        <w:spacing w:after="0" w:line="256" w:lineRule="auto"/>
        <w:tabs>
          <w:tab w:leader="none" w:pos="64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Please describe any other medical symptoms or conditions that have experienced or been diagnosed with during the last 15 years, besides those alleged to be attributable to ethylene oxide exposure in Part II above. For each symptom or condition listed, please indicate the approximate date of onset and diagnosis.</w:t>
      </w:r>
    </w:p>
    <w:p>
      <w:pPr>
        <w:spacing w:after="0" w:line="387" w:lineRule="exact"/>
        <w:rPr>
          <w:sz w:val="20"/>
          <w:szCs w:val="20"/>
          <w:color w:val="auto"/>
        </w:rPr>
      </w:pPr>
    </w:p>
    <w:p>
      <w:pPr>
        <w:ind w:left="2662"/>
        <w:spacing w:after="0"/>
        <w:tabs>
          <w:tab w:leader="none" w:pos="3281"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u w:val="single" w:color="auto"/>
          <w:color w:val="auto"/>
        </w:rPr>
        <w:t>LOSS OF CONSORTIUM</w:t>
      </w:r>
    </w:p>
    <w:p>
      <w:pPr>
        <w:spacing w:after="0" w:line="229" w:lineRule="exact"/>
        <w:rPr>
          <w:sz w:val="20"/>
          <w:szCs w:val="20"/>
          <w:color w:val="auto"/>
        </w:rPr>
      </w:pPr>
    </w:p>
    <w:p>
      <w:pPr>
        <w:ind w:left="3682" w:right="120" w:hanging="3600"/>
        <w:spacing w:after="0" w:line="314" w:lineRule="exact"/>
        <w:tabs>
          <w:tab w:leader="none" w:pos="6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Are you a Plaintiff who claims loss of consortium based on a family member who was allegedly injured by ethylene oxide exposure?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rFonts w:ascii="Arial" w:cs="Arial" w:eastAsia="Arial" w:hAnsi="Arial"/>
          <w:sz w:val="18"/>
          <w:szCs w:val="18"/>
          <w:color w:val="auto"/>
        </w:rPr>
      </w:pPr>
    </w:p>
    <w:p>
      <w:pPr>
        <w:ind w:left="642" w:hanging="555"/>
        <w:spacing w:after="0"/>
        <w:tabs>
          <w:tab w:leader="none" w:pos="64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yes, please describe each injury(ies), illness, or disability you claim to have suffered: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62"/>
        <w:spacing w:after="0"/>
        <w:tabs>
          <w:tab w:leader="none" w:pos="3281"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8"/>
          <w:szCs w:val="18"/>
          <w:b w:val="1"/>
          <w:bCs w:val="1"/>
          <w:u w:val="single" w:color="auto"/>
          <w:color w:val="auto"/>
        </w:rPr>
        <w:t>DECEASED INDIVIDUALS</w:t>
      </w:r>
    </w:p>
    <w:p>
      <w:pPr>
        <w:spacing w:after="0" w:line="243" w:lineRule="exact"/>
        <w:rPr>
          <w:sz w:val="20"/>
          <w:szCs w:val="20"/>
          <w:color w:val="auto"/>
        </w:rPr>
      </w:pPr>
    </w:p>
    <w:p>
      <w:pPr>
        <w:ind w:left="642" w:right="4180" w:hanging="642"/>
        <w:spacing w:after="0" w:line="327" w:lineRule="exact"/>
        <w:tabs>
          <w:tab w:leader="none" w:pos="64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Are you filling out this form out on behalf of an individual who is deceased?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0342"/>
          </w:cols>
          <w:pgMar w:left="758" w:top="1394" w:right="799" w:bottom="1440" w:gutter="0" w:footer="0" w:header="0"/>
        </w:sectPr>
      </w:pPr>
    </w:p>
    <w:bookmarkStart w:id="168" w:name="page169"/>
    <w:bookmarkEnd w:id="168"/>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attach a copy of the death certificate and a copy of the letter of administration:</w:t>
      </w:r>
    </w:p>
    <w:p>
      <w:pPr>
        <w:spacing w:after="0" w:line="202" w:lineRule="exact"/>
        <w:rPr>
          <w:sz w:val="20"/>
          <w:szCs w:val="20"/>
          <w:color w:val="auto"/>
        </w:rPr>
      </w:pPr>
    </w:p>
    <w:p>
      <w:pPr>
        <w:ind w:left="940" w:hanging="299"/>
        <w:spacing w:after="0"/>
        <w:tabs>
          <w:tab w:leader="none" w:pos="9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Date of death:</w:t>
      </w:r>
    </w:p>
    <w:p>
      <w:pPr>
        <w:spacing w:after="0" w:line="198" w:lineRule="exact"/>
        <w:rPr>
          <w:sz w:val="20"/>
          <w:szCs w:val="20"/>
          <w:color w:val="auto"/>
        </w:rPr>
      </w:pPr>
    </w:p>
    <w:p>
      <w:pPr>
        <w:ind w:left="1000" w:hanging="359"/>
        <w:spacing w:after="0"/>
        <w:tabs>
          <w:tab w:leader="none" w:pos="10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Place of death (city, state and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20"/>
        <w:spacing w:after="0"/>
        <w:tabs>
          <w:tab w:leader="none" w:pos="38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VERIFICATION</w:t>
      </w:r>
    </w:p>
    <w:p>
      <w:pPr>
        <w:spacing w:after="0" w:line="243" w:lineRule="exact"/>
        <w:rPr>
          <w:sz w:val="20"/>
          <w:szCs w:val="20"/>
          <w:color w:val="auto"/>
        </w:rPr>
      </w:pPr>
    </w:p>
    <w:p>
      <w:pPr>
        <w:ind w:left="20" w:firstLine="649"/>
        <w:spacing w:after="0" w:line="256" w:lineRule="auto"/>
        <w:rPr>
          <w:sz w:val="20"/>
          <w:szCs w:val="20"/>
          <w:color w:val="auto"/>
        </w:rPr>
      </w:pPr>
      <w:r>
        <w:rPr>
          <w:rFonts w:ascii="Arial" w:cs="Arial" w:eastAsia="Arial" w:hAnsi="Arial"/>
          <w:sz w:val="18"/>
          <w:szCs w:val="18"/>
          <w:color w:val="auto"/>
        </w:rPr>
        <w:t>Under the penalties as provided by law pursuant to Section 1 -109 of the Illinois Code of Civil Procedure, the undersigned certifies that the statements set forth in this Plaintiff Fact Sheet are true and correct. This certification shall have the same effect as a verification provided and sworn under oath.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w:t>
      </w:r>
    </w:p>
    <w:p>
      <w:pPr>
        <w:ind w:left="4320"/>
        <w:spacing w:after="0"/>
        <w:rPr>
          <w:sz w:val="20"/>
          <w:szCs w:val="20"/>
          <w:color w:val="auto"/>
        </w:rPr>
      </w:pPr>
      <w:r>
        <w:rPr>
          <w:rFonts w:ascii="Arial" w:cs="Arial" w:eastAsia="Arial" w:hAnsi="Arial"/>
          <w:sz w:val="18"/>
          <w:szCs w:val="18"/>
          <w:color w:val="auto"/>
        </w:rPr>
        <w:t>Signature_____________________________</w:t>
      </w:r>
    </w:p>
    <w:p>
      <w:pPr>
        <w:spacing w:after="0" w:line="200" w:lineRule="exact"/>
        <w:rPr>
          <w:sz w:val="20"/>
          <w:szCs w:val="20"/>
          <w:color w:val="auto"/>
        </w:rPr>
      </w:pPr>
    </w:p>
    <w:p>
      <w:pPr>
        <w:spacing w:after="0" w:line="34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Print Name____________________________</w:t>
      </w:r>
    </w:p>
    <w:p>
      <w:pPr>
        <w:sectPr>
          <w:pgSz w:w="11900" w:h="16838" w:orient="portrait"/>
          <w:cols w:equalWidth="0" w:num="1">
            <w:col w:w="10400"/>
          </w:cols>
          <w:pgMar w:left="740" w:top="1440" w:right="759" w:bottom="1440" w:gutter="0" w:footer="0" w:header="0"/>
        </w:sectPr>
      </w:pPr>
    </w:p>
    <w:bookmarkStart w:id="169" w:name="page170"/>
    <w:bookmarkEnd w:id="169"/>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Mental Health Addendum</w:t>
      </w:r>
    </w:p>
    <w:p>
      <w:pPr>
        <w:spacing w:after="0" w:line="200" w:lineRule="exact"/>
        <w:rPr>
          <w:sz w:val="20"/>
          <w:szCs w:val="20"/>
          <w:color w:val="auto"/>
        </w:rPr>
      </w:pPr>
    </w:p>
    <w:p>
      <w:pPr>
        <w:spacing w:after="0" w:line="24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INSTRUCTIONS: If your response to any question in this Claimant Fact Sheet exceeds the space limitation provided in these fillable PDF forms, you must attach additional pages and identify the questions the additional information answers.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CIRCUIT COURT OF COOK COUNTY,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 COUNTY DEPARTMENT, LAW DIVISION</w:t>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472"/>
        </w:trPr>
        <w:tc>
          <w:tcPr>
            <w:tcW w:w="5420" w:type="dxa"/>
            <w:vAlign w:val="bottom"/>
            <w:tcBorders>
              <w:right w:val="single" w:sz="8" w:color="auto"/>
            </w:tcBorders>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8"/>
                <w:szCs w:val="18"/>
                <w:color w:val="auto"/>
                <w:w w:val="91"/>
              </w:rPr>
              <w:t>Consolidated for Pretrial and Discovery Purposes Under No. 18</w:t>
            </w:r>
          </w:p>
        </w:tc>
      </w:tr>
      <w:tr>
        <w:trPr>
          <w:trHeight w:val="257"/>
        </w:trPr>
        <w:tc>
          <w:tcPr>
            <w:tcW w:w="5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RE: WILLOWBROOK ETHYLENE OXIDE LITIGATION</w:t>
            </w:r>
          </w:p>
        </w:tc>
        <w:tc>
          <w:tcPr>
            <w:tcW w:w="5060" w:type="dxa"/>
            <w:vAlign w:val="bottom"/>
          </w:tcPr>
          <w:p>
            <w:pPr>
              <w:ind w:left="440"/>
              <w:spacing w:after="0"/>
              <w:rPr>
                <w:sz w:val="20"/>
                <w:szCs w:val="20"/>
                <w:color w:val="auto"/>
              </w:rPr>
            </w:pPr>
            <w:r>
              <w:rPr>
                <w:rFonts w:ascii="Arial" w:cs="Arial" w:eastAsia="Arial" w:hAnsi="Arial"/>
                <w:sz w:val="18"/>
                <w:szCs w:val="18"/>
                <w:color w:val="auto"/>
              </w:rPr>
              <w:t>L 10475</w:t>
            </w:r>
          </w:p>
        </w:tc>
      </w:tr>
      <w:tr>
        <w:trPr>
          <w:trHeight w:val="27"/>
        </w:trPr>
        <w:tc>
          <w:tcPr>
            <w:tcW w:w="542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MENTAL HEALTH CARE ADDENDUM TO CLAIMANT FACT SHEET</w:t>
      </w:r>
    </w:p>
    <w:p>
      <w:pPr>
        <w:spacing w:after="0" w:line="229" w:lineRule="exact"/>
        <w:rPr>
          <w:sz w:val="20"/>
          <w:szCs w:val="20"/>
          <w:color w:val="auto"/>
        </w:rPr>
      </w:pPr>
    </w:p>
    <w:p>
      <w:pPr>
        <w:jc w:val="both"/>
        <w:ind w:left="120" w:right="200" w:firstLine="649"/>
        <w:spacing w:after="0" w:line="241" w:lineRule="auto"/>
        <w:rPr>
          <w:sz w:val="20"/>
          <w:szCs w:val="20"/>
          <w:color w:val="auto"/>
        </w:rPr>
      </w:pPr>
      <w:r>
        <w:rPr>
          <w:rFonts w:ascii="Arial" w:cs="Arial" w:eastAsia="Arial" w:hAnsi="Arial"/>
          <w:sz w:val="16"/>
          <w:szCs w:val="16"/>
          <w:color w:val="auto"/>
        </w:rPr>
        <w:t>This Mental Health Care Addendum (“Addendum”) must be completed by or on behalf of each Opt-Out Claimant or Non-Participating Claimant, who has claimed on the Claimant Fact Sheet any psychological or psychiatric injury as a consequence of the Claimant’s alleged ethylene oxide exposure from the Willowbrook facility. The terms “psychological or psychiatric injury” and “psychological or psychiatric condition” include but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not limited to depressive disorders, anxiety disorders, and/or trauma- and stressor-related psychological or psychiatric disorders.</w:t>
      </w:r>
    </w:p>
    <w:p>
      <w:pPr>
        <w:spacing w:after="0" w:line="196"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All capitalized terms used but not otherwise defined herein shall have the meanings ascribed to them in the Willowbrook Group Settlement Agreement dated March 28, 2023, to which this Exhibit F is attached.</w:t>
      </w:r>
    </w:p>
    <w:p>
      <w:pPr>
        <w:spacing w:after="0" w:line="216" w:lineRule="exact"/>
        <w:rPr>
          <w:sz w:val="20"/>
          <w:szCs w:val="20"/>
          <w:color w:val="auto"/>
        </w:rPr>
      </w:pPr>
    </w:p>
    <w:p>
      <w:pPr>
        <w:ind w:left="120" w:right="640" w:firstLine="649"/>
        <w:spacing w:after="0" w:line="277" w:lineRule="auto"/>
        <w:rPr>
          <w:sz w:val="20"/>
          <w:szCs w:val="20"/>
          <w:color w:val="auto"/>
        </w:rPr>
      </w:pPr>
      <w:r>
        <w:rPr>
          <w:rFonts w:ascii="Arial" w:cs="Arial" w:eastAsia="Arial" w:hAnsi="Arial"/>
          <w:sz w:val="18"/>
          <w:szCs w:val="18"/>
          <w:color w:val="auto"/>
        </w:rPr>
        <w:t>The terms YOU and YOUR below refer to the Claimant, or, if the Claimant is someone bringing a claim in a representative or derivative capacity, the person allegedly injured by ethylene oxide and from whom the claim derives.</w:t>
      </w:r>
    </w:p>
    <w:p>
      <w:pPr>
        <w:spacing w:after="0" w:line="180" w:lineRule="exact"/>
        <w:rPr>
          <w:sz w:val="20"/>
          <w:szCs w:val="20"/>
          <w:color w:val="auto"/>
        </w:rPr>
      </w:pPr>
    </w:p>
    <w:p>
      <w:pPr>
        <w:ind w:left="3520" w:hanging="648"/>
        <w:spacing w:after="0"/>
        <w:tabs>
          <w:tab w:leader="none" w:pos="3520" w:val="left"/>
        </w:tabs>
        <w:numPr>
          <w:ilvl w:val="1"/>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CASE INFORMATION</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760" w:hanging="643"/>
        <w:spacing w:after="0"/>
        <w:tabs>
          <w:tab w:leader="none" w:pos="7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Name of person on whose behalf this Addendum is being prepared (first, middle, last):</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760" w:hanging="643"/>
        <w:spacing w:after="0"/>
        <w:tabs>
          <w:tab w:leader="none" w:pos="7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Name of person completing this form:</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2920"/>
        <w:spacing w:after="0"/>
        <w:rPr>
          <w:rFonts w:ascii="Arial" w:cs="Arial" w:eastAsia="Arial" w:hAnsi="Arial"/>
          <w:sz w:val="18"/>
          <w:szCs w:val="18"/>
          <w:color w:val="auto"/>
        </w:rPr>
      </w:pPr>
      <w:r>
        <w:rPr>
          <w:rFonts w:ascii="Arial" w:cs="Arial" w:eastAsia="Arial" w:hAnsi="Arial"/>
          <w:sz w:val="18"/>
          <w:szCs w:val="18"/>
          <w:b w:val="1"/>
          <w:bCs w:val="1"/>
          <w:color w:val="auto"/>
        </w:rPr>
        <w:t xml:space="preserve">II.  </w:t>
      </w:r>
      <w:r>
        <w:rPr>
          <w:rFonts w:ascii="Arial" w:cs="Arial" w:eastAsia="Arial" w:hAnsi="Arial"/>
          <w:sz w:val="18"/>
          <w:szCs w:val="18"/>
          <w:b w:val="1"/>
          <w:bCs w:val="1"/>
          <w:u w:val="single" w:color="auto"/>
          <w:color w:val="auto"/>
        </w:rPr>
        <w:t>PSYCHOLOGICAL AND/OR PSYCHIATRIC INJURY(IES)</w:t>
      </w:r>
    </w:p>
    <w:p>
      <w:pPr>
        <w:spacing w:after="0" w:line="200" w:lineRule="exact"/>
        <w:rPr>
          <w:sz w:val="20"/>
          <w:szCs w:val="20"/>
          <w:color w:val="auto"/>
        </w:rPr>
      </w:pPr>
    </w:p>
    <w:p>
      <w:pPr>
        <w:spacing w:after="0" w:line="272" w:lineRule="exact"/>
        <w:rPr>
          <w:sz w:val="20"/>
          <w:szCs w:val="20"/>
          <w:color w:val="auto"/>
        </w:rPr>
      </w:pPr>
    </w:p>
    <w:p>
      <w:pPr>
        <w:ind w:left="760" w:hanging="643"/>
        <w:spacing w:after="0"/>
        <w:tabs>
          <w:tab w:leader="none" w:pos="7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Please describe in detail the following:</w:t>
      </w:r>
    </w:p>
    <w:p>
      <w:pPr>
        <w:spacing w:after="0" w:line="211" w:lineRule="exact"/>
        <w:rPr>
          <w:rFonts w:ascii="Arial" w:cs="Arial" w:eastAsia="Arial" w:hAnsi="Arial"/>
          <w:sz w:val="18"/>
          <w:szCs w:val="18"/>
          <w:color w:val="auto"/>
        </w:rPr>
      </w:pPr>
    </w:p>
    <w:p>
      <w:pPr>
        <w:ind w:left="760" w:right="480" w:hanging="325"/>
        <w:spacing w:after="0" w:line="246" w:lineRule="auto"/>
        <w:rPr>
          <w:rFonts w:ascii="Arial" w:cs="Arial" w:eastAsia="Arial" w:hAnsi="Arial"/>
          <w:sz w:val="18"/>
          <w:szCs w:val="18"/>
          <w:color w:val="auto"/>
        </w:rPr>
      </w:pPr>
      <w:r>
        <w:rPr>
          <w:rFonts w:ascii="Arial" w:cs="Arial" w:eastAsia="Arial" w:hAnsi="Arial"/>
          <w:sz w:val="18"/>
          <w:szCs w:val="18"/>
          <w:color w:val="auto"/>
        </w:rPr>
        <w:t>a. Any psychological or psychiatric injury(ies) you claim are the consequence of your alleged ethylene oxide exposure from the Willowbrook facility, date of onset of symptoms, and date of diagnosis.</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2" w:right="6340" w:hanging="247"/>
        <w:spacing w:after="0" w:line="274" w:lineRule="exact"/>
        <w:tabs>
          <w:tab w:leader="none" w:pos="60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Are the injuries identified in II(1)(a) above continuing?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5" w:lineRule="exact"/>
        <w:rPr>
          <w:sz w:val="20"/>
          <w:szCs w:val="20"/>
          <w:color w:val="auto"/>
        </w:rPr>
      </w:pPr>
    </w:p>
    <w:p>
      <w:pPr>
        <w:ind w:left="1302"/>
        <w:spacing w:after="0"/>
        <w:rPr>
          <w:sz w:val="20"/>
          <w:szCs w:val="20"/>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identify which injuries.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2" w:right="3740" w:hanging="1059"/>
        <w:spacing w:after="0" w:line="348" w:lineRule="exact"/>
        <w:tabs>
          <w:tab w:leader="none" w:pos="554"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Did you ever suffer this injury(ies) before the dates set forth in the answer to II(1)(a) above?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1302"/>
        <w:spacing w:after="0"/>
        <w:rPr>
          <w:rFonts w:ascii="Arial" w:cs="Arial" w:eastAsia="Arial" w:hAnsi="Arial"/>
          <w:sz w:val="18"/>
          <w:szCs w:val="18"/>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when did you previously experience the injury(ies)?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2"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III.CURRENT PSYCHOLOGICAL OR PSYCHIATRIC CONDITIONS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642" w:hanging="642"/>
        <w:spacing w:after="0" w:line="261" w:lineRule="auto"/>
        <w:tabs>
          <w:tab w:leader="none" w:pos="64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Do you currently suffer from any diagnosed psychological or psychiatric conditions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those that are the result of the Willowbrook facility’s ethylene oxide emissions identified in II(a)?</w:t>
      </w:r>
    </w:p>
    <w:p>
      <w:pPr>
        <w:spacing w:after="0" w:line="124" w:lineRule="exact"/>
        <w:rPr>
          <w:rFonts w:ascii="Arial" w:cs="Arial" w:eastAsia="Arial" w:hAnsi="Arial"/>
          <w:sz w:val="18"/>
          <w:szCs w:val="18"/>
          <w:color w:val="auto"/>
        </w:rPr>
      </w:pPr>
    </w:p>
    <w:p>
      <w:pPr>
        <w:ind w:left="642"/>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identify the condition(s); their symptoms; date of onset; and date of diagnosis: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2"/>
        <w:spacing w:after="0"/>
        <w:tabs>
          <w:tab w:leader="none" w:pos="2982" w:val="left"/>
        </w:tabs>
        <w:rPr>
          <w:sz w:val="20"/>
          <w:szCs w:val="20"/>
          <w:color w:val="auto"/>
        </w:rPr>
      </w:pPr>
      <w:r>
        <w:rPr>
          <w:rFonts w:ascii="Arial" w:cs="Arial" w:eastAsia="Arial" w:hAnsi="Arial"/>
          <w:sz w:val="18"/>
          <w:szCs w:val="18"/>
          <w:b w:val="1"/>
          <w:bCs w:val="1"/>
          <w:u w:val="single" w:color="auto"/>
          <w:color w:val="auto"/>
        </w:rPr>
        <w:t>IV.</w:t>
      </w:r>
      <w:r>
        <w:rPr>
          <w:sz w:val="20"/>
          <w:szCs w:val="20"/>
          <w:color w:val="auto"/>
        </w:rPr>
        <w:tab/>
      </w:r>
      <w:r>
        <w:rPr>
          <w:rFonts w:ascii="Arial" w:cs="Arial" w:eastAsia="Arial" w:hAnsi="Arial"/>
          <w:sz w:val="18"/>
          <w:szCs w:val="18"/>
          <w:b w:val="1"/>
          <w:bCs w:val="1"/>
          <w:u w:val="single" w:color="auto"/>
          <w:color w:val="auto"/>
        </w:rPr>
        <w:t>MENTAL HEALTH HISTORY</w:t>
      </w:r>
    </w:p>
    <w:p>
      <w:pPr>
        <w:spacing w:after="0" w:line="200" w:lineRule="exact"/>
        <w:rPr>
          <w:sz w:val="20"/>
          <w:szCs w:val="20"/>
          <w:color w:val="auto"/>
        </w:rPr>
      </w:pPr>
    </w:p>
    <w:p>
      <w:pPr>
        <w:spacing w:after="0" w:line="286" w:lineRule="exact"/>
        <w:rPr>
          <w:sz w:val="20"/>
          <w:szCs w:val="20"/>
          <w:color w:val="auto"/>
        </w:rPr>
      </w:pPr>
    </w:p>
    <w:p>
      <w:pPr>
        <w:ind w:left="622" w:hanging="327"/>
        <w:spacing w:after="0" w:line="256" w:lineRule="auto"/>
        <w:tabs>
          <w:tab w:leader="none" w:pos="49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Please describe any psychological or psychiatric conditions that you have previously experienced or been diagnosed with during the last 15 years, besides those allegedly attributable to ethylene oxide exposure in Part II above. For each condition listed, please indicate the date of onset and diagnosis.</w:t>
      </w:r>
    </w:p>
    <w:p>
      <w:pPr>
        <w:spacing w:after="0" w:line="202" w:lineRule="exact"/>
        <w:rPr>
          <w:sz w:val="20"/>
          <w:szCs w:val="20"/>
          <w:color w:val="auto"/>
        </w:rPr>
      </w:pPr>
    </w:p>
    <w:p>
      <w:pPr>
        <w:ind w:left="822"/>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22"/>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2"/>
        <w:spacing w:after="0"/>
        <w:rPr>
          <w:sz w:val="20"/>
          <w:szCs w:val="20"/>
          <w:color w:val="auto"/>
        </w:rPr>
      </w:pPr>
      <w:r>
        <w:rPr>
          <w:rFonts w:ascii="Arial" w:cs="Arial" w:eastAsia="Arial" w:hAnsi="Arial"/>
          <w:sz w:val="18"/>
          <w:szCs w:val="18"/>
          <w:color w:val="auto"/>
        </w:rPr>
        <w:t>c.</w:t>
      </w:r>
    </w:p>
    <w:p>
      <w:pPr>
        <w:sectPr>
          <w:pgSz w:w="11900" w:h="16838" w:orient="portrait"/>
          <w:cols w:equalWidth="0" w:num="1">
            <w:col w:w="10922"/>
          </w:cols>
          <w:pgMar w:left="438"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2"/>
        <w:spacing w:after="0"/>
        <w:rPr>
          <w:sz w:val="20"/>
          <w:szCs w:val="20"/>
          <w:color w:val="auto"/>
        </w:rPr>
      </w:pPr>
      <w:r>
        <w:rPr>
          <w:rFonts w:ascii="Arial" w:cs="Arial" w:eastAsia="Arial" w:hAnsi="Arial"/>
          <w:sz w:val="16"/>
          <w:szCs w:val="16"/>
          <w:color w:val="auto"/>
        </w:rPr>
        <w:t>d.</w:t>
      </w:r>
    </w:p>
    <w:p>
      <w:pPr>
        <w:sectPr>
          <w:pgSz w:w="11900" w:h="16838" w:orient="portrait"/>
          <w:cols w:equalWidth="0" w:num="1">
            <w:col w:w="10922"/>
          </w:cols>
          <w:pgMar w:left="438" w:top="1440" w:right="539" w:bottom="1440" w:gutter="0" w:footer="0" w:header="0"/>
          <w:type w:val="continuous"/>
        </w:sectPr>
      </w:pPr>
    </w:p>
    <w:bookmarkStart w:id="171" w:name="page172"/>
    <w:bookmarkEnd w:id="171"/>
    <w:p>
      <w:pPr>
        <w:spacing w:after="0" w:line="1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700" w:hanging="631"/>
        <w:spacing w:after="0"/>
        <w:tabs>
          <w:tab w:leader="none" w:pos="370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VERIFICATION</w:t>
      </w:r>
    </w:p>
    <w:p>
      <w:pPr>
        <w:spacing w:after="0" w:line="200" w:lineRule="exact"/>
        <w:rPr>
          <w:sz w:val="20"/>
          <w:szCs w:val="20"/>
          <w:color w:val="auto"/>
        </w:rPr>
      </w:pPr>
    </w:p>
    <w:p>
      <w:pPr>
        <w:spacing w:after="0" w:line="286"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Under the penalties as provided by law pursuant to Section 1 -109 of the Illinois Code of Civil Procedure, the undersigned certifies that the statements set forth in this Addendum are true and correct. This certification shall have the same effect as a verification provided and sworn under oath.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__________________________</w:t>
      </w:r>
    </w:p>
    <w:p>
      <w:pPr>
        <w:spacing w:after="0" w:line="1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Signature_____________________________</w:t>
      </w:r>
    </w:p>
    <w:p>
      <w:pPr>
        <w:spacing w:after="0" w:line="200" w:lineRule="exact"/>
        <w:rPr>
          <w:sz w:val="20"/>
          <w:szCs w:val="20"/>
          <w:color w:val="auto"/>
        </w:rPr>
      </w:pPr>
    </w:p>
    <w:p>
      <w:pPr>
        <w:spacing w:after="0" w:line="34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Print Name____________________________</w:t>
      </w:r>
    </w:p>
    <w:p>
      <w:pPr>
        <w:sectPr>
          <w:pgSz w:w="11900" w:h="16838" w:orient="portrait"/>
          <w:cols w:equalWidth="0" w:num="1">
            <w:col w:w="10920"/>
          </w:cols>
          <w:pgMar w:left="440" w:top="1440" w:right="539" w:bottom="1440" w:gutter="0" w:footer="0" w:header="0"/>
        </w:sectPr>
      </w:pPr>
    </w:p>
    <w:bookmarkStart w:id="172" w:name="page173"/>
    <w:bookmarkEnd w:id="172"/>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for Non-PEC Firms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JOINDER</w:t>
      </w:r>
    </w:p>
    <w:p>
      <w:pPr>
        <w:spacing w:after="0" w:line="306" w:lineRule="exact"/>
        <w:rPr>
          <w:sz w:val="20"/>
          <w:szCs w:val="20"/>
          <w:color w:val="auto"/>
        </w:rPr>
      </w:pPr>
    </w:p>
    <w:p>
      <w:pPr>
        <w:ind w:left="180" w:right="219" w:firstLine="648"/>
        <w:spacing w:after="0" w:line="237" w:lineRule="auto"/>
        <w:rPr>
          <w:sz w:val="20"/>
          <w:szCs w:val="20"/>
          <w:color w:val="auto"/>
        </w:rPr>
      </w:pPr>
      <w:r>
        <w:rPr>
          <w:rFonts w:ascii="Arial" w:cs="Arial" w:eastAsia="Arial" w:hAnsi="Arial"/>
          <w:sz w:val="18"/>
          <w:szCs w:val="18"/>
          <w:b w:val="1"/>
          <w:bCs w:val="1"/>
          <w:color w:val="auto"/>
        </w:rPr>
        <w:t xml:space="preserve">THIS JOINDER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 2023 (the “</w:t>
      </w:r>
      <w:r>
        <w:rPr>
          <w:rFonts w:ascii="Arial" w:cs="Arial" w:eastAsia="Arial" w:hAnsi="Arial"/>
          <w:sz w:val="18"/>
          <w:szCs w:val="18"/>
          <w:u w:val="single" w:color="auto"/>
          <w:color w:val="auto"/>
        </w:rPr>
        <w:t>Execution Date</w:t>
      </w:r>
      <w:r>
        <w:rPr>
          <w:rFonts w:ascii="Arial" w:cs="Arial" w:eastAsia="Arial" w:hAnsi="Arial"/>
          <w:sz w:val="18"/>
          <w:szCs w:val="18"/>
          <w:color w:val="auto"/>
        </w:rPr>
        <w:t>”) by [*]</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Joining Plaintiffs’ Counsel</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ind w:left="180" w:right="439" w:firstLine="648"/>
        <w:spacing w:after="0" w:line="22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Sotera Health LLC, a Delaware limited liability company (“</w:t>
      </w:r>
      <w:r>
        <w:rPr>
          <w:rFonts w:ascii="Arial" w:cs="Arial" w:eastAsia="Arial" w:hAnsi="Arial"/>
          <w:sz w:val="17"/>
          <w:szCs w:val="17"/>
          <w:u w:val="single" w:color="auto"/>
          <w:color w:val="auto"/>
        </w:rPr>
        <w:t>Sotera Health</w:t>
      </w:r>
      <w:r>
        <w:rPr>
          <w:rFonts w:ascii="Arial" w:cs="Arial" w:eastAsia="Arial" w:hAnsi="Arial"/>
          <w:sz w:val="17"/>
          <w:szCs w:val="17"/>
          <w:color w:val="auto"/>
        </w:rPr>
        <w:t>”), Sterigenics U.S.,</w:t>
      </w:r>
      <w:r>
        <w:rPr>
          <w:rFonts w:ascii="Arial" w:cs="Arial" w:eastAsia="Arial" w:hAnsi="Arial"/>
          <w:sz w:val="17"/>
          <w:szCs w:val="17"/>
          <w:b w:val="1"/>
          <w:bCs w:val="1"/>
          <w:color w:val="auto"/>
        </w:rPr>
        <w:t xml:space="preserve"> </w:t>
      </w:r>
      <w:r>
        <w:rPr>
          <w:rFonts w:ascii="Arial" w:cs="Arial" w:eastAsia="Arial" w:hAnsi="Arial"/>
          <w:sz w:val="17"/>
          <w:szCs w:val="17"/>
          <w:color w:val="auto"/>
        </w:rPr>
        <w:t>LLC, a Delaware limited liability company (“</w:t>
      </w:r>
      <w:r>
        <w:rPr>
          <w:rFonts w:ascii="Arial" w:cs="Arial" w:eastAsia="Arial" w:hAnsi="Arial"/>
          <w:sz w:val="17"/>
          <w:szCs w:val="17"/>
          <w:u w:val="single" w:color="auto"/>
          <w:color w:val="auto"/>
        </w:rPr>
        <w:t>Sterigenics US</w:t>
      </w:r>
      <w:r>
        <w:rPr>
          <w:rFonts w:ascii="Arial" w:cs="Arial" w:eastAsia="Arial" w:hAnsi="Arial"/>
          <w:sz w:val="17"/>
          <w:szCs w:val="17"/>
          <w:color w:val="auto"/>
        </w:rPr>
        <w:t>” and, together with Sotera Health, the “</w:t>
      </w:r>
      <w:r>
        <w:rPr>
          <w:rFonts w:ascii="Arial" w:cs="Arial" w:eastAsia="Arial" w:hAnsi="Arial"/>
          <w:sz w:val="17"/>
          <w:szCs w:val="17"/>
          <w:u w:val="single" w:color="auto"/>
          <w:color w:val="auto"/>
        </w:rPr>
        <w:t>Settling</w:t>
      </w:r>
    </w:p>
    <w:p>
      <w:pPr>
        <w:ind w:left="180" w:right="39"/>
        <w:spacing w:after="0" w:line="203" w:lineRule="auto"/>
        <w:rPr>
          <w:sz w:val="20"/>
          <w:szCs w:val="20"/>
          <w:color w:val="auto"/>
        </w:rPr>
      </w:pPr>
      <w:r>
        <w:rPr>
          <w:rFonts w:ascii="Arial" w:cs="Arial" w:eastAsia="Arial" w:hAnsi="Arial"/>
          <w:sz w:val="18"/>
          <w:szCs w:val="18"/>
          <w:u w:val="single" w:color="auto"/>
          <w:color w:val="auto"/>
        </w:rPr>
        <w:t>Defendant</w:t>
      </w:r>
      <w:r>
        <w:rPr>
          <w:rFonts w:ascii="Arial" w:cs="Arial" w:eastAsia="Arial" w:hAnsi="Arial"/>
          <w:sz w:val="18"/>
          <w:szCs w:val="18"/>
          <w:color w:val="auto"/>
        </w:rPr>
        <w:t>s”), and Plaintiffs’ Executive Committee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entered into that certain Willowbrook Group Settlement Agreement, dated as of March 28, 2023 (the “</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all capitalized terms used but not otherwise defined herein shall have the meanings ascribed to them in the Settlement Agreement);</w:t>
      </w:r>
    </w:p>
    <w:p>
      <w:pPr>
        <w:spacing w:after="0" w:line="200" w:lineRule="exact"/>
        <w:rPr>
          <w:sz w:val="20"/>
          <w:szCs w:val="20"/>
          <w:color w:val="auto"/>
        </w:rPr>
      </w:pPr>
    </w:p>
    <w:p>
      <w:pPr>
        <w:ind w:left="180" w:right="339" w:firstLine="648"/>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Joining Plaintiffs’ Counsel have clients who are Claimants, and desires to have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Claimant(s) participate in the Settlement Program; and</w:t>
      </w:r>
    </w:p>
    <w:p>
      <w:pPr>
        <w:spacing w:after="0" w:line="199" w:lineRule="exact"/>
        <w:rPr>
          <w:sz w:val="20"/>
          <w:szCs w:val="20"/>
          <w:color w:val="auto"/>
        </w:rPr>
      </w:pPr>
    </w:p>
    <w:p>
      <w:pPr>
        <w:ind w:left="180" w:right="479" w:firstLine="648"/>
        <w:spacing w:after="0" w:line="25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Joining Plaintiffs’ Counsel is executing this Agreement in accordance with Section 2.3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Agreement.</w:t>
      </w:r>
    </w:p>
    <w:p>
      <w:pPr>
        <w:spacing w:after="0" w:line="190" w:lineRule="exact"/>
        <w:rPr>
          <w:sz w:val="20"/>
          <w:szCs w:val="20"/>
          <w:color w:val="auto"/>
        </w:rPr>
      </w:pPr>
    </w:p>
    <w:p>
      <w:pPr>
        <w:jc w:val="both"/>
        <w:ind w:left="180" w:right="199" w:firstLine="648"/>
        <w:spacing w:after="0" w:line="22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Joining Plaintiffs’ Counsel, intending to be legally bound, hereby agrees as follows:</w:t>
      </w:r>
    </w:p>
    <w:p>
      <w:pPr>
        <w:spacing w:after="0" w:line="202" w:lineRule="exact"/>
        <w:rPr>
          <w:sz w:val="20"/>
          <w:szCs w:val="20"/>
          <w:color w:val="auto"/>
        </w:rPr>
      </w:pPr>
    </w:p>
    <w:p>
      <w:pPr>
        <w:jc w:val="both"/>
        <w:ind w:left="180" w:right="179" w:firstLine="651"/>
        <w:spacing w:after="0" w:line="226" w:lineRule="auto"/>
        <w:tabs>
          <w:tab w:leader="none" w:pos="1477"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Party to Settlement Agreement</w:t>
      </w:r>
      <w:r>
        <w:rPr>
          <w:rFonts w:ascii="Arial" w:cs="Arial" w:eastAsia="Arial" w:hAnsi="Arial"/>
          <w:sz w:val="17"/>
          <w:szCs w:val="17"/>
          <w:color w:val="auto"/>
        </w:rPr>
        <w:t>. By executing this Agreement, Joining Plaintiffs’ Counsel hereby joins in, adopts, and executes the Settlement Agreement and agrees (i) from and after the Execution Date, to be bound by and have the benefit of all of the terms and provisions thereof that apply to “PEC” or “Plaintiffs’ Executive Committee,” including, without limitation, all covenants, indemnification obligations, and other agreements of “PEC” or “Plaintiffs’ Executive Committee” thereunder, as if Joining Plaintiffs’ Counsel had executed the Settlement Agreement on the Effective Date, and (ii) without limiting clause (i), that, from and after the Execution Date, Joining Plaintiffs’ Counsel shall have all rights, remedies, privileges, duties, and obligations of “PEC” or “Plaintiffs’ Executive Committee” under the Settlement Agreement. Joining Plaintiffs’ Counsel acknowledges that it has reviewed the Settlement Agreement and that it fully understands all the terms, provisions, and conditions thereof and the consequences of executing the Settlement Agreement as indicated by its signature below. This Agreement shall be deemed effective immediately upon the Joining Plaintiffs’ Counsel’ execution of this Agreement. There are no conditions precedent or subsequent to the effectiveness of this Agreement.</w:t>
      </w:r>
    </w:p>
    <w:p>
      <w:pPr>
        <w:spacing w:after="0" w:line="194" w:lineRule="exact"/>
        <w:rPr>
          <w:rFonts w:ascii="Arial" w:cs="Arial" w:eastAsia="Arial" w:hAnsi="Arial"/>
          <w:sz w:val="17"/>
          <w:szCs w:val="17"/>
          <w:color w:val="auto"/>
        </w:rPr>
      </w:pPr>
    </w:p>
    <w:p>
      <w:pPr>
        <w:jc w:val="both"/>
        <w:ind w:left="180" w:right="199" w:firstLine="651"/>
        <w:spacing w:after="0" w:line="222" w:lineRule="auto"/>
        <w:tabs>
          <w:tab w:leader="none" w:pos="147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Joining Plaintiffs’ Counsel hereby covenants and agrees that from time to time, at the request of the Settling Defendants and without further consideration, Joining Plaintiffs’ Counsel shall execute and deliver such additional commercially reasonable documents and take further commercially reasonable and lawful action as may be necessary or reasonably desirable to evidence and make effective the actions contemplated by this Agreement.</w:t>
      </w:r>
    </w:p>
    <w:p>
      <w:pPr>
        <w:spacing w:after="0" w:line="203" w:lineRule="exact"/>
        <w:rPr>
          <w:rFonts w:ascii="Arial" w:cs="Arial" w:eastAsia="Arial" w:hAnsi="Arial"/>
          <w:sz w:val="18"/>
          <w:szCs w:val="18"/>
          <w:color w:val="auto"/>
        </w:rPr>
      </w:pPr>
    </w:p>
    <w:p>
      <w:pPr>
        <w:jc w:val="both"/>
        <w:ind w:left="180" w:right="179" w:firstLine="651"/>
        <w:spacing w:after="0" w:line="223" w:lineRule="auto"/>
        <w:tabs>
          <w:tab w:leader="none" w:pos="147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Electronic Signatures</w:t>
      </w:r>
      <w:r>
        <w:rPr>
          <w:rFonts w:ascii="Arial" w:cs="Arial" w:eastAsia="Arial" w:hAnsi="Arial"/>
          <w:sz w:val="18"/>
          <w:szCs w:val="18"/>
          <w:color w:val="auto"/>
        </w:rPr>
        <w:t>. This Agreement and any amendments thereto, to the extent signed and delivered by means of a facsimile machine or electronic scan (including in the form of an Adobe Acrobat PDF file format), shall be treated as an original agreement and shall be considered to have the same binding legal effect as if it were the original signed version delivered in person.</w:t>
      </w:r>
    </w:p>
    <w:p>
      <w:pPr>
        <w:spacing w:after="0" w:line="189" w:lineRule="exact"/>
        <w:rPr>
          <w:rFonts w:ascii="Arial" w:cs="Arial" w:eastAsia="Arial" w:hAnsi="Arial"/>
          <w:sz w:val="18"/>
          <w:szCs w:val="18"/>
          <w:color w:val="auto"/>
        </w:rPr>
      </w:pPr>
    </w:p>
    <w:p>
      <w:pPr>
        <w:ind w:left="1480" w:hanging="649"/>
        <w:spacing w:after="0"/>
        <w:tabs>
          <w:tab w:leader="none" w:pos="1480"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Agreement may be amended by (and only by) a written instrument signed by the</w:t>
      </w:r>
    </w:p>
    <w:p>
      <w:pPr>
        <w:spacing w:after="0" w:line="7"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right="159" w:hanging="6"/>
        <w:spacing w:after="0" w:line="221" w:lineRule="auto"/>
        <w:tabs>
          <w:tab w:leader="none" w:pos="203" w:val="left"/>
        </w:tabs>
        <w:numPr>
          <w:ilvl w:val="0"/>
          <w:numId w:val="262"/>
        </w:numPr>
        <w:rPr>
          <w:rFonts w:ascii="Arial" w:cs="Arial" w:eastAsia="Arial" w:hAnsi="Arial"/>
          <w:sz w:val="22"/>
          <w:szCs w:val="22"/>
          <w:color w:val="auto"/>
          <w:vertAlign w:val="superscript"/>
        </w:rPr>
      </w:pPr>
      <w:r>
        <w:rPr>
          <w:rFonts w:ascii="Arial" w:cs="Arial" w:eastAsia="Arial" w:hAnsi="Arial"/>
          <w:sz w:val="17"/>
          <w:szCs w:val="17"/>
          <w:color w:val="auto"/>
        </w:rPr>
        <w:t>In the Settlement Agreement, “</w:t>
      </w:r>
      <w:r>
        <w:rPr>
          <w:rFonts w:ascii="Arial" w:cs="Arial" w:eastAsia="Arial" w:hAnsi="Arial"/>
          <w:sz w:val="17"/>
          <w:szCs w:val="17"/>
          <w:u w:val="single" w:color="auto"/>
          <w:color w:val="auto"/>
        </w:rPr>
        <w:t>PEC</w:t>
      </w:r>
      <w:r>
        <w:rPr>
          <w:rFonts w:ascii="Arial" w:cs="Arial" w:eastAsia="Arial" w:hAnsi="Arial"/>
          <w:sz w:val="17"/>
          <w:szCs w:val="17"/>
          <w:color w:val="auto"/>
        </w:rPr>
        <w:t>” or “</w:t>
      </w:r>
      <w:r>
        <w:rPr>
          <w:rFonts w:ascii="Arial" w:cs="Arial" w:eastAsia="Arial" w:hAnsi="Arial"/>
          <w:sz w:val="17"/>
          <w:szCs w:val="17"/>
          <w:u w:val="single" w:color="auto"/>
          <w:color w:val="auto"/>
        </w:rPr>
        <w:t>Plaintiffs’ Executive Committee</w:t>
      </w:r>
      <w:r>
        <w:rPr>
          <w:rFonts w:ascii="Arial" w:cs="Arial" w:eastAsia="Arial" w:hAnsi="Arial"/>
          <w:sz w:val="17"/>
          <w:szCs w:val="17"/>
          <w:color w:val="auto"/>
        </w:rPr>
        <w:t>” refers to the following firms: Salvi, Schostok &amp; Pritchard, PC; Romanucci &amp; Blandin, LLC; Hart McLaughlin &amp; Eldridge, LLC; The Collins Law Firm, PC; Smith LaCien, LLP; Tomasik Kotin Kasserman, LLC; and Miner Barnhill &amp; Galland, PC, and all lawyers at their firms.</w:t>
      </w:r>
    </w:p>
    <w:p>
      <w:pPr>
        <w:sectPr>
          <w:pgSz w:w="11900" w:h="16838" w:orient="portrait"/>
          <w:cols w:equalWidth="0" w:num="1">
            <w:col w:w="9019"/>
          </w:cols>
          <w:pgMar w:left="1440" w:top="1440" w:right="1440" w:bottom="1440" w:gutter="0" w:footer="0" w:header="0"/>
        </w:sectPr>
      </w:pPr>
    </w:p>
    <w:bookmarkStart w:id="173" w:name="page174"/>
    <w:bookmarkEnd w:id="173"/>
    <w:p>
      <w:pPr>
        <w:spacing w:after="0" w:line="238" w:lineRule="exact"/>
        <w:rPr>
          <w:sz w:val="20"/>
          <w:szCs w:val="20"/>
          <w:color w:val="auto"/>
        </w:rPr>
      </w:pPr>
    </w:p>
    <w:p>
      <w:pPr>
        <w:ind w:left="100" w:right="439" w:firstLine="648"/>
        <w:spacing w:after="0" w:line="277" w:lineRule="auto"/>
        <w:rPr>
          <w:sz w:val="20"/>
          <w:szCs w:val="20"/>
          <w:color w:val="auto"/>
        </w:rPr>
      </w:pPr>
      <w:r>
        <w:rPr>
          <w:rFonts w:ascii="Arial" w:cs="Arial" w:eastAsia="Arial" w:hAnsi="Arial"/>
          <w:sz w:val="18"/>
          <w:szCs w:val="18"/>
          <w:color w:val="auto"/>
        </w:rPr>
        <w:t>IN WITNESS WHEREOF, the undersigned has caused this Agreement to be duly executed as of the day and year set forth above.</w:t>
      </w:r>
    </w:p>
    <w:p>
      <w:pPr>
        <w:spacing w:after="0" w:line="200" w:lineRule="exact"/>
        <w:rPr>
          <w:sz w:val="20"/>
          <w:szCs w:val="20"/>
          <w:color w:val="auto"/>
        </w:rPr>
      </w:pPr>
    </w:p>
    <w:p>
      <w:pPr>
        <w:spacing w:after="0" w:line="23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JOINING PLAINTIFFS’ COUNSEL:</w:t>
      </w:r>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5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-635</wp:posOffset>
            </wp:positionV>
            <wp:extent cx="1143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Acknowledged:</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SOTERA HEALTH, LLC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-635</wp:posOffset>
            </wp:positionV>
            <wp:extent cx="1143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100"/>
        <w:spacing w:after="0" w:line="203" w:lineRule="auto"/>
        <w:rPr>
          <w:sz w:val="20"/>
          <w:szCs w:val="20"/>
          <w:color w:val="auto"/>
        </w:rPr>
      </w:pPr>
      <w:r>
        <w:rPr>
          <w:rFonts w:ascii="Arial" w:cs="Arial" w:eastAsia="Arial" w:hAnsi="Arial"/>
          <w:sz w:val="18"/>
          <w:szCs w:val="18"/>
          <w:color w:val="auto"/>
        </w:rPr>
        <w:t>Name:</w:t>
      </w:r>
    </w:p>
    <w:p>
      <w:pPr>
        <w:ind w:left="1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STERIGENICS U.S., LLC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-635</wp:posOffset>
            </wp:positionV>
            <wp:extent cx="1143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Name:</w:t>
      </w:r>
    </w:p>
    <w:p>
      <w:pPr>
        <w:ind w:left="10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9019"/>
          </w:cols>
          <w:pgMar w:left="1440" w:top="1440" w:right="1440" w:bottom="4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w:t>
      </w:r>
      <w:r>
        <w:rPr>
          <w:rFonts w:ascii="Arial" w:cs="Arial" w:eastAsia="Arial" w:hAnsi="Arial"/>
          <w:sz w:val="16"/>
          <w:szCs w:val="16"/>
          <w:color w:val="auto"/>
        </w:rPr>
        <w:t>]</w:t>
      </w:r>
    </w:p>
    <w:p>
      <w:pPr>
        <w:sectPr>
          <w:pgSz w:w="11900" w:h="16838" w:orient="portrait"/>
          <w:cols w:equalWidth="0" w:num="1">
            <w:col w:w="9019"/>
          </w:cols>
          <w:pgMar w:left="1440" w:top="1440" w:right="1440" w:bottom="453" w:gutter="0" w:footer="0" w:header="0"/>
          <w:type w:val="continuous"/>
        </w:sectPr>
      </w:pPr>
    </w:p>
    <w:bookmarkStart w:id="174" w:name="page175"/>
    <w:bookmarkEnd w:id="174"/>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List of Plaintiffs</w:t>
      </w:r>
    </w:p>
    <w:p>
      <w:pPr>
        <w:sectPr>
          <w:pgSz w:w="11900" w:h="16838" w:orient="portrait"/>
          <w:cols w:equalWidth="0" w:num="1">
            <w:col w:w="9019"/>
          </w:cols>
          <w:pgMar w:left="1440" w:top="1440" w:right="1440"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011004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 &amp; Breast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Schwanoma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8</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009170</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Hodgkin's Lymphoma | Hashimotos |</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Acute Myeloid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Mulitple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Wise Morrissey</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Mantle Cell Lymphoma (NHL)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Sezary Syndrome (NHL)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Amyloidosis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009454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Nolan Law</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Duodenal Adenocarcinoma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009732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Cavanagh Law Group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013486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013488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013493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80"/>
          </w:cols>
          <w:pgMar w:left="320" w:top="714" w:right="129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52</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 xml:space="preserve">Hodgkin's Lymphoma </w:t>
            </w:r>
            <w:r>
              <w:rPr>
                <w:rFonts w:ascii="MS PGothic" w:cs="MS PGothic" w:eastAsia="MS PGothic" w:hAnsi="MS PGothic"/>
                <w:sz w:val="18"/>
                <w:szCs w:val="18"/>
                <w:color w:val="auto"/>
              </w:rPr>
              <w:t>‐</w:t>
            </w:r>
            <w:r>
              <w:rPr>
                <w:rFonts w:ascii="Arial" w:cs="Arial" w:eastAsia="Arial" w:hAnsi="Arial"/>
                <w:sz w:val="18"/>
                <w:szCs w:val="18"/>
                <w:color w:val="auto"/>
              </w:rPr>
              <w:t xml:space="preserve"> Diffuse</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Large B</w:t>
            </w:r>
            <w:r>
              <w:rPr>
                <w:rFonts w:ascii="MS PGothic" w:cs="MS PGothic" w:eastAsia="MS PGothic" w:hAnsi="MS PGothic"/>
                <w:sz w:val="18"/>
                <w:szCs w:val="18"/>
                <w:color w:val="auto"/>
              </w:rPr>
              <w:t>‐</w:t>
            </w:r>
            <w:r>
              <w:rPr>
                <w:rFonts w:ascii="Arial" w:cs="Arial" w:eastAsia="Arial" w:hAnsi="Arial"/>
                <w:sz w:val="18"/>
                <w:szCs w:val="18"/>
                <w:color w:val="auto"/>
              </w:rPr>
              <w:t>Cell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Bilateral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54</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013551</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Lymphoma, Follicular &amp; Large B</w:t>
            </w:r>
            <w:r>
              <w:rPr>
                <w:rFonts w:ascii="MS PGothic" w:cs="MS PGothic" w:eastAsia="MS PGothic" w:hAnsi="MS PGothic"/>
                <w:sz w:val="18"/>
                <w:szCs w:val="18"/>
                <w:color w:val="auto"/>
              </w:rPr>
              <w:t>‐</w:t>
            </w:r>
            <w:r>
              <w:rPr>
                <w:rFonts w:ascii="Arial" w:cs="Arial" w:eastAsia="Arial" w:hAnsi="Arial"/>
                <w:sz w:val="18"/>
                <w:szCs w:val="18"/>
                <w:color w:val="auto"/>
              </w:rPr>
              <w:t>Cell</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Large B Cell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013857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013860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014265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Waldenstrom’s Macroglobulinemia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005064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TPMB</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006260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Myelogenous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007672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None ;Breast Cancer; histiocytosis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007672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Histiocytosis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Breast/Lymphome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and 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and 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 (Burkett's)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81</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008699</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RB/HME</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2 miscarriages;</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Idiopathic Pulmonary Fibrosis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77" w:name="page178"/>
    <w:bookmarkEnd w:id="1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TPMB</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pituitary adenoma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 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Wise Morrissey</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Wise Morrissey</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78" w:name="page179"/>
    <w:bookmarkEnd w:id="1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 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 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Acute Lymphoblastic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Cavanagh Law Group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tumor/death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Cavanagh Law Group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Osteosarcoma/death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r>
              <w:rPr>
                <w:rFonts w:ascii="Arial" w:cs="Arial" w:eastAsia="Arial" w:hAnsi="Arial"/>
                <w:sz w:val="18"/>
                <w:szCs w:val="18"/>
                <w:color w:val="auto"/>
              </w:rPr>
              <w:t>cell Chronic Lymphocytic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20-L-008870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 Stage 2b</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 Tonsil 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165</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Blood Cancer; Uterine Cancer;</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Myeloproliferative Neoplasim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 Chronic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 (4)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(MDS)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Myeloid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176</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008889</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Lymphoma | Myelodysplastic</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Syndromes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Uterine Cancer; 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Chronic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Stage 3 triple negative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Stage III</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Adenocarcinoma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&amp; Uterine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&amp; Lung Cancers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Leukemia </w:t>
            </w:r>
            <w:r>
              <w:rPr>
                <w:rFonts w:ascii="MS PGothic" w:cs="MS PGothic" w:eastAsia="MS PGothic" w:hAnsi="MS PGothic"/>
                <w:sz w:val="18"/>
                <w:szCs w:val="18"/>
                <w:color w:val="auto"/>
              </w:rPr>
              <w:t>‐</w:t>
            </w:r>
            <w:r>
              <w:rPr>
                <w:rFonts w:ascii="Arial" w:cs="Arial" w:eastAsia="Arial" w:hAnsi="Arial"/>
                <w:sz w:val="18"/>
                <w:szCs w:val="18"/>
                <w:color w:val="auto"/>
              </w:rPr>
              <w:t xml:space="preserve"> Acute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202</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008953</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Lung Cancer (non</w:t>
            </w:r>
            <w:r>
              <w:rPr>
                <w:rFonts w:ascii="MS PGothic" w:cs="MS PGothic" w:eastAsia="MS PGothic" w:hAnsi="MS PGothic"/>
                <w:sz w:val="18"/>
                <w:szCs w:val="18"/>
                <w:color w:val="auto"/>
              </w:rPr>
              <w:t>‐</w:t>
            </w:r>
            <w:r>
              <w:rPr>
                <w:rFonts w:ascii="Arial" w:cs="Arial" w:eastAsia="Arial" w:hAnsi="Arial"/>
                <w:sz w:val="18"/>
                <w:szCs w:val="18"/>
                <w:color w:val="auto"/>
              </w:rPr>
              <w:t>small cell</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adenocarcinoma)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Fybromyoxoid Sarcoma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Gastrointestinal Cancer (stomach)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012228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012899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L_011277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001619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McNabola</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Uterine/Endometrial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002646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Karamanis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Facial Adenoma?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006899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Mantle Cell Lymphoma (NHL)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009476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0" w:name="page181"/>
    <w:bookmarkEnd w:id="1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010808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Large Cell B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T</w:t>
            </w:r>
            <w:r>
              <w:rPr>
                <w:rFonts w:ascii="MS PGothic" w:cs="MS PGothic" w:eastAsia="MS PGothic" w:hAnsi="MS PGothic"/>
                <w:sz w:val="18"/>
                <w:szCs w:val="18"/>
                <w:color w:val="auto"/>
              </w:rPr>
              <w:t>‐</w:t>
            </w:r>
            <w:r>
              <w:rPr>
                <w:rFonts w:ascii="Arial" w:cs="Arial" w:eastAsia="Arial" w:hAnsi="Arial"/>
                <w:sz w:val="18"/>
                <w:szCs w:val="18"/>
                <w:color w:val="auto"/>
              </w:rPr>
              <w:t>Cell Acute Lymphocytic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Celiac Disease; Anemia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249</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011281</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Breast</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250</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011283</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Mast Cell Leukemia, Advanced</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right w:val="single" w:sz="8" w:color="auto"/>
            </w:tcBorders>
          </w:tcPr>
          <w:p>
            <w:pPr>
              <w:spacing w:after="0"/>
              <w:rPr>
                <w:sz w:val="15"/>
                <w:szCs w:val="15"/>
                <w:color w:val="auto"/>
              </w:rPr>
            </w:pPr>
          </w:p>
        </w:tc>
        <w:tc>
          <w:tcPr>
            <w:tcW w:w="130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Systemic Mastocytosis, Myelodysplastic</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vMerge w:val="continue"/>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Syndrome.</w:t>
            </w: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253</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Prostate Cancer; Non</w:t>
            </w:r>
            <w:r>
              <w:rPr>
                <w:rFonts w:ascii="MS PGothic" w:cs="MS PGothic" w:eastAsia="MS PGothic" w:hAnsi="MS PGothic"/>
                <w:sz w:val="18"/>
                <w:szCs w:val="18"/>
                <w:color w:val="auto"/>
              </w:rPr>
              <w:t>‐</w:t>
            </w:r>
            <w:r>
              <w:rPr>
                <w:rFonts w:ascii="Arial" w:cs="Arial" w:eastAsia="Arial" w:hAnsi="Arial"/>
                <w:sz w:val="18"/>
                <w:szCs w:val="18"/>
                <w:color w:val="auto"/>
              </w:rPr>
              <w:t>Hodgkins</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254</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011288</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Large Cell B Type Non</w:t>
            </w:r>
            <w:r>
              <w:rPr>
                <w:rFonts w:ascii="MS PGothic" w:cs="MS PGothic" w:eastAsia="MS PGothic" w:hAnsi="MS PGothic"/>
                <w:sz w:val="18"/>
                <w:szCs w:val="18"/>
                <w:color w:val="auto"/>
              </w:rPr>
              <w:t>‐</w:t>
            </w:r>
            <w:r>
              <w:rPr>
                <w:rFonts w:ascii="Arial" w:cs="Arial" w:eastAsia="Arial" w:hAnsi="Arial"/>
                <w:sz w:val="18"/>
                <w:szCs w:val="18"/>
                <w:color w:val="auto"/>
              </w:rPr>
              <w:t>Hodgkin's</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Intertility; 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Larynx Cancer;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265</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Paillary Thyroid</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Carcinoma; Basal Cell 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Myelogenous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Carcinoid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Myelodysplastic Syndrome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80"/>
          </w:cols>
          <w:pgMar w:left="320" w:top="714" w:right="129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Smouldering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Stage II</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(Paget's Disease)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Waldenstrom’s Macroglobulinemia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2 Brain Tumors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2" w:name="page183"/>
    <w:bookmarkEnd w:id="1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&amp; 11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335</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011395</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Lymphoma, Splenic Marginal Zone B</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340</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 Non</w:t>
            </w:r>
            <w:r>
              <w:rPr>
                <w:rFonts w:ascii="MS PGothic" w:cs="MS PGothic" w:eastAsia="MS PGothic" w:hAnsi="MS PGothic"/>
                <w:sz w:val="18"/>
                <w:szCs w:val="18"/>
                <w:color w:val="auto"/>
              </w:rPr>
              <w:t>‐</w:t>
            </w:r>
            <w:r>
              <w:rPr>
                <w:rFonts w:ascii="Arial" w:cs="Arial" w:eastAsia="Arial" w:hAnsi="Arial"/>
                <w:sz w:val="18"/>
                <w:szCs w:val="18"/>
                <w:color w:val="auto"/>
              </w:rPr>
              <w:t>Hodgkin's</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Myelodysplastic Syndrome; 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349</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Ductal carcinoma in</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situ</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352</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CLF/MBG</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Follicular Lymphoma; Diffuse Large B</w:t>
            </w:r>
            <w:r>
              <w:rPr>
                <w:rFonts w:ascii="MS PGothic" w:cs="MS PGothic" w:eastAsia="MS PGothic" w:hAnsi="MS PGothic"/>
                <w:sz w:val="18"/>
                <w:szCs w:val="18"/>
                <w:color w:val="auto"/>
              </w:rPr>
              <w:t>‐</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Cell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359</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Hodgkin's Lymphoma, Nodular</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Sclerosis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3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21-L-011755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3" w:name="page184"/>
    <w:bookmarkEnd w:id="1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378</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011450</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RB/HME</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Uterine Cancer; Lung</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Essential Thrombocythemia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Myelofibrosis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 (Ependymoma)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CLL/SLL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4" w:name="page185"/>
    <w:bookmarkEnd w:id="1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(Hairy Cell)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 Chronic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Disease | 2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 Mets.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5" w:name="page186"/>
    <w:bookmarkEnd w:id="1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Hairy Cell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Chronic Lymphocytic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6" w:name="page187"/>
    <w:bookmarkEnd w:id="1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 (Waldenstroms)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 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Prostate &amp; Lung Cancers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Lung Cancer, Non</w:t>
            </w:r>
            <w:r>
              <w:rPr>
                <w:rFonts w:ascii="MS PGothic" w:cs="MS PGothic" w:eastAsia="MS PGothic" w:hAnsi="MS PGothic"/>
                <w:sz w:val="18"/>
                <w:szCs w:val="18"/>
                <w:color w:val="auto"/>
              </w:rPr>
              <w:t>‐</w:t>
            </w:r>
            <w:r>
              <w:rPr>
                <w:rFonts w:ascii="Arial" w:cs="Arial" w:eastAsia="Arial" w:hAnsi="Arial"/>
                <w:sz w:val="18"/>
                <w:szCs w:val="18"/>
                <w:color w:val="auto"/>
              </w:rPr>
              <w:t>Small Cell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535</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011638</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RB/HME</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Hodgkin's Lymphoma; prostate</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cancer;lymph node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Hairy Cell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7" w:name="page188"/>
    <w:bookmarkEnd w:id="1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 (3)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Liver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 &amp; Brain Tumor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589</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011705</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3"/>
              </w:rPr>
              <w:t>Breast, Lymphoma, Non</w:t>
            </w:r>
            <w:r>
              <w:rPr>
                <w:rFonts w:ascii="MS PGothic" w:cs="MS PGothic" w:eastAsia="MS PGothic" w:hAnsi="MS PGothic"/>
                <w:sz w:val="18"/>
                <w:szCs w:val="18"/>
                <w:color w:val="auto"/>
                <w:w w:val="93"/>
              </w:rPr>
              <w:t>‐</w:t>
            </w:r>
            <w:r>
              <w:rPr>
                <w:rFonts w:ascii="Arial" w:cs="Arial" w:eastAsia="Arial" w:hAnsi="Arial"/>
                <w:sz w:val="18"/>
                <w:szCs w:val="18"/>
                <w:color w:val="auto"/>
                <w:w w:val="93"/>
              </w:rPr>
              <w:t>Hodgkin's Lymphoma,</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Spindle Cell &amp; Skin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(Follicular)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Multiforme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 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Chronic Lymphatic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8" w:name="page189"/>
    <w:bookmarkEnd w:id="1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 (3)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613</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011739</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Invasive ductal</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 (3)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Acute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89" w:name="page190"/>
    <w:bookmarkEnd w:id="1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Multiforme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 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&amp; Stage IV Lung Cancers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 Stage 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Leukemia </w:t>
            </w:r>
            <w:r>
              <w:rPr>
                <w:rFonts w:ascii="MS PGothic" w:cs="MS PGothic" w:eastAsia="MS PGothic" w:hAnsi="MS PGothic"/>
                <w:sz w:val="18"/>
                <w:szCs w:val="18"/>
                <w:color w:val="auto"/>
              </w:rPr>
              <w:t>‐</w:t>
            </w:r>
            <w:r>
              <w:rPr>
                <w:rFonts w:ascii="Arial" w:cs="Arial" w:eastAsia="Arial" w:hAnsi="Arial"/>
                <w:sz w:val="18"/>
                <w:szCs w:val="18"/>
                <w:color w:val="auto"/>
              </w:rPr>
              <w:t xml:space="preserve"> Chronic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 Stage III</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Acute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90" w:name="page191"/>
    <w:bookmarkEnd w:id="1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Scleroderma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Esophageal Cancer; Rectal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acute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MS; MC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91" w:name="page192"/>
    <w:bookmarkEnd w:id="1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DCIS ductal 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Papillary 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Papillary 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756</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012007</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Corboy &amp; Demetrio</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Birth injury bi</w:t>
            </w:r>
            <w:r>
              <w:rPr>
                <w:rFonts w:ascii="MS PGothic" w:cs="MS PGothic" w:eastAsia="MS PGothic" w:hAnsi="MS PGothic"/>
                <w:sz w:val="18"/>
                <w:szCs w:val="18"/>
                <w:color w:val="auto"/>
              </w:rPr>
              <w:t>‐</w:t>
            </w:r>
            <w:r>
              <w:rPr>
                <w:rFonts w:ascii="Arial" w:cs="Arial" w:eastAsia="Arial" w:hAnsi="Arial"/>
                <w:sz w:val="18"/>
                <w:szCs w:val="18"/>
                <w:color w:val="auto"/>
              </w:rPr>
              <w:t>lateral cleft lip and</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palate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Polycythemia Vera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012678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012714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012716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012932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012934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000298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001179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001180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001181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001446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001988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001996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MGUS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003177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003186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003187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004720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004755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92" w:name="page193"/>
    <w:bookmarkEnd w:id="1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007002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008438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008445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22-L-008794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02124"/>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009409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22-L-009500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Neuroendocrine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22-L-009500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009683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830</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011116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CLF/MBG</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Follicular Lymphoma; thyroid cancer;</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DLBCL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Hairy Cell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22-L-011253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Esophageal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Neuroendocrine Tumor/GIST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280"/>
          </w:cols>
          <w:pgMar w:left="320" w:top="714" w:right="1299" w:bottom="1440" w:gutter="0" w:footer="0" w:header="0"/>
        </w:sectPr>
      </w:pPr>
    </w:p>
    <w:bookmarkStart w:id="193" w:name="page194"/>
    <w:bookmarkEnd w:id="1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22-L-011485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000031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Endometrial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000114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000548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23-L-000274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Hofeld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Hofeld 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23-L-000284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Hofeld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Hofeld 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23-L-002612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Yes (B)</w:t>
            </w:r>
          </w:p>
        </w:tc>
      </w:tr>
    </w:tbl>
    <w:p>
      <w:pPr>
        <w:sectPr>
          <w:pgSz w:w="11900" w:h="16838" w:orient="portrait"/>
          <w:cols w:equalWidth="0" w:num="1">
            <w:col w:w="10280"/>
          </w:cols>
          <w:pgMar w:left="320" w:top="714" w:right="1299" w:bottom="1440" w:gutter="0" w:footer="0" w:header="0"/>
        </w:sectPr>
      </w:pPr>
    </w:p>
    <w:bookmarkStart w:id="194" w:name="page195"/>
    <w:bookmarkEnd w:id="194"/>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APPENDIX B</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 of Clients with Unfiled Claims</w:t>
      </w:r>
    </w:p>
    <w:p>
      <w:pPr>
        <w:sectPr>
          <w:pgSz w:w="11900" w:h="16838" w:orient="portrait"/>
          <w:cols w:equalWidth="0" w:num="1">
            <w:col w:w="9019"/>
          </w:cols>
          <w:pgMar w:left="1440" w:top="1440" w:right="1440" w:bottom="1440" w:gutter="0" w:footer="0" w:header="0"/>
        </w:sectPr>
      </w:pPr>
    </w:p>
    <w:bookmarkStart w:id="195" w:name="page196"/>
    <w:bookmarkEnd w:id="195"/>
    <w:tbl>
      <w:tblPr>
        <w:tblLayout w:type="fixed"/>
        <w:tblInd w:w="10" w:type="dxa"/>
        <w:tblCellMar>
          <w:top w:w="0" w:type="dxa"/>
          <w:left w:w="0" w:type="dxa"/>
          <w:bottom w:w="0" w:type="dxa"/>
          <w:right w:w="0" w:type="dxa"/>
        </w:tblCellMar>
      </w:tblPr>
      <w:tr>
        <w:trPr>
          <w:trHeight w:val="203"/>
        </w:trPr>
        <w:tc>
          <w:tcPr>
            <w:tcW w:w="840" w:type="dxa"/>
            <w:vAlign w:val="bottom"/>
            <w:tcBorders>
              <w:top w:val="single" w:sz="8" w:color="auto"/>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18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CLAIMANT NAME(S)</w:t>
            </w:r>
          </w:p>
        </w:tc>
        <w:tc>
          <w:tcPr>
            <w:tcW w:w="2120" w:type="dxa"/>
            <w:vAlign w:val="bottom"/>
            <w:tcBorders>
              <w:top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b w:val="1"/>
                <w:bCs w:val="1"/>
                <w:color w:val="auto"/>
              </w:rPr>
              <w:t>NEW CASE NUMBER</w:t>
            </w:r>
          </w:p>
        </w:tc>
        <w:tc>
          <w:tcPr>
            <w:tcW w:w="2060" w:type="dxa"/>
            <w:vAlign w:val="bottom"/>
            <w:tcBorders>
              <w:top w:val="single" w:sz="8" w:color="auto"/>
              <w:right w:val="single" w:sz="8" w:color="auto"/>
            </w:tcBorders>
            <w:gridSpan w:val="3"/>
          </w:tcPr>
          <w:p>
            <w:pPr>
              <w:ind w:left="760"/>
              <w:spacing w:after="0" w:line="202" w:lineRule="exact"/>
              <w:rPr>
                <w:sz w:val="20"/>
                <w:szCs w:val="20"/>
                <w:color w:val="auto"/>
              </w:rPr>
            </w:pPr>
            <w:r>
              <w:rPr>
                <w:rFonts w:ascii="Arial" w:cs="Arial" w:eastAsia="Arial" w:hAnsi="Arial"/>
                <w:sz w:val="18"/>
                <w:szCs w:val="18"/>
                <w:b w:val="1"/>
                <w:bCs w:val="1"/>
                <w:color w:val="auto"/>
              </w:rPr>
              <w:t>FIRM</w:t>
            </w:r>
          </w:p>
        </w:tc>
        <w:tc>
          <w:tcPr>
            <w:tcW w:w="28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DIAGNOSIS/DIAGNOSES**</w:t>
            </w:r>
          </w:p>
        </w:tc>
        <w:tc>
          <w:tcPr>
            <w:tcW w:w="0" w:type="dxa"/>
            <w:vAlign w:val="bottom"/>
          </w:tcPr>
          <w:p>
            <w:pPr>
              <w:spacing w:after="0"/>
              <w:rPr>
                <w:sz w:val="1"/>
                <w:szCs w:val="1"/>
                <w:color w:val="auto"/>
              </w:rPr>
            </w:pPr>
          </w:p>
        </w:tc>
      </w:tr>
      <w:tr>
        <w:trPr>
          <w:trHeight w:val="48"/>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82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30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HL</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Cavanagh Law Group</w:t>
            </w: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Lymphoma</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RB/HME</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Glioblastoma</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NHL</w:t>
            </w: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Lung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Myeloproliferative Neoplasm</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Stomach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CLL</w:t>
            </w: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WSOR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WSOR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KJS</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Uterine Cancer</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Colon Cancer</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NHL</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Malt Lymphoma</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MN</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Brain Cancer</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Pancreatic Cancer</w:t>
            </w:r>
          </w:p>
        </w:tc>
        <w:tc>
          <w:tcPr>
            <w:tcW w:w="0" w:type="dxa"/>
            <w:vAlign w:val="bottom"/>
          </w:tcPr>
          <w:p>
            <w:pPr>
              <w:spacing w:after="0"/>
              <w:rPr>
                <w:sz w:val="1"/>
                <w:szCs w:val="1"/>
                <w:color w:val="auto"/>
              </w:rPr>
            </w:pPr>
          </w:p>
        </w:tc>
      </w:tr>
    </w:tbl>
    <w:p>
      <w:pPr>
        <w:sectPr>
          <w:pgSz w:w="11900" w:h="16838" w:orient="portrait"/>
          <w:cols w:equalWidth="0" w:num="1">
            <w:col w:w="10060"/>
          </w:cols>
          <w:pgMar w:left="440" w:top="1105" w:right="1399" w:bottom="1440" w:gutter="0" w:footer="0" w:header="0"/>
        </w:sectPr>
      </w:pPr>
    </w:p>
    <w:bookmarkStart w:id="196" w:name="page197"/>
    <w:bookmarkEnd w:id="196"/>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APPENDIX C</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List of Trial Plaintiffs</w:t>
      </w:r>
    </w:p>
    <w:p>
      <w:pPr>
        <w:sectPr>
          <w:pgSz w:w="11900" w:h="16838" w:orient="portrait"/>
          <w:cols w:equalWidth="0" w:num="1">
            <w:col w:w="9019"/>
          </w:cols>
          <w:pgMar w:left="1440" w:top="1440" w:right="1440" w:bottom="1440" w:gutter="0" w:footer="0" w:header="0"/>
        </w:sectPr>
      </w:pPr>
    </w:p>
    <w:bookmarkStart w:id="197" w:name="page198"/>
    <w:bookmarkEnd w:id="197"/>
    <w:tbl>
      <w:tblPr>
        <w:tblLayout w:type="fixed"/>
        <w:tblInd w:w="10" w:type="dxa"/>
        <w:tblCellMar>
          <w:top w:w="0" w:type="dxa"/>
          <w:left w:w="0" w:type="dxa"/>
          <w:bottom w:w="0" w:type="dxa"/>
          <w:right w:w="0" w:type="dxa"/>
        </w:tblCellMar>
      </w:tblPr>
      <w:tr>
        <w:trPr>
          <w:trHeight w:val="203"/>
        </w:trPr>
        <w:tc>
          <w:tcPr>
            <w:tcW w:w="2240" w:type="dxa"/>
            <w:vAlign w:val="bottom"/>
            <w:tcBorders>
              <w:top w:val="single" w:sz="8" w:color="auto"/>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b w:val="1"/>
                <w:bCs w:val="1"/>
                <w:color w:val="auto"/>
              </w:rPr>
              <w:t>CLAIMANT NAME(S)</w:t>
            </w:r>
          </w:p>
        </w:tc>
        <w:tc>
          <w:tcPr>
            <w:tcW w:w="1920" w:type="dxa"/>
            <w:vAlign w:val="bottom"/>
            <w:tcBorders>
              <w:top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CASE NUMBER</w:t>
            </w:r>
          </w:p>
        </w:tc>
        <w:tc>
          <w:tcPr>
            <w:tcW w:w="40" w:type="dxa"/>
            <w:vAlign w:val="bottom"/>
            <w:tcBorders>
              <w:top w:val="single" w:sz="8" w:color="auto"/>
            </w:tcBorders>
          </w:tcPr>
          <w:p>
            <w:pPr>
              <w:spacing w:after="0"/>
              <w:rPr>
                <w:sz w:val="17"/>
                <w:szCs w:val="17"/>
                <w:color w:val="auto"/>
              </w:rPr>
            </w:pPr>
          </w:p>
        </w:tc>
        <w:tc>
          <w:tcPr>
            <w:tcW w:w="220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FIRM</w:t>
            </w:r>
          </w:p>
        </w:tc>
        <w:tc>
          <w:tcPr>
            <w:tcW w:w="40" w:type="dxa"/>
            <w:vAlign w:val="bottom"/>
            <w:tcBorders>
              <w:top w:val="single" w:sz="8" w:color="auto"/>
            </w:tcBorders>
          </w:tcPr>
          <w:p>
            <w:pPr>
              <w:spacing w:after="0"/>
              <w:rPr>
                <w:sz w:val="17"/>
                <w:szCs w:val="17"/>
                <w:color w:val="auto"/>
              </w:rPr>
            </w:pPr>
          </w:p>
        </w:tc>
        <w:tc>
          <w:tcPr>
            <w:tcW w:w="338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DIAGNOSIS/DIAGNOSES</w:t>
            </w:r>
          </w:p>
        </w:tc>
        <w:tc>
          <w:tcPr>
            <w:tcW w:w="0" w:type="dxa"/>
            <w:vAlign w:val="bottom"/>
          </w:tcPr>
          <w:p>
            <w:pPr>
              <w:spacing w:after="0"/>
              <w:rPr>
                <w:sz w:val="1"/>
                <w:szCs w:val="1"/>
                <w:color w:val="auto"/>
              </w:rPr>
            </w:pPr>
          </w:p>
        </w:tc>
      </w:tr>
      <w:tr>
        <w:trPr>
          <w:trHeight w:val="115"/>
        </w:trPr>
        <w:tc>
          <w:tcPr>
            <w:tcW w:w="2240" w:type="dxa"/>
            <w:vAlign w:val="bottom"/>
            <w:tcBorders>
              <w:top w:val="single" w:sz="8" w:color="auto"/>
              <w:left w:val="single" w:sz="8" w:color="auto"/>
              <w:right w:val="single" w:sz="8" w:color="auto"/>
            </w:tcBorders>
            <w:gridSpan w:val="3"/>
            <w:vMerge w:val="continue"/>
          </w:tcPr>
          <w:p>
            <w:pPr>
              <w:spacing w:after="0"/>
              <w:rPr>
                <w:sz w:val="10"/>
                <w:szCs w:val="10"/>
                <w:color w:val="auto"/>
              </w:rPr>
            </w:pPr>
          </w:p>
        </w:tc>
        <w:tc>
          <w:tcPr>
            <w:tcW w:w="1920" w:type="dxa"/>
            <w:vAlign w:val="bottom"/>
            <w:tcBorders>
              <w:top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Borders>
              <w:top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60" w:type="dxa"/>
            <w:vAlign w:val="bottom"/>
            <w:tcBorders>
              <w:left w:val="single" w:sz="8" w:color="auto"/>
              <w:bottom w:val="single" w:sz="8" w:color="auto"/>
            </w:tcBorders>
          </w:tcPr>
          <w:p>
            <w:pPr>
              <w:spacing w:after="0"/>
              <w:rPr>
                <w:sz w:val="4"/>
                <w:szCs w:val="4"/>
                <w:color w:val="auto"/>
              </w:rPr>
            </w:pPr>
          </w:p>
        </w:tc>
        <w:tc>
          <w:tcPr>
            <w:tcW w:w="182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Susan Kamuda</w:t>
            </w:r>
          </w:p>
        </w:tc>
        <w:tc>
          <w:tcPr>
            <w:tcW w:w="1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010475</w:t>
            </w:r>
          </w:p>
        </w:tc>
        <w:tc>
          <w:tcPr>
            <w:tcW w:w="40" w:type="dxa"/>
            <w:vAlign w:val="bottom"/>
          </w:tcPr>
          <w:p>
            <w:pPr>
              <w:spacing w:after="0"/>
              <w:rPr>
                <w:sz w:val="19"/>
                <w:szCs w:val="19"/>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9"/>
              </w:rPr>
              <w:t>Salvi, Schostok &amp; Pritchard</w:t>
            </w:r>
          </w:p>
        </w:tc>
        <w:tc>
          <w:tcPr>
            <w:tcW w:w="34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67"/>
        </w:trPr>
        <w:tc>
          <w:tcPr>
            <w:tcW w:w="60" w:type="dxa"/>
            <w:vAlign w:val="bottom"/>
            <w:tcBorders>
              <w:left w:val="single" w:sz="8" w:color="auto"/>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240" w:type="dxa"/>
            <w:vAlign w:val="bottom"/>
            <w:tcBorders>
              <w:left w:val="single" w:sz="8" w:color="auto"/>
              <w:right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Brian Kamuda</w:t>
            </w:r>
          </w:p>
        </w:tc>
        <w:tc>
          <w:tcPr>
            <w:tcW w:w="192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010475</w:t>
            </w:r>
          </w:p>
        </w:tc>
        <w:tc>
          <w:tcPr>
            <w:tcW w:w="40" w:type="dxa"/>
            <w:vAlign w:val="bottom"/>
          </w:tcPr>
          <w:p>
            <w:pPr>
              <w:spacing w:after="0"/>
              <w:rPr>
                <w:sz w:val="14"/>
                <w:szCs w:val="14"/>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9"/>
              </w:rPr>
              <w:t>Salvi, Schostok &amp; Pritchard</w:t>
            </w:r>
          </w:p>
        </w:tc>
        <w:tc>
          <w:tcPr>
            <w:tcW w:w="342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w w:val="98"/>
              </w:rPr>
              <w:t>Follicular Lymphoma; Diffuse Large B</w:t>
            </w:r>
            <w:r>
              <w:rPr>
                <w:rFonts w:ascii="MS PGothic" w:cs="MS PGothic" w:eastAsia="MS PGothic" w:hAnsi="MS PGothic"/>
                <w:sz w:val="18"/>
                <w:szCs w:val="18"/>
                <w:color w:val="auto"/>
                <w:w w:val="98"/>
              </w:rPr>
              <w:t>‐</w:t>
            </w:r>
            <w:r>
              <w:rPr>
                <w:rFonts w:ascii="Arial" w:cs="Arial" w:eastAsia="Arial" w:hAnsi="Arial"/>
                <w:sz w:val="18"/>
                <w:szCs w:val="18"/>
                <w:color w:val="auto"/>
                <w:w w:val="98"/>
              </w:rPr>
              <w:t>Cell</w:t>
            </w:r>
          </w:p>
        </w:tc>
        <w:tc>
          <w:tcPr>
            <w:tcW w:w="0" w:type="dxa"/>
            <w:vAlign w:val="bottom"/>
          </w:tcPr>
          <w:p>
            <w:pPr>
              <w:spacing w:after="0"/>
              <w:rPr>
                <w:sz w:val="1"/>
                <w:szCs w:val="1"/>
                <w:color w:val="auto"/>
              </w:rPr>
            </w:pPr>
          </w:p>
        </w:tc>
      </w:tr>
      <w:tr>
        <w:trPr>
          <w:trHeight w:val="162"/>
        </w:trPr>
        <w:tc>
          <w:tcPr>
            <w:tcW w:w="60" w:type="dxa"/>
            <w:vAlign w:val="bottom"/>
            <w:tcBorders>
              <w:left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Borders>
              <w:right w:val="single" w:sz="8" w:color="auto"/>
            </w:tcBorders>
            <w:gridSpan w:val="2"/>
            <w:vMerge w:val="continue"/>
          </w:tcPr>
          <w:p>
            <w:pPr>
              <w:spacing w:after="0"/>
              <w:rPr>
                <w:sz w:val="14"/>
                <w:szCs w:val="14"/>
                <w:color w:val="auto"/>
              </w:rPr>
            </w:pPr>
          </w:p>
        </w:tc>
        <w:tc>
          <w:tcPr>
            <w:tcW w:w="34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Lymphoma</w:t>
            </w:r>
          </w:p>
        </w:tc>
        <w:tc>
          <w:tcPr>
            <w:tcW w:w="0" w:type="dxa"/>
            <w:vAlign w:val="bottom"/>
          </w:tcPr>
          <w:p>
            <w:pPr>
              <w:spacing w:after="0"/>
              <w:rPr>
                <w:sz w:val="1"/>
                <w:szCs w:val="1"/>
                <w:color w:val="auto"/>
              </w:rPr>
            </w:pPr>
          </w:p>
        </w:tc>
      </w:tr>
      <w:tr>
        <w:trPr>
          <w:trHeight w:val="75"/>
        </w:trPr>
        <w:tc>
          <w:tcPr>
            <w:tcW w:w="60" w:type="dxa"/>
            <w:vAlign w:val="bottom"/>
            <w:tcBorders>
              <w:left w:val="single" w:sz="8" w:color="auto"/>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Teresa Fornek</w:t>
            </w:r>
          </w:p>
        </w:tc>
        <w:tc>
          <w:tcPr>
            <w:tcW w:w="1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010744</w:t>
            </w:r>
          </w:p>
        </w:tc>
        <w:tc>
          <w:tcPr>
            <w:tcW w:w="40" w:type="dxa"/>
            <w:vAlign w:val="bottom"/>
          </w:tcPr>
          <w:p>
            <w:pPr>
              <w:spacing w:after="0"/>
              <w:rPr>
                <w:sz w:val="20"/>
                <w:szCs w:val="20"/>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Smith Lacien</w:t>
            </w:r>
          </w:p>
        </w:tc>
        <w:tc>
          <w:tcPr>
            <w:tcW w:w="34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ALL</w:t>
            </w:r>
          </w:p>
        </w:tc>
        <w:tc>
          <w:tcPr>
            <w:tcW w:w="0" w:type="dxa"/>
            <w:vAlign w:val="bottom"/>
          </w:tcPr>
          <w:p>
            <w:pPr>
              <w:spacing w:after="0"/>
              <w:rPr>
                <w:sz w:val="1"/>
                <w:szCs w:val="1"/>
                <w:color w:val="auto"/>
              </w:rPr>
            </w:pPr>
          </w:p>
        </w:tc>
      </w:tr>
      <w:tr>
        <w:trPr>
          <w:trHeight w:val="134"/>
        </w:trPr>
        <w:tc>
          <w:tcPr>
            <w:tcW w:w="2240" w:type="dxa"/>
            <w:vAlign w:val="bottom"/>
            <w:tcBorders>
              <w:left w:val="single" w:sz="8" w:color="auto"/>
              <w:right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Doug Fornek</w:t>
            </w:r>
          </w:p>
        </w:tc>
        <w:tc>
          <w:tcPr>
            <w:tcW w:w="1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Smith Lacien</w:t>
            </w: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240" w:type="dxa"/>
            <w:vAlign w:val="bottom"/>
            <w:tcBorders>
              <w:left w:val="single" w:sz="8" w:color="auto"/>
              <w:right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2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Heather Schumacher and</w:t>
            </w:r>
          </w:p>
        </w:tc>
        <w:tc>
          <w:tcPr>
            <w:tcW w:w="1920" w:type="dxa"/>
            <w:vAlign w:val="bottom"/>
            <w:tcBorders>
              <w:right w:val="single" w:sz="8" w:color="auto"/>
            </w:tcBorders>
            <w:gridSpan w:val="3"/>
            <w:vMerge w:val="restart"/>
          </w:tcPr>
          <w:p>
            <w:pPr>
              <w:ind w:left="4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011939</w:t>
            </w:r>
          </w:p>
        </w:tc>
        <w:tc>
          <w:tcPr>
            <w:tcW w:w="40" w:type="dxa"/>
            <w:vAlign w:val="bottom"/>
          </w:tcPr>
          <w:p>
            <w:pPr>
              <w:spacing w:after="0"/>
              <w:rPr>
                <w:sz w:val="24"/>
                <w:szCs w:val="24"/>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RB/HME</w:t>
            </w:r>
          </w:p>
        </w:tc>
        <w:tc>
          <w:tcPr>
            <w:tcW w:w="34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Hodgkin's Lymphoma</w:t>
            </w:r>
          </w:p>
        </w:tc>
        <w:tc>
          <w:tcPr>
            <w:tcW w:w="0" w:type="dxa"/>
            <w:vAlign w:val="bottom"/>
          </w:tcPr>
          <w:p>
            <w:pPr>
              <w:spacing w:after="0"/>
              <w:rPr>
                <w:sz w:val="1"/>
                <w:szCs w:val="1"/>
                <w:color w:val="auto"/>
              </w:rPr>
            </w:pPr>
          </w:p>
        </w:tc>
      </w:tr>
      <w:tr>
        <w:trPr>
          <w:trHeight w:val="203"/>
        </w:trPr>
        <w:tc>
          <w:tcPr>
            <w:tcW w:w="224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Michael Schumacher</w:t>
            </w:r>
          </w:p>
        </w:tc>
        <w:tc>
          <w:tcPr>
            <w:tcW w:w="1920" w:type="dxa"/>
            <w:vAlign w:val="bottom"/>
            <w:tcBorders>
              <w:right w:val="single" w:sz="8" w:color="auto"/>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200" w:type="dxa"/>
            <w:vAlign w:val="bottom"/>
            <w:tcBorders>
              <w:right w:val="single" w:sz="8" w:color="auto"/>
            </w:tcBorders>
            <w:gridSpan w:val="2"/>
            <w:vMerge w:val="continue"/>
          </w:tcPr>
          <w:p>
            <w:pPr>
              <w:spacing w:after="0"/>
              <w:rPr>
                <w:sz w:val="17"/>
                <w:szCs w:val="17"/>
                <w:color w:val="auto"/>
              </w:rPr>
            </w:pPr>
          </w:p>
        </w:tc>
        <w:tc>
          <w:tcPr>
            <w:tcW w:w="342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1105" w:right="1440" w:bottom="1440" w:gutter="0" w:footer="0" w:header="0"/>
        </w:sectPr>
      </w:pPr>
    </w:p>
    <w:bookmarkStart w:id="198" w:name="page199"/>
    <w:bookmarkEnd w:id="198"/>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Non-PEC Firms</w:t>
      </w:r>
    </w:p>
    <w:p>
      <w:pPr>
        <w:sectPr>
          <w:pgSz w:w="11900" w:h="16838" w:orient="portrait"/>
          <w:cols w:equalWidth="0" w:num="1">
            <w:col w:w="9019"/>
          </w:cols>
          <w:pgMar w:left="1440" w:top="1440" w:right="1440" w:bottom="1440" w:gutter="0" w:footer="0" w:header="0"/>
        </w:sectPr>
      </w:pPr>
    </w:p>
    <w:bookmarkStart w:id="199" w:name="page200"/>
    <w:bookmarkEnd w:id="199"/>
    <w:tbl>
      <w:tblPr>
        <w:tblLayout w:type="fixed"/>
        <w:tblInd w:w="10" w:type="dxa"/>
        <w:tblCellMar>
          <w:top w:w="0" w:type="dxa"/>
          <w:left w:w="0" w:type="dxa"/>
          <w:bottom w:w="0" w:type="dxa"/>
          <w:right w:w="0" w:type="dxa"/>
        </w:tblCellMar>
      </w:tblPr>
      <w:tr>
        <w:trPr>
          <w:trHeight w:val="216"/>
        </w:trPr>
        <w:tc>
          <w:tcPr>
            <w:tcW w:w="1000" w:type="dxa"/>
            <w:vAlign w:val="bottom"/>
            <w:tcBorders>
              <w:top w:val="single" w:sz="8" w:color="auto"/>
              <w:left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LAW FIRM NAME</w:t>
            </w:r>
          </w:p>
        </w:tc>
      </w:tr>
      <w:tr>
        <w:trPr>
          <w:trHeight w:val="34"/>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43"/>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BARNEY &amp; KARAMANIS</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CAVANAGH LAW GROUP</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CLIFFORD LAW OFFICES</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CORBOY &amp; DEMETRIO</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DOLAN LAW</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EDELSON P.C.</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GOLDBERG WEISMAN &amp; CAIRO</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KRALOVEC JAMBOIS &amp; SCHWARTZ</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MCNABOLA LAW GROUP</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MOTHERWAY &amp; NAPLETON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NOLAN LAW GROUP</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POWER ROGERS</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TAXMAN POLLACK MURRAY &amp; BEKKERMAN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WINTERS SALZETTA O'BRIEN &amp; RICHARDSON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WISE MORRISSEY</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HOLFED &amp; SCHAFFNER</w:t>
            </w:r>
          </w:p>
        </w:tc>
      </w:tr>
    </w:tbl>
    <w:p>
      <w:pPr>
        <w:sectPr>
          <w:pgSz w:w="11900" w:h="16838" w:orient="portrait"/>
          <w:cols w:equalWidth="0" w:num="1">
            <w:col w:w="10019"/>
          </w:cols>
          <w:pgMar w:left="440" w:top="1105" w:right="1440" w:bottom="1440" w:gutter="0" w:footer="0" w:header="0"/>
        </w:sectPr>
      </w:pPr>
    </w:p>
    <w:bookmarkStart w:id="200" w:name="page201"/>
    <w:bookmarkEnd w:id="200"/>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APPENDIX 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 of Other Facility Claims</w:t>
      </w:r>
    </w:p>
    <w:p>
      <w:pPr>
        <w:sectPr>
          <w:pgSz w:w="11900" w:h="16838" w:orient="portrait"/>
          <w:cols w:equalWidth="0" w:num="1">
            <w:col w:w="9019"/>
          </w:cols>
          <w:pgMar w:left="1440" w:top="1440" w:right="1440" w:bottom="1440" w:gutter="0" w:footer="0" w:header="0"/>
        </w:sectPr>
      </w:pPr>
    </w:p>
    <w:bookmarkStart w:id="201" w:name="page202"/>
    <w:bookmarkEnd w:id="201"/>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8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56585B"/>
              </w:rPr>
              <w:t>Case Name</w:t>
            </w:r>
          </w:p>
        </w:tc>
        <w:tc>
          <w:tcPr>
            <w:tcW w:w="39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56585B"/>
              </w:rPr>
              <w:t>Member Case Name</w:t>
            </w:r>
          </w:p>
        </w:tc>
        <w:tc>
          <w:tcPr>
            <w:tcW w:w="138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56585B"/>
                <w:w w:val="96"/>
              </w:rPr>
              <w:t>Plaintiff</w:t>
            </w:r>
          </w:p>
        </w:tc>
        <w:tc>
          <w:tcPr>
            <w:tcW w:w="13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Firm</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Harrell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Adams, et al. v. Sterigenics, U.S., LLC, et al.</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Goodrich v. Sterigenics [Stayed]</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Horn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Horn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Horn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Horn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DiCorpo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Horn v. Sterigenics</w:t>
            </w: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Edelson, P.C.</w:t>
            </w:r>
          </w:p>
        </w:tc>
      </w:tr>
      <w:tr>
        <w:trPr>
          <w:trHeight w:val="223"/>
        </w:trPr>
        <w:tc>
          <w:tcPr>
            <w:tcW w:w="4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56585B"/>
              </w:rPr>
              <w:t>Total</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0139"/>
          </w:cols>
          <w:pgMar w:left="320" w:top="1440"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3, 2023</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F. Biehl, certify that:</w:t>
      </w:r>
    </w:p>
    <w:p>
      <w:pPr>
        <w:spacing w:after="0" w:line="225" w:lineRule="exact"/>
        <w:rPr>
          <w:sz w:val="20"/>
          <w:szCs w:val="20"/>
          <w:color w:val="auto"/>
        </w:rPr>
      </w:pPr>
    </w:p>
    <w:p>
      <w:pPr>
        <w:ind w:left="340" w:hanging="332"/>
        <w:spacing w:after="0"/>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3, 2023</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F. Biehl</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to each such officer’s knowledge, that the Company’s Quarterly Report on Form 10-Q for the quarter ended March 31, 2023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May 3, 2023</w:t>
      </w:r>
      <w:r>
        <w:rPr>
          <w:sz w:val="20"/>
          <w:szCs w:val="20"/>
          <w:color w:val="auto"/>
        </w:rPr>
        <w:tab/>
      </w:r>
      <w:r>
        <w:rPr>
          <w:rFonts w:ascii="Arial" w:cs="Arial" w:eastAsia="Arial" w:hAnsi="Arial"/>
          <w:sz w:val="16"/>
          <w:szCs w:val="16"/>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40640</wp:posOffset>
            </wp:positionV>
            <wp:extent cx="3497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Michael B. Petras, Jr.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35"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May 3, 2023</w:t>
      </w:r>
      <w:r>
        <w:rPr>
          <w:sz w:val="20"/>
          <w:szCs w:val="20"/>
          <w:color w:val="auto"/>
        </w:rPr>
        <w:tab/>
      </w:r>
      <w:r>
        <w:rPr>
          <w:rFonts w:ascii="Arial" w:cs="Arial" w:eastAsia="Arial" w:hAnsi="Arial"/>
          <w:sz w:val="16"/>
          <w:szCs w:val="16"/>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40640</wp:posOffset>
            </wp:positionV>
            <wp:extent cx="3497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Michael F. Biehl</w:t>
      </w:r>
    </w:p>
    <w:p>
      <w:pPr>
        <w:ind w:left="5520"/>
        <w:spacing w:after="0" w:line="216" w:lineRule="auto"/>
        <w:rPr>
          <w:sz w:val="20"/>
          <w:szCs w:val="20"/>
          <w:color w:val="auto"/>
        </w:rPr>
      </w:pPr>
      <w:r>
        <w:rPr>
          <w:rFonts w:ascii="Arial" w:cs="Arial" w:eastAsia="Arial" w:hAnsi="Arial"/>
          <w:sz w:val="18"/>
          <w:szCs w:val="18"/>
          <w:color w:val="auto"/>
        </w:rPr>
        <w:t>Title: Interim Chief Financial Officer</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p>
      <w:pPr>
        <w:spacing w:after="0" w:line="20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
      <w:numFmt w:val="bullet"/>
      <w:start w:val="1"/>
    </w:lvl>
  </w:abstractNum>
  <w:abstractNum w:abstractNumId="2">
    <w:nsid w:val="2157F6BC"/>
    <w:multiLevelType w:val="hybridMultilevel"/>
    <w:lvl w:ilvl="0">
      <w:lvlJc w:val="left"/>
      <w:lvlText w:val="☐"/>
      <w:numFmt w:val="bullet"/>
      <w:start w:val="1"/>
    </w:lvl>
  </w:abstractNum>
  <w:abstractNum w:abstractNumId="3">
    <w:nsid w:val="704E1DD5"/>
    <w:multiLevelType w:val="hybridMultilevel"/>
    <w:lvl w:ilvl="0">
      <w:lvlJc w:val="left"/>
      <w:lvlText w:val="•"/>
      <w:numFmt w:val="bullet"/>
      <w:start w:val="1"/>
    </w:lvl>
  </w:abstractNum>
  <w:abstractNum w:abstractNumId="4">
    <w:nsid w:val="57D2F10E"/>
    <w:multiLevelType w:val="hybridMultilevel"/>
    <w:lvl w:ilvl="0">
      <w:lvlJc w:val="left"/>
      <w:lvlText w:val="%1."/>
      <w:numFmt w:val="decimal"/>
      <w:start w:val="1"/>
    </w:lvl>
  </w:abstractNum>
  <w:abstractNum w:abstractNumId="5">
    <w:nsid w:val="BFFAE18"/>
    <w:multiLevelType w:val="hybridMultilevel"/>
    <w:lvl w:ilvl="0">
      <w:lvlJc w:val="left"/>
      <w:lvlText w:val="%1."/>
      <w:numFmt w:val="decimal"/>
      <w:start w:val="2"/>
    </w:lvl>
  </w:abstractNum>
  <w:abstractNum w:abstractNumId="6">
    <w:nsid w:val="E3E47A8"/>
    <w:multiLevelType w:val="hybridMultilevel"/>
    <w:lvl w:ilvl="0">
      <w:lvlJc w:val="left"/>
      <w:lvlText w:val="%1."/>
      <w:numFmt w:val="decimal"/>
      <w:start w:val="3"/>
    </w:lvl>
  </w:abstractNum>
  <w:abstractNum w:abstractNumId="7">
    <w:nsid w:val="2E48F044"/>
    <w:multiLevelType w:val="hybridMultilevel"/>
    <w:lvl w:ilvl="0">
      <w:lvlJc w:val="left"/>
      <w:lvlText w:val="%1."/>
      <w:numFmt w:val="decimal"/>
      <w:start w:val="4"/>
    </w:lvl>
  </w:abstractNum>
  <w:abstractNum w:abstractNumId="8">
    <w:nsid w:val="49D0FEAC"/>
    <w:multiLevelType w:val="hybridMultilevel"/>
    <w:lvl w:ilvl="0">
      <w:lvlJc w:val="left"/>
      <w:lvlText w:val="%1."/>
      <w:numFmt w:val="decimal"/>
      <w:start w:val="5"/>
    </w:lvl>
  </w:abstractNum>
  <w:abstractNum w:abstractNumId="9">
    <w:nsid w:val="4BEE5A5B"/>
    <w:multiLevelType w:val="hybridMultilevel"/>
    <w:lvl w:ilvl="0">
      <w:lvlJc w:val="left"/>
      <w:lvlText w:val="(%1)"/>
      <w:numFmt w:val="lowerLetter"/>
      <w:start w:val="1"/>
    </w:lvl>
  </w:abstractNum>
  <w:abstractNum w:abstractNumId="10">
    <w:nsid w:val="5551B9F3"/>
    <w:multiLevelType w:val="hybridMultilevel"/>
    <w:lvl w:ilvl="0">
      <w:lvlJc w:val="left"/>
      <w:lvlText w:val="%1."/>
      <w:numFmt w:val="decimal"/>
      <w:start w:val="9"/>
    </w:lvl>
  </w:abstractNum>
  <w:abstractNum w:abstractNumId="11">
    <w:nsid w:val="24F6AB8E"/>
    <w:multiLevelType w:val="hybridMultilevel"/>
    <w:lvl w:ilvl="0">
      <w:lvlJc w:val="left"/>
      <w:lvlText w:val="(%1)"/>
      <w:numFmt w:val="lowerLetter"/>
      <w:start w:val="1"/>
    </w:lvl>
  </w:abstractNum>
  <w:abstractNum w:abstractNumId="12">
    <w:nsid w:val="634C574C"/>
    <w:multiLevelType w:val="hybridMultilevel"/>
    <w:lvl w:ilvl="0">
      <w:lvlJc w:val="left"/>
      <w:lvlText w:val="(%1)"/>
      <w:numFmt w:val="lowerLetter"/>
      <w:start w:val="2"/>
    </w:lvl>
  </w:abstractNum>
  <w:abstractNum w:abstractNumId="13">
    <w:nsid w:val="24E99DD7"/>
    <w:multiLevelType w:val="hybridMultilevel"/>
    <w:lvl w:ilvl="0">
      <w:lvlJc w:val="left"/>
      <w:lvlText w:val="(%1)"/>
      <w:numFmt w:val="lowerLetter"/>
      <w:start w:val="1"/>
    </w:lvl>
  </w:abstractNum>
  <w:abstractNum w:abstractNumId="14">
    <w:nsid w:val="2A31B62D"/>
    <w:multiLevelType w:val="hybridMultilevel"/>
    <w:lvl w:ilvl="0">
      <w:lvlJc w:val="left"/>
      <w:lvlText w:val="(%1)"/>
      <w:numFmt w:val="lowerLetter"/>
      <w:start w:val="1"/>
    </w:lvl>
  </w:abstractNum>
  <w:abstractNum w:abstractNumId="15">
    <w:nsid w:val="1849C29B"/>
    <w:multiLevelType w:val="hybridMultilevel"/>
    <w:lvl w:ilvl="0">
      <w:lvlJc w:val="left"/>
      <w:lvlText w:val="(%1)"/>
      <w:numFmt w:val="lowerLetter"/>
      <w:start w:val="1"/>
    </w:lvl>
  </w:abstractNum>
  <w:abstractNum w:abstractNumId="16">
    <w:nsid w:val="7DFF9D09"/>
    <w:multiLevelType w:val="hybridMultilevel"/>
    <w:lvl w:ilvl="0">
      <w:lvlJc w:val="left"/>
      <w:lvlText w:val="(%1)"/>
      <w:numFmt w:val="lowerLetter"/>
      <w:start w:val="1"/>
    </w:lvl>
  </w:abstractNum>
  <w:abstractNum w:abstractNumId="17">
    <w:nsid w:val="754342"/>
    <w:multiLevelType w:val="hybridMultilevel"/>
    <w:lvl w:ilvl="0">
      <w:lvlJc w:val="left"/>
      <w:lvlText w:val="(%1)"/>
      <w:numFmt w:val="lowerLetter"/>
      <w:start w:val="1"/>
    </w:lvl>
  </w:abstractNum>
  <w:abstractNum w:abstractNumId="18">
    <w:nsid w:val="69E7F3E5"/>
    <w:multiLevelType w:val="hybridMultilevel"/>
    <w:lvl w:ilvl="0">
      <w:lvlJc w:val="left"/>
      <w:lvlText w:val="(%1)"/>
      <w:numFmt w:val="lowerLetter"/>
      <w:start w:val="7"/>
    </w:lvl>
  </w:abstractNum>
  <w:abstractNum w:abstractNumId="19">
    <w:nsid w:val="2A6DE806"/>
    <w:multiLevelType w:val="hybridMultilevel"/>
    <w:lvl w:ilvl="0">
      <w:lvlJc w:val="left"/>
      <w:lvlText w:val="•"/>
      <w:numFmt w:val="bullet"/>
      <w:start w:val="1"/>
    </w:lvl>
  </w:abstractNum>
  <w:abstractNum w:abstractNumId="20">
    <w:nsid w:val="1816F8C4"/>
    <w:multiLevelType w:val="hybridMultilevel"/>
    <w:lvl w:ilvl="0">
      <w:lvlJc w:val="left"/>
      <w:lvlText w:val="•"/>
      <w:numFmt w:val="bullet"/>
      <w:start w:val="1"/>
    </w:lvl>
  </w:abstractNum>
  <w:abstractNum w:abstractNumId="21">
    <w:nsid w:val="37DF2233"/>
    <w:multiLevelType w:val="hybridMultilevel"/>
    <w:lvl w:ilvl="0">
      <w:lvlJc w:val="left"/>
      <w:lvlText w:val="(%1)"/>
      <w:numFmt w:val="lowerLetter"/>
      <w:start w:val="1"/>
    </w:lvl>
  </w:abstractNum>
  <w:abstractNum w:abstractNumId="22">
    <w:nsid w:val="7AB49DAF"/>
    <w:multiLevelType w:val="hybridMultilevel"/>
    <w:lvl w:ilvl="0">
      <w:lvlJc w:val="left"/>
      <w:lvlText w:val="•"/>
      <w:numFmt w:val="bullet"/>
      <w:start w:val="1"/>
    </w:lvl>
  </w:abstractNum>
  <w:abstractNum w:abstractNumId="23">
    <w:nsid w:val="759F82CD"/>
    <w:multiLevelType w:val="hybridMultilevel"/>
    <w:lvl w:ilvl="0">
      <w:lvlJc w:val="left"/>
      <w:lvlText w:val="•"/>
      <w:numFmt w:val="bullet"/>
      <w:start w:val="1"/>
    </w:lvl>
  </w:abstractNum>
  <w:abstractNum w:abstractNumId="24">
    <w:nsid w:val="61E74EA3"/>
    <w:multiLevelType w:val="hybridMultilevel"/>
    <w:lvl w:ilvl="0">
      <w:lvlJc w:val="left"/>
      <w:lvlText w:val="(%1)"/>
      <w:numFmt w:val="lowerLetter"/>
      <w:start w:val="1"/>
    </w:lvl>
  </w:abstractNum>
  <w:abstractNum w:abstractNumId="25">
    <w:nsid w:val="597B4D84"/>
    <w:multiLevelType w:val="hybridMultilevel"/>
    <w:lvl w:ilvl="0">
      <w:lvlJc w:val="left"/>
      <w:lvlText w:val="(%1)"/>
      <w:numFmt w:val="lowerLetter"/>
      <w:start w:val="4"/>
    </w:lvl>
  </w:abstractNum>
  <w:abstractNum w:abstractNumId="26">
    <w:nsid w:val="F819E7F"/>
    <w:multiLevelType w:val="hybridMultilevel"/>
    <w:lvl w:ilvl="0">
      <w:lvlJc w:val="left"/>
      <w:lvlText w:val="•"/>
      <w:numFmt w:val="bullet"/>
      <w:start w:val="1"/>
    </w:lvl>
  </w:abstractNum>
  <w:abstractNum w:abstractNumId="27">
    <w:nsid w:val="57C7D42D"/>
    <w:multiLevelType w:val="hybridMultilevel"/>
    <w:lvl w:ilvl="0">
      <w:lvlJc w:val="left"/>
      <w:lvlText w:val="*"/>
      <w:numFmt w:val="bullet"/>
      <w:start w:val="1"/>
    </w:lvl>
    <w:lvl w:ilvl="1">
      <w:lvlJc w:val="left"/>
      <w:lvlText w:val="%2"/>
      <w:numFmt w:val="decimal"/>
      <w:start w:val="104"/>
    </w:lvl>
  </w:abstractNum>
  <w:abstractNum w:abstractNumId="28">
    <w:nsid w:val="312167AD"/>
    <w:multiLevelType w:val="hybridMultilevel"/>
    <w:lvl w:ilvl="0">
      <w:lvlJc w:val="left"/>
      <w:lvlText w:val="**"/>
      <w:numFmt w:val="bullet"/>
      <w:start w:val="1"/>
    </w:lvl>
    <w:lvl w:ilvl="1">
      <w:lvlJc w:val="left"/>
      <w:lvlText w:val="%2"/>
      <w:numFmt w:val="decimal"/>
      <w:start w:val="1"/>
    </w:lvl>
  </w:abstractNum>
  <w:abstractNum w:abstractNumId="29">
    <w:nsid w:val="631B64D4"/>
    <w:multiLevelType w:val="hybridMultilevel"/>
    <w:lvl w:ilvl="0">
      <w:lvlJc w:val="left"/>
      <w:lvlText w:val="%1."/>
      <w:numFmt w:val="upperLetter"/>
      <w:start w:val="1"/>
    </w:lvl>
  </w:abstractNum>
  <w:abstractNum w:abstractNumId="30">
    <w:nsid w:val="78B5E776"/>
    <w:multiLevelType w:val="hybridMultilevel"/>
    <w:lvl w:ilvl="0">
      <w:lvlJc w:val="left"/>
      <w:lvlText w:val="%1."/>
      <w:numFmt w:val="decimal"/>
      <w:start w:val="1"/>
    </w:lvl>
  </w:abstractNum>
  <w:abstractNum w:abstractNumId="31">
    <w:nsid w:val="75486E47"/>
    <w:multiLevelType w:val="hybridMultilevel"/>
    <w:lvl w:ilvl="0">
      <w:lvlJc w:val="left"/>
      <w:lvlText w:val="%1."/>
      <w:numFmt w:val="decimal"/>
      <w:start w:val="2"/>
    </w:lvl>
  </w:abstractNum>
  <w:abstractNum w:abstractNumId="32">
    <w:nsid w:val="6E534CDE"/>
    <w:multiLevelType w:val="hybridMultilevel"/>
    <w:lvl w:ilvl="0">
      <w:lvlJc w:val="left"/>
      <w:lvlText w:val="%1."/>
      <w:numFmt w:val="decimal"/>
      <w:start w:val="3"/>
    </w:lvl>
  </w:abstractNum>
  <w:abstractNum w:abstractNumId="33">
    <w:nsid w:val="1A0DDE32"/>
    <w:multiLevelType w:val="hybridMultilevel"/>
    <w:lvl w:ilvl="0">
      <w:lvlJc w:val="left"/>
      <w:lvlText w:val="%1"/>
      <w:numFmt w:val="decimal"/>
      <w:start w:val="1"/>
    </w:lvl>
    <w:lvl w:ilvl="1">
      <w:lvlJc w:val="left"/>
      <w:lvlText w:val="(%2)"/>
      <w:numFmt w:val="lowerLetter"/>
      <w:start w:val="1"/>
    </w:lvl>
  </w:abstractNum>
  <w:abstractNum w:abstractNumId="34">
    <w:nsid w:val="65968C1C"/>
    <w:multiLevelType w:val="hybridMultilevel"/>
    <w:lvl w:ilvl="0">
      <w:lvlJc w:val="left"/>
      <w:lvlText w:val="%1."/>
      <w:numFmt w:val="decimal"/>
      <w:start w:val="4"/>
    </w:lvl>
    <w:lvl w:ilvl="1">
      <w:lvlJc w:val="left"/>
      <w:lvlText w:val="%2"/>
      <w:numFmt w:val="lowerLetter"/>
      <w:start w:val="1"/>
    </w:lvl>
  </w:abstractNum>
  <w:abstractNum w:abstractNumId="35">
    <w:nsid w:val="46263DEC"/>
    <w:multiLevelType w:val="hybridMultilevel"/>
    <w:lvl w:ilvl="0">
      <w:lvlJc w:val="left"/>
      <w:lvlText w:val="(%1)"/>
      <w:numFmt w:val="lowerLetter"/>
      <w:start w:val="1"/>
    </w:lvl>
  </w:abstractNum>
  <w:abstractNum w:abstractNumId="36">
    <w:nsid w:val="260D8C4A"/>
    <w:multiLevelType w:val="hybridMultilevel"/>
    <w:lvl w:ilvl="0">
      <w:lvlJc w:val="left"/>
      <w:lvlText w:val="%1."/>
      <w:numFmt w:val="decimal"/>
      <w:start w:val="5"/>
    </w:lvl>
  </w:abstractNum>
  <w:abstractNum w:abstractNumId="37">
    <w:nsid w:val="73D4D3C4"/>
    <w:multiLevelType w:val="hybridMultilevel"/>
    <w:lvl w:ilvl="0">
      <w:lvlJc w:val="left"/>
      <w:lvlText w:val="(%1)"/>
      <w:numFmt w:val="lowerLetter"/>
      <w:start w:val="1"/>
    </w:lvl>
  </w:abstractNum>
  <w:abstractNum w:abstractNumId="38">
    <w:nsid w:val="746F2E30"/>
    <w:multiLevelType w:val="hybridMultilevel"/>
    <w:lvl w:ilvl="0">
      <w:lvlJc w:val="left"/>
      <w:lvlText w:val="(%1)"/>
      <w:numFmt w:val="lowerLetter"/>
      <w:start w:val="1"/>
    </w:lvl>
  </w:abstractNum>
  <w:abstractNum w:abstractNumId="39">
    <w:nsid w:val="6FDE8AF6"/>
    <w:multiLevelType w:val="hybridMultilevel"/>
    <w:lvl w:ilvl="0">
      <w:lvlJc w:val="left"/>
      <w:lvlText w:val="(%1)"/>
      <w:numFmt w:val="lowerLetter"/>
      <w:start w:val="2"/>
    </w:lvl>
  </w:abstractNum>
  <w:abstractNum w:abstractNumId="40">
    <w:nsid w:val="3FC32E20"/>
    <w:multiLevelType w:val="hybridMultilevel"/>
    <w:lvl w:ilvl="0">
      <w:lvlJc w:val="left"/>
      <w:lvlText w:val="%1."/>
      <w:numFmt w:val="decimal"/>
      <w:start w:val="6"/>
    </w:lvl>
  </w:abstractNum>
  <w:abstractNum w:abstractNumId="41">
    <w:nsid w:val="49C0E823"/>
    <w:multiLevelType w:val="hybridMultilevel"/>
    <w:lvl w:ilvl="0">
      <w:lvlJc w:val="left"/>
      <w:lvlText w:val="(%1)"/>
      <w:numFmt w:val="lowerLetter"/>
      <w:start w:val="1"/>
    </w:lvl>
  </w:abstractNum>
  <w:abstractNum w:abstractNumId="42">
    <w:nsid w:val="14D53685"/>
    <w:multiLevelType w:val="hybridMultilevel"/>
    <w:lvl w:ilvl="0">
      <w:lvlJc w:val="left"/>
      <w:lvlText w:val="%1."/>
      <w:numFmt w:val="decimal"/>
      <w:start w:val="7"/>
    </w:lvl>
  </w:abstractNum>
  <w:abstractNum w:abstractNumId="43">
    <w:nsid w:val="230F856C"/>
    <w:multiLevelType w:val="hybridMultilevel"/>
    <w:lvl w:ilvl="0">
      <w:lvlJc w:val="left"/>
      <w:lvlText w:val="(%1)"/>
      <w:numFmt w:val="lowerLetter"/>
      <w:start w:val="1"/>
    </w:lvl>
    <w:lvl w:ilvl="1">
      <w:lvlJc w:val="left"/>
      <w:lvlText w:val="%2."/>
      <w:numFmt w:val="decimal"/>
      <w:start w:val="1"/>
    </w:lvl>
  </w:abstractNum>
  <w:abstractNum w:abstractNumId="44">
    <w:nsid w:val="6EAA85FB"/>
    <w:multiLevelType w:val="hybridMultilevel"/>
    <w:lvl w:ilvl="0">
      <w:lvlJc w:val="left"/>
      <w:lvlText w:val="%1."/>
      <w:numFmt w:val="decimal"/>
      <w:start w:val="8"/>
    </w:lvl>
  </w:abstractNum>
  <w:abstractNum w:abstractNumId="45">
    <w:nsid w:val="3F06ECB2"/>
    <w:multiLevelType w:val="hybridMultilevel"/>
    <w:lvl w:ilvl="0">
      <w:lvlJc w:val="left"/>
      <w:lvlText w:val="(%1)"/>
      <w:numFmt w:val="lowerLetter"/>
      <w:start w:val="1"/>
    </w:lvl>
  </w:abstractNum>
  <w:abstractNum w:abstractNumId="46">
    <w:nsid w:val="3B59480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7">
    <w:nsid w:val="6CAA2304"/>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48">
    <w:nsid w:val="3F7C2FF4"/>
    <w:multiLevelType w:val="hybridMultilevel"/>
    <w:lvl w:ilvl="0">
      <w:lvlJc w:val="left"/>
      <w:lvlText w:val="(%1)"/>
      <w:numFmt w:val="lowerLetter"/>
      <w:start w:val="1"/>
    </w:lvl>
  </w:abstractNum>
  <w:abstractNum w:abstractNumId="49">
    <w:nsid w:val="25413BEC"/>
    <w:multiLevelType w:val="hybridMultilevel"/>
    <w:lvl w:ilvl="0">
      <w:lvlJc w:val="left"/>
      <w:lvlText w:val="(%1)"/>
      <w:numFmt w:val="lowerLetter"/>
      <w:start w:val="1"/>
    </w:lvl>
  </w:abstractNum>
  <w:abstractNum w:abstractNumId="50">
    <w:nsid w:val="17180B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51">
    <w:nsid w:val="579328B9"/>
    <w:multiLevelType w:val="hybridMultilevel"/>
    <w:lvl w:ilvl="0">
      <w:lvlJc w:val="left"/>
      <w:lvlText w:val="%1."/>
      <w:numFmt w:val="lowerRoman"/>
      <w:start w:val="4"/>
    </w:lvl>
  </w:abstractNum>
  <w:abstractNum w:abstractNumId="52">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53">
    <w:nsid w:val="11CCA8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54">
    <w:nsid w:val="4D32AB8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55">
    <w:nsid w:val="3F07ACC3"/>
    <w:multiLevelType w:val="hybridMultilevel"/>
    <w:lvl w:ilvl="0">
      <w:lvlJc w:val="left"/>
      <w:lvlText w:val="%1."/>
      <w:numFmt w:val="decimal"/>
      <w:start w:val="5"/>
    </w:lvl>
  </w:abstractNum>
  <w:abstractNum w:abstractNumId="56">
    <w:nsid w:val="6B47F63E"/>
    <w:multiLevelType w:val="hybridMultilevel"/>
    <w:lvl w:ilvl="0">
      <w:lvlJc w:val="left"/>
      <w:lvlText w:val="%1."/>
      <w:numFmt w:val="decimal"/>
      <w:start w:val="6"/>
    </w:lvl>
  </w:abstractNum>
  <w:abstractNum w:abstractNumId="57">
    <w:nsid w:val="5CB44A05"/>
    <w:multiLevelType w:val="hybridMultilevel"/>
    <w:lvl w:ilvl="0">
      <w:lvlJc w:val="left"/>
      <w:lvlText w:val="(%1)"/>
      <w:numFmt w:val="lowerLetter"/>
      <w:start w:val="1"/>
    </w:lvl>
  </w:abstractNum>
  <w:abstractNum w:abstractNumId="58">
    <w:nsid w:val="16CF80F1"/>
    <w:multiLevelType w:val="hybridMultilevel"/>
    <w:lvl w:ilvl="0">
      <w:lvlJc w:val="left"/>
      <w:lvlText w:val="(%1)"/>
      <w:numFmt w:val="lowerLetter"/>
      <w:start w:val="2"/>
    </w:lvl>
  </w:abstractNum>
  <w:abstractNum w:abstractNumId="59">
    <w:nsid w:val="1C695DEC"/>
    <w:multiLevelType w:val="hybridMultilevel"/>
    <w:lvl w:ilvl="0">
      <w:lvlJc w:val="left"/>
      <w:lvlText w:val="%1."/>
      <w:numFmt w:val="decimal"/>
      <w:start w:val="7"/>
    </w:lvl>
  </w:abstractNum>
  <w:abstractNum w:abstractNumId="60">
    <w:nsid w:val="3FCFAED9"/>
    <w:multiLevelType w:val="hybridMultilevel"/>
    <w:lvl w:ilvl="0">
      <w:lvlJc w:val="left"/>
      <w:lvlText w:val="(%1)"/>
      <w:numFmt w:val="lowerLetter"/>
      <w:start w:val="1"/>
    </w:lvl>
  </w:abstractNum>
  <w:abstractNum w:abstractNumId="61">
    <w:nsid w:val="F856867"/>
    <w:multiLevelType w:val="hybridMultilevel"/>
    <w:lvl w:ilvl="0">
      <w:lvlJc w:val="left"/>
      <w:lvlText w:val="%1."/>
      <w:numFmt w:val="decimal"/>
      <w:start w:val="8"/>
    </w:lvl>
  </w:abstractNum>
  <w:abstractNum w:abstractNumId="62">
    <w:nsid w:val="11B1CC33"/>
    <w:multiLevelType w:val="hybridMultilevel"/>
    <w:lvl w:ilvl="0">
      <w:lvlJc w:val="left"/>
      <w:lvlText w:val="(%1)"/>
      <w:numFmt w:val="lowerLetter"/>
      <w:start w:val="1"/>
    </w:lvl>
  </w:abstractNum>
  <w:abstractNum w:abstractNumId="63">
    <w:nsid w:val="2E22FBB7"/>
    <w:multiLevelType w:val="hybridMultilevel"/>
    <w:lvl w:ilvl="0">
      <w:lvlJc w:val="left"/>
      <w:lvlText w:val="(%1)"/>
      <w:numFmt w:val="lowerLetter"/>
      <w:start w:val="6"/>
    </w:lvl>
  </w:abstractNum>
  <w:abstractNum w:abstractNumId="64">
    <w:nsid w:val="29934699"/>
    <w:multiLevelType w:val="hybridMultilevel"/>
    <w:lvl w:ilvl="0">
      <w:lvlJc w:val="left"/>
      <w:lvlText w:val="%1."/>
      <w:numFmt w:val="decimal"/>
      <w:start w:val="9"/>
    </w:lvl>
  </w:abstractNum>
  <w:abstractNum w:abstractNumId="65">
    <w:nsid w:val="77485850"/>
    <w:multiLevelType w:val="hybridMultilevel"/>
    <w:lvl w:ilvl="0">
      <w:lvlJc w:val="left"/>
      <w:lvlText w:val="(%1)"/>
      <w:numFmt w:val="lowerLetter"/>
      <w:start w:val="1"/>
    </w:lvl>
  </w:abstractNum>
  <w:abstractNum w:abstractNumId="66">
    <w:nsid w:val="744939A3"/>
    <w:multiLevelType w:val="hybridMultilevel"/>
    <w:lvl w:ilvl="0">
      <w:lvlJc w:val="left"/>
      <w:lvlText w:val="1"/>
      <w:numFmt w:val="bullet"/>
      <w:start w:val="1"/>
    </w:lvl>
  </w:abstractNum>
  <w:abstractNum w:abstractNumId="67">
    <w:nsid w:val="4FA0D2E3"/>
    <w:multiLevelType w:val="hybridMultilevel"/>
    <w:lvl w:ilvl="0">
      <w:lvlJc w:val="left"/>
      <w:lvlText w:val="(%1)"/>
      <w:numFmt w:val="lowerLetter"/>
      <w:start w:val="5"/>
    </w:lvl>
  </w:abstractNum>
  <w:abstractNum w:abstractNumId="68">
    <w:nsid w:val="6B1D2C14"/>
    <w:multiLevelType w:val="hybridMultilevel"/>
    <w:lvl w:ilvl="0">
      <w:lvlJc w:val="left"/>
      <w:lvlText w:val="(%1)"/>
      <w:numFmt w:val="lowerLetter"/>
      <w:start w:val="6"/>
    </w:lvl>
    <w:lvl w:ilvl="1">
      <w:lvlJc w:val="left"/>
      <w:lvlText w:val="%2."/>
      <w:numFmt w:val="lowerRoman"/>
      <w:start w:val="3"/>
    </w:lvl>
    <w:lvl w:ilvl="2">
      <w:lvlJc w:val="left"/>
      <w:lvlText w:val="%3."/>
      <w:numFmt w:val="lowerRoman"/>
      <w:start w:val="1"/>
    </w:lvl>
    <w:lvl w:ilvl="3">
      <w:lvlJc w:val="left"/>
      <w:lvlText w:val="%4."/>
      <w:numFmt w:val="lowerRoman"/>
      <w:start w:val="1"/>
    </w:lvl>
  </w:abstractNum>
  <w:abstractNum w:abstractNumId="69">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lvl w:ilvl="3">
      <w:lvlJc w:val="left"/>
      <w:lvlText w:val="%4"/>
      <w:numFmt w:val="lowerRoman"/>
      <w:start w:val="1"/>
    </w:lvl>
  </w:abstractNum>
  <w:abstractNum w:abstractNumId="70">
    <w:nsid w:val="3F7F5DD9"/>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71">
    <w:nsid w:val="2AE05A34"/>
    <w:multiLevelType w:val="hybridMultilevel"/>
    <w:lvl w:ilvl="0">
      <w:lvlJc w:val="left"/>
      <w:lvlText w:val="%1."/>
      <w:numFmt w:val="decimal"/>
      <w:start w:val="10"/>
    </w:lvl>
  </w:abstractNum>
  <w:abstractNum w:abstractNumId="72">
    <w:nsid w:val="32794FF7"/>
    <w:multiLevelType w:val="hybridMultilevel"/>
    <w:lvl w:ilvl="0">
      <w:lvlJc w:val="left"/>
      <w:lvlText w:val="%1."/>
      <w:numFmt w:val="decimal"/>
      <w:start w:val="11"/>
    </w:lvl>
  </w:abstractNum>
  <w:abstractNum w:abstractNumId="73">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74">
    <w:nsid w:val="4DEFDFA0"/>
    <w:multiLevelType w:val="hybridMultilevel"/>
    <w:lvl w:ilvl="0">
      <w:lvlJc w:val="left"/>
      <w:lvlText w:val="%1."/>
      <w:numFmt w:val="lowerRoman"/>
      <w:start w:val="4"/>
    </w:lvl>
    <w:lvl w:ilvl="1">
      <w:lvlJc w:val="left"/>
      <w:lvlText w:val="%2."/>
      <w:numFmt w:val="lowerRoman"/>
      <w:start w:val="5"/>
    </w:lvl>
  </w:abstractNum>
  <w:abstractNum w:abstractNumId="75">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76">
    <w:nsid w:val="135B8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94927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9">
    <w:nsid w:val="52D7B105"/>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80">
    <w:nsid w:val="2E8A639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1">
    <w:nsid w:val="24E60401"/>
    <w:multiLevelType w:val="hybridMultilevel"/>
    <w:lvl w:ilvl="0">
      <w:lvlJc w:val="left"/>
      <w:lvlText w:val="%1."/>
      <w:numFmt w:val="decimal"/>
      <w:start w:val="5"/>
    </w:lvl>
  </w:abstractNum>
  <w:abstractNum w:abstractNumId="82">
    <w:nsid w:val="2A6AD9BE"/>
    <w:multiLevelType w:val="hybridMultilevel"/>
    <w:lvl w:ilvl="0">
      <w:lvlJc w:val="left"/>
      <w:lvlText w:val="%1."/>
      <w:numFmt w:val="decimal"/>
      <w:start w:val="6"/>
    </w:lvl>
  </w:abstractNum>
  <w:abstractNum w:abstractNumId="83">
    <w:nsid w:val="BAAC1B4"/>
    <w:multiLevelType w:val="hybridMultilevel"/>
    <w:lvl w:ilvl="0">
      <w:lvlJc w:val="left"/>
      <w:lvlText w:val="(%1)"/>
      <w:numFmt w:val="lowerLetter"/>
      <w:start w:val="1"/>
    </w:lvl>
  </w:abstractNum>
  <w:abstractNum w:abstractNumId="84">
    <w:nsid w:val="36B2ACBC"/>
    <w:multiLevelType w:val="hybridMultilevel"/>
    <w:lvl w:ilvl="0">
      <w:lvlJc w:val="left"/>
      <w:lvlText w:val="(%1)"/>
      <w:numFmt w:val="lowerLetter"/>
      <w:start w:val="2"/>
    </w:lvl>
  </w:abstractNum>
  <w:abstractNum w:abstractNumId="85">
    <w:nsid w:val="779D8544"/>
    <w:multiLevelType w:val="hybridMultilevel"/>
    <w:lvl w:ilvl="0">
      <w:lvlJc w:val="left"/>
      <w:lvlText w:val="%1."/>
      <w:numFmt w:val="decimal"/>
      <w:start w:val="7"/>
    </w:lvl>
  </w:abstractNum>
  <w:abstractNum w:abstractNumId="86">
    <w:nsid w:val="4AB26E78"/>
    <w:multiLevelType w:val="hybridMultilevel"/>
    <w:lvl w:ilvl="0">
      <w:lvlJc w:val="left"/>
      <w:lvlText w:val="(%1)"/>
      <w:numFmt w:val="lowerLetter"/>
      <w:start w:val="1"/>
    </w:lvl>
  </w:abstractNum>
  <w:abstractNum w:abstractNumId="87">
    <w:nsid w:val="21FAA2FA"/>
    <w:multiLevelType w:val="hybridMultilevel"/>
    <w:lvl w:ilvl="0">
      <w:lvlJc w:val="left"/>
      <w:lvlText w:val="%1."/>
      <w:numFmt w:val="decimal"/>
      <w:start w:val="8"/>
    </w:lvl>
  </w:abstractNum>
  <w:abstractNum w:abstractNumId="88">
    <w:nsid w:val="5451CF49"/>
    <w:multiLevelType w:val="hybridMultilevel"/>
    <w:lvl w:ilvl="0">
      <w:lvlJc w:val="left"/>
      <w:lvlText w:val="(%1)"/>
      <w:numFmt w:val="lowerLetter"/>
      <w:start w:val="1"/>
    </w:lvl>
  </w:abstractNum>
  <w:abstractNum w:abstractNumId="89">
    <w:nsid w:val="6181EF69"/>
    <w:multiLevelType w:val="hybridMultilevel"/>
    <w:lvl w:ilvl="0">
      <w:lvlJc w:val="left"/>
      <w:lvlText w:val="(%1)"/>
      <w:numFmt w:val="lowerLetter"/>
      <w:start w:val="6"/>
    </w:lvl>
  </w:abstractNum>
  <w:abstractNum w:abstractNumId="90">
    <w:nsid w:val="3E6400E6"/>
    <w:multiLevelType w:val="hybridMultilevel"/>
    <w:lvl w:ilvl="0">
      <w:lvlJc w:val="left"/>
      <w:lvlText w:val="%1."/>
      <w:numFmt w:val="decimal"/>
      <w:start w:val="9"/>
    </w:lvl>
  </w:abstractNum>
  <w:abstractNum w:abstractNumId="91">
    <w:nsid w:val="14217E23"/>
    <w:multiLevelType w:val="hybridMultilevel"/>
    <w:lvl w:ilvl="0">
      <w:lvlJc w:val="left"/>
      <w:lvlText w:val="(%1)"/>
      <w:numFmt w:val="lowerLetter"/>
      <w:start w:val="1"/>
    </w:lvl>
  </w:abstractNum>
  <w:abstractNum w:abstractNumId="92">
    <w:nsid w:val="710757D0"/>
    <w:multiLevelType w:val="hybridMultilevel"/>
    <w:lvl w:ilvl="0">
      <w:lvlJc w:val="left"/>
      <w:lvlText w:val="1"/>
      <w:numFmt w:val="bullet"/>
      <w:start w:val="1"/>
    </w:lvl>
  </w:abstractNum>
  <w:abstractNum w:abstractNumId="93">
    <w:nsid w:val="5015CD1A"/>
    <w:multiLevelType w:val="hybridMultilevel"/>
    <w:lvl w:ilvl="0">
      <w:lvlJc w:val="left"/>
      <w:lvlText w:val="(%1)"/>
      <w:numFmt w:val="lowerLetter"/>
      <w:start w:val="6"/>
    </w:lvl>
    <w:lvl w:ilvl="1">
      <w:lvlJc w:val="left"/>
      <w:lvlText w:val="%2."/>
      <w:numFmt w:val="lowerRoman"/>
      <w:start w:val="1"/>
    </w:lvl>
  </w:abstractNum>
  <w:abstractNum w:abstractNumId="94">
    <w:nsid w:val="424479DA"/>
    <w:multiLevelType w:val="hybridMultilevel"/>
    <w:lvl w:ilvl="0">
      <w:lvlJc w:val="left"/>
      <w:lvlText w:val="%1."/>
      <w:numFmt w:val="lowerRoman"/>
      <w:start w:val="3"/>
    </w:lvl>
  </w:abstractNum>
  <w:abstractNum w:abstractNumId="95">
    <w:nsid w:val="1A9A9E6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5"/>
    </w:lvl>
  </w:abstractNum>
  <w:abstractNum w:abstractNumId="96">
    <w:nsid w:val="475E256A"/>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97">
    <w:nsid w:val="368DB37E"/>
    <w:multiLevelType w:val="hybridMultilevel"/>
    <w:lvl w:ilvl="0">
      <w:lvlJc w:val="left"/>
      <w:lvlText w:val="%1."/>
      <w:numFmt w:val="decimal"/>
      <w:start w:val="10"/>
    </w:lvl>
  </w:abstractNum>
  <w:abstractNum w:abstractNumId="98">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99">
    <w:nsid w:val="327B517E"/>
    <w:multiLevelType w:val="hybridMultilevel"/>
    <w:lvl w:ilvl="0">
      <w:lvlJc w:val="left"/>
      <w:lvlText w:val="%1."/>
      <w:numFmt w:val="lowerRoman"/>
      <w:start w:val="4"/>
    </w:lvl>
    <w:lvl w:ilvl="1">
      <w:lvlJc w:val="left"/>
      <w:lvlText w:val="%2."/>
      <w:numFmt w:val="lowerRoman"/>
      <w:start w:val="5"/>
    </w:lvl>
  </w:abstractNum>
  <w:abstractNum w:abstractNumId="100">
    <w:nsid w:val="1F461B51"/>
    <w:multiLevelType w:val="hybridMultilevel"/>
    <w:lvl w:ilvl="0">
      <w:lvlJc w:val="left"/>
      <w:lvlText w:val="%1"/>
      <w:numFmt w:val="lowerLetter"/>
      <w:start w:val="1"/>
    </w:lvl>
    <w:lvl w:ilvl="1">
      <w:lvlJc w:val="left"/>
      <w:lvlText w:val="%2."/>
      <w:numFmt w:val="lowerRoman"/>
      <w:start w:val="6"/>
    </w:lvl>
  </w:abstractNum>
  <w:abstractNum w:abstractNumId="101">
    <w:nsid w:val="29BACF25"/>
    <w:multiLevelType w:val="hybridMultilevel"/>
    <w:lvl w:ilvl="0">
      <w:lvlJc w:val="left"/>
      <w:lvlText w:val="(%1)"/>
      <w:numFmt w:val="lowerLetter"/>
      <w:start w:val="2"/>
    </w:lvl>
    <w:lvl w:ilvl="1">
      <w:lvlJc w:val="left"/>
      <w:lvlText w:val="%2"/>
      <w:numFmt w:val="lowerRoman"/>
      <w:start w:val="1"/>
    </w:lvl>
  </w:abstractNum>
  <w:abstractNum w:abstractNumId="102">
    <w:nsid w:val="5D5BABB3"/>
    <w:multiLevelType w:val="hybridMultilevel"/>
    <w:lvl w:ilvl="0">
      <w:lvlJc w:val="left"/>
      <w:lvlText w:val="%1."/>
      <w:numFmt w:val="decimal"/>
      <w:start w:val="4"/>
    </w:lvl>
  </w:abstractNum>
  <w:abstractNum w:abstractNumId="103">
    <w:nsid w:val="51BF6B48"/>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04">
    <w:nsid w:val="7E0F6384"/>
    <w:multiLevelType w:val="hybridMultilevel"/>
    <w:lvl w:ilvl="0">
      <w:lvlJc w:val="left"/>
      <w:lvlText w:val="%1."/>
      <w:numFmt w:val="decimal"/>
      <w:start w:val="5"/>
    </w:lvl>
  </w:abstractNum>
  <w:abstractNum w:abstractNumId="105">
    <w:nsid w:val="2B4B8B53"/>
    <w:multiLevelType w:val="hybridMultilevel"/>
    <w:lvl w:ilvl="0">
      <w:lvlJc w:val="left"/>
      <w:lvlText w:val="%1."/>
      <w:numFmt w:val="decimal"/>
      <w:start w:val="6"/>
    </w:lvl>
  </w:abstractNum>
  <w:abstractNum w:abstractNumId="106">
    <w:nsid w:val="72E3413A"/>
    <w:multiLevelType w:val="hybridMultilevel"/>
    <w:lvl w:ilvl="0">
      <w:lvlJc w:val="left"/>
      <w:lvlText w:val="(%1)"/>
      <w:numFmt w:val="lowerLetter"/>
      <w:start w:val="1"/>
    </w:lvl>
  </w:abstractNum>
  <w:abstractNum w:abstractNumId="107">
    <w:nsid w:val="116AE494"/>
    <w:multiLevelType w:val="hybridMultilevel"/>
    <w:lvl w:ilvl="0">
      <w:lvlJc w:val="left"/>
      <w:lvlText w:val="(%1)"/>
      <w:numFmt w:val="lowerLetter"/>
      <w:start w:val="2"/>
    </w:lvl>
  </w:abstractNum>
  <w:abstractNum w:abstractNumId="108">
    <w:nsid w:val="3494B2FB"/>
    <w:multiLevelType w:val="hybridMultilevel"/>
    <w:lvl w:ilvl="0">
      <w:lvlJc w:val="left"/>
      <w:lvlText w:val="%1."/>
      <w:numFmt w:val="decimal"/>
      <w:start w:val="7"/>
    </w:lvl>
  </w:abstractNum>
  <w:abstractNum w:abstractNumId="109">
    <w:nsid w:val="B13A31"/>
    <w:multiLevelType w:val="hybridMultilevel"/>
    <w:lvl w:ilvl="0">
      <w:lvlJc w:val="left"/>
      <w:lvlText w:val="(%1)"/>
      <w:numFmt w:val="lowerLetter"/>
      <w:start w:val="1"/>
    </w:lvl>
  </w:abstractNum>
  <w:abstractNum w:abstractNumId="110">
    <w:nsid w:val="64429599"/>
    <w:multiLevelType w:val="hybridMultilevel"/>
    <w:lvl w:ilvl="0">
      <w:lvlJc w:val="left"/>
      <w:lvlText w:val="%1."/>
      <w:numFmt w:val="decimal"/>
      <w:start w:val="8"/>
    </w:lvl>
  </w:abstractNum>
  <w:abstractNum w:abstractNumId="111">
    <w:nsid w:val="631F1690"/>
    <w:multiLevelType w:val="hybridMultilevel"/>
    <w:lvl w:ilvl="0">
      <w:lvlJc w:val="left"/>
      <w:lvlText w:val="(%1)"/>
      <w:numFmt w:val="lowerLetter"/>
      <w:start w:val="1"/>
    </w:lvl>
  </w:abstractNum>
  <w:abstractNum w:abstractNumId="112">
    <w:nsid w:val="25973E32"/>
    <w:multiLevelType w:val="hybridMultilevel"/>
    <w:lvl w:ilvl="0">
      <w:lvlJc w:val="left"/>
      <w:lvlText w:val="(%1)"/>
      <w:numFmt w:val="lowerLetter"/>
      <w:start w:val="6"/>
    </w:lvl>
  </w:abstractNum>
  <w:abstractNum w:abstractNumId="113">
    <w:nsid w:val="EAD6F57"/>
    <w:multiLevelType w:val="hybridMultilevel"/>
    <w:lvl w:ilvl="0">
      <w:lvlJc w:val="left"/>
      <w:lvlText w:val="%1."/>
      <w:numFmt w:val="decimal"/>
      <w:start w:val="9"/>
    </w:lvl>
  </w:abstractNum>
  <w:abstractNum w:abstractNumId="114">
    <w:nsid w:val="6EC9D844"/>
    <w:multiLevelType w:val="hybridMultilevel"/>
    <w:lvl w:ilvl="0">
      <w:lvlJc w:val="left"/>
      <w:lvlText w:val="(%1)"/>
      <w:numFmt w:val="lowerLetter"/>
      <w:start w:val="1"/>
    </w:lvl>
  </w:abstractNum>
  <w:abstractNum w:abstractNumId="115">
    <w:nsid w:val="5C49EAEE"/>
    <w:multiLevelType w:val="hybridMultilevel"/>
    <w:lvl w:ilvl="0">
      <w:lvlJc w:val="left"/>
      <w:lvlText w:val="1"/>
      <w:numFmt w:val="bullet"/>
      <w:start w:val="1"/>
    </w:lvl>
  </w:abstractNum>
  <w:abstractNum w:abstractNumId="116">
    <w:nsid w:val="64AF49B"/>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117">
    <w:nsid w:val="397C46BC"/>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5"/>
    </w:lvl>
  </w:abstractNum>
  <w:abstractNum w:abstractNumId="118">
    <w:nsid w:val="7E448DE9"/>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119">
    <w:nsid w:val="5A9CC3E5"/>
    <w:multiLevelType w:val="hybridMultilevel"/>
    <w:lvl w:ilvl="0">
      <w:lvlJc w:val="left"/>
      <w:lvlText w:val="%1."/>
      <w:numFmt w:val="decimal"/>
      <w:start w:val="10"/>
    </w:lvl>
  </w:abstractNum>
  <w:abstractNum w:abstractNumId="120">
    <w:nsid w:val="1AFE36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21">
    <w:nsid w:val="3CA88ECF"/>
    <w:multiLevelType w:val="hybridMultilevel"/>
    <w:lvl w:ilvl="0">
      <w:lvlJc w:val="left"/>
      <w:lvlText w:val="%1."/>
      <w:numFmt w:val="lowerRoman"/>
      <w:start w:val="4"/>
    </w:lvl>
  </w:abstractNum>
  <w:abstractNum w:abstractNumId="122">
    <w:nsid w:val="6EBE42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123">
    <w:nsid w:val="C058DF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24">
    <w:nsid w:val="CBE5B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25">
    <w:nsid w:val="3102BBE2"/>
    <w:multiLevelType w:val="hybridMultilevel"/>
    <w:lvl w:ilvl="0">
      <w:lvlJc w:val="left"/>
      <w:lvlText w:val="%1."/>
      <w:numFmt w:val="decimal"/>
      <w:start w:val="6"/>
    </w:lvl>
  </w:abstractNum>
  <w:abstractNum w:abstractNumId="126">
    <w:nsid w:val="26A02C5E"/>
    <w:multiLevelType w:val="hybridMultilevel"/>
    <w:lvl w:ilvl="0">
      <w:lvlJc w:val="left"/>
      <w:lvlText w:val="(%1)"/>
      <w:numFmt w:val="lowerLetter"/>
      <w:start w:val="1"/>
    </w:lvl>
  </w:abstractNum>
  <w:abstractNum w:abstractNumId="127">
    <w:nsid w:val="541C8153"/>
    <w:multiLevelType w:val="hybridMultilevel"/>
    <w:lvl w:ilvl="0">
      <w:lvlJc w:val="left"/>
      <w:lvlText w:val="(%1)"/>
      <w:numFmt w:val="lowerLetter"/>
      <w:start w:val="2"/>
    </w:lvl>
  </w:abstractNum>
  <w:abstractNum w:abstractNumId="128">
    <w:nsid w:val="67906F60"/>
    <w:multiLevelType w:val="hybridMultilevel"/>
    <w:lvl w:ilvl="0">
      <w:lvlJc w:val="left"/>
      <w:lvlText w:val="%1."/>
      <w:numFmt w:val="decimal"/>
      <w:start w:val="7"/>
    </w:lvl>
  </w:abstractNum>
  <w:abstractNum w:abstractNumId="129">
    <w:nsid w:val="10DB9DAA"/>
    <w:multiLevelType w:val="hybridMultilevel"/>
    <w:lvl w:ilvl="0">
      <w:lvlJc w:val="left"/>
      <w:lvlText w:val="(%1)"/>
      <w:numFmt w:val="lowerLetter"/>
      <w:start w:val="1"/>
    </w:lvl>
  </w:abstractNum>
  <w:abstractNum w:abstractNumId="130">
    <w:nsid w:val="697D2D2"/>
    <w:multiLevelType w:val="hybridMultilevel"/>
    <w:lvl w:ilvl="0">
      <w:lvlJc w:val="left"/>
      <w:lvlText w:val="%1."/>
      <w:numFmt w:val="decimal"/>
      <w:start w:val="8"/>
    </w:lvl>
  </w:abstractNum>
  <w:abstractNum w:abstractNumId="131">
    <w:nsid w:val="6D68AB2"/>
    <w:multiLevelType w:val="hybridMultilevel"/>
    <w:lvl w:ilvl="0">
      <w:lvlJc w:val="left"/>
      <w:lvlText w:val="(%1)"/>
      <w:numFmt w:val="lowerLetter"/>
      <w:start w:val="1"/>
    </w:lvl>
  </w:abstractNum>
  <w:abstractNum w:abstractNumId="132">
    <w:nsid w:val="3A966CD0"/>
    <w:multiLevelType w:val="hybridMultilevel"/>
    <w:lvl w:ilvl="0">
      <w:lvlJc w:val="left"/>
      <w:lvlText w:val="(%1)"/>
      <w:numFmt w:val="lowerLetter"/>
      <w:start w:val="6"/>
    </w:lvl>
  </w:abstractNum>
  <w:abstractNum w:abstractNumId="133">
    <w:nsid w:val="63F37E85"/>
    <w:multiLevelType w:val="hybridMultilevel"/>
    <w:lvl w:ilvl="0">
      <w:lvlJc w:val="left"/>
      <w:lvlText w:val="%1."/>
      <w:numFmt w:val="decimal"/>
      <w:start w:val="9"/>
    </w:lvl>
  </w:abstractNum>
  <w:abstractNum w:abstractNumId="134">
    <w:nsid w:val="5895F5FA"/>
    <w:multiLevelType w:val="hybridMultilevel"/>
    <w:lvl w:ilvl="0">
      <w:lvlJc w:val="left"/>
      <w:lvlText w:val="(%1)"/>
      <w:numFmt w:val="lowerLetter"/>
      <w:start w:val="1"/>
    </w:lvl>
  </w:abstractNum>
  <w:abstractNum w:abstractNumId="135">
    <w:nsid w:val="38A5D054"/>
    <w:multiLevelType w:val="hybridMultilevel"/>
    <w:lvl w:ilvl="0">
      <w:lvlJc w:val="left"/>
      <w:lvlText w:val="1"/>
      <w:numFmt w:val="bullet"/>
      <w:start w:val="1"/>
    </w:lvl>
  </w:abstractNum>
  <w:abstractNum w:abstractNumId="136">
    <w:nsid w:val="F3F09D8"/>
    <w:multiLevelType w:val="hybridMultilevel"/>
    <w:lvl w:ilvl="0">
      <w:lvlJc w:val="left"/>
      <w:lvlText w:val="(%1)"/>
      <w:numFmt w:val="lowerLetter"/>
      <w:start w:val="6"/>
    </w:lvl>
    <w:lvl w:ilvl="1">
      <w:lvlJc w:val="left"/>
      <w:lvlText w:val="%2."/>
      <w:numFmt w:val="lowerRoman"/>
      <w:start w:val="1"/>
    </w:lvl>
  </w:abstractNum>
  <w:abstractNum w:abstractNumId="137">
    <w:nsid w:val="4B793735"/>
    <w:multiLevelType w:val="hybridMultilevel"/>
    <w:lvl w:ilvl="0">
      <w:lvlJc w:val="left"/>
      <w:lvlText w:val="%1."/>
      <w:numFmt w:val="lowerRoman"/>
      <w:start w:val="3"/>
    </w:lvl>
  </w:abstractNum>
  <w:abstractNum w:abstractNumId="138">
    <w:nsid w:val="4A10B4E8"/>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5"/>
    </w:lvl>
  </w:abstractNum>
  <w:abstractNum w:abstractNumId="139">
    <w:nsid w:val="43D3BCD4"/>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140">
    <w:nsid w:val="4C2A7166"/>
    <w:multiLevelType w:val="hybridMultilevel"/>
    <w:lvl w:ilvl="0">
      <w:lvlJc w:val="left"/>
      <w:lvlText w:val="%1."/>
      <w:numFmt w:val="decimal"/>
      <w:start w:val="10"/>
    </w:lvl>
  </w:abstractNum>
  <w:abstractNum w:abstractNumId="141">
    <w:nsid w:val="2E534A8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2">
    <w:nsid w:val="26F2D36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3">
    <w:nsid w:val="71C1AF98"/>
    <w:multiLevelType w:val="hybridMultilevel"/>
    <w:lvl w:ilvl="0">
      <w:lvlJc w:val="left"/>
      <w:lvlText w:val="(%1)"/>
      <w:numFmt w:val="lowerLetter"/>
      <w:start w:val="3"/>
    </w:lvl>
  </w:abstractNum>
  <w:abstractNum w:abstractNumId="144">
    <w:nsid w:val="3D00B9D9"/>
    <w:multiLevelType w:val="hybridMultilevel"/>
    <w:lvl w:ilvl="0">
      <w:lvlJc w:val="left"/>
      <w:lvlText w:val="1"/>
      <w:numFmt w:val="bullet"/>
      <w:start w:val="1"/>
    </w:lvl>
  </w:abstractNum>
  <w:abstractNum w:abstractNumId="145">
    <w:nsid w:val="15BCABA8"/>
    <w:multiLevelType w:val="hybridMultilevel"/>
    <w:lvl w:ilvl="0">
      <w:lvlJc w:val="left"/>
      <w:lvlText w:val="%1"/>
      <w:numFmt w:val="decimal"/>
      <w:start w:val="1"/>
    </w:lvl>
    <w:lvl w:ilvl="1">
      <w:lvlJc w:val="left"/>
      <w:lvlText w:val="(%2)"/>
      <w:numFmt w:val="lowerLetter"/>
      <w:start w:val="4"/>
    </w:lvl>
  </w:abstractNum>
  <w:abstractNum w:abstractNumId="146">
    <w:nsid w:val="4E0B9A87"/>
    <w:multiLevelType w:val="hybridMultilevel"/>
    <w:lvl w:ilvl="0">
      <w:lvlJc w:val="left"/>
      <w:lvlText w:val="%1."/>
      <w:numFmt w:val="decimal"/>
      <w:start w:val="3"/>
    </w:lvl>
    <w:lvl w:ilvl="1">
      <w:lvlJc w:val="left"/>
      <w:lvlText w:val="(%2)"/>
      <w:numFmt w:val="lowerLetter"/>
      <w:start w:val="1"/>
    </w:lvl>
  </w:abstractNum>
  <w:abstractNum w:abstractNumId="147">
    <w:nsid w:val="434BAE75"/>
    <w:multiLevelType w:val="hybridMultilevel"/>
    <w:lvl w:ilvl="0">
      <w:lvlJc w:val="left"/>
      <w:lvlText w:val="%1"/>
      <w:numFmt w:val="decimal"/>
      <w:start w:val="1"/>
    </w:lvl>
    <w:lvl w:ilvl="1">
      <w:lvlJc w:val="left"/>
      <w:lvlText w:val="(%2)"/>
      <w:numFmt w:val="lowerLetter"/>
      <w:start w:val="6"/>
    </w:lvl>
  </w:abstractNum>
  <w:abstractNum w:abstractNumId="148">
    <w:nsid w:val="4F38F265"/>
    <w:multiLevelType w:val="hybridMultilevel"/>
    <w:lvl w:ilvl="0">
      <w:lvlJc w:val="left"/>
      <w:lvlText w:val="%1."/>
      <w:numFmt w:val="decimal"/>
      <w:start w:val="4"/>
    </w:lvl>
    <w:lvl w:ilvl="1">
      <w:lvlJc w:val="left"/>
      <w:lvlText w:val="(%2)"/>
      <w:numFmt w:val="lowerLetter"/>
      <w:start w:val="1"/>
    </w:lvl>
  </w:abstractNum>
  <w:abstractNum w:abstractNumId="149">
    <w:nsid w:val="4C502870"/>
    <w:multiLevelType w:val="hybridMultilevel"/>
    <w:lvl w:ilvl="0">
      <w:lvlJc w:val="left"/>
      <w:lvlText w:val="%1"/>
      <w:numFmt w:val="decimal"/>
      <w:start w:val="1"/>
    </w:lvl>
    <w:lvl w:ilvl="1">
      <w:lvlJc w:val="left"/>
      <w:lvlText w:val="(%2)"/>
      <w:numFmt w:val="lowerLetter"/>
      <w:start w:val="3"/>
    </w:lvl>
  </w:abstractNum>
  <w:abstractNum w:abstractNumId="150">
    <w:nsid w:val="1DE8725A"/>
    <w:multiLevelType w:val="hybridMultilevel"/>
    <w:lvl w:ilvl="0">
      <w:lvlJc w:val="left"/>
      <w:lvlText w:val="%1."/>
      <w:numFmt w:val="decimal"/>
      <w:start w:val="5"/>
    </w:lvl>
    <w:lvl w:ilvl="1">
      <w:lvlJc w:val="left"/>
      <w:lvlText w:val="(%2)"/>
      <w:numFmt w:val="lowerLetter"/>
      <w:start w:val="1"/>
    </w:lvl>
  </w:abstractNum>
  <w:abstractNum w:abstractNumId="151">
    <w:nsid w:val="6A37288A"/>
    <w:multiLevelType w:val="hybridMultilevel"/>
    <w:lvl w:ilvl="0">
      <w:lvlJc w:val="left"/>
      <w:lvlText w:val="%1."/>
      <w:numFmt w:val="decimal"/>
      <w:start w:val="6"/>
    </w:lvl>
    <w:lvl w:ilvl="1">
      <w:lvlJc w:val="left"/>
      <w:lvlText w:val="(%2)"/>
      <w:numFmt w:val="lowerLetter"/>
      <w:start w:val="1"/>
    </w:lvl>
  </w:abstractNum>
  <w:abstractNum w:abstractNumId="152">
    <w:nsid w:val="8F8B73F"/>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153">
    <w:nsid w:val="CA6B46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54">
    <w:nsid w:val="763CB680"/>
    <w:multiLevelType w:val="hybridMultilevel"/>
    <w:lvl w:ilvl="0">
      <w:lvlJc w:val="left"/>
      <w:lvlText w:val="%1"/>
      <w:numFmt w:val="decimal"/>
      <w:start w:val="1"/>
    </w:lvl>
    <w:lvl w:ilvl="1">
      <w:lvlJc w:val="left"/>
      <w:lvlText w:val="(%2)"/>
      <w:numFmt w:val="lowerLetter"/>
      <w:start w:val="3"/>
    </w:lvl>
  </w:abstractNum>
  <w:abstractNum w:abstractNumId="155">
    <w:nsid w:val="15B71329"/>
    <w:multiLevelType w:val="hybridMultilevel"/>
    <w:lvl w:ilvl="0">
      <w:lvlJc w:val="left"/>
      <w:lvlText w:val="%1."/>
      <w:numFmt w:val="decimal"/>
      <w:start w:val="12"/>
    </w:lvl>
    <w:lvl w:ilvl="1">
      <w:lvlJc w:val="left"/>
      <w:lvlText w:val="%2"/>
      <w:numFmt w:val="lowerLetter"/>
      <w:start w:val="1"/>
    </w:lvl>
  </w:abstractNum>
  <w:abstractNum w:abstractNumId="156">
    <w:nsid w:val="3DA97044"/>
    <w:multiLevelType w:val="hybridMultilevel"/>
    <w:lvl w:ilvl="0">
      <w:lvlJc w:val="left"/>
      <w:lvlText w:val="(%1)"/>
      <w:numFmt w:val="decimal"/>
      <w:start w:val="312"/>
    </w:lvl>
  </w:abstractNum>
  <w:abstractNum w:abstractNumId="157">
    <w:nsid w:val="1CDCE2DE"/>
    <w:multiLevelType w:val="hybridMultilevel"/>
    <w:lvl w:ilvl="0">
      <w:lvlJc w:val="left"/>
      <w:lvlText w:val="(%1)"/>
      <w:numFmt w:val="decimal"/>
      <w:start w:val="312"/>
    </w:lvl>
  </w:abstractNum>
  <w:abstractNum w:abstractNumId="158">
    <w:nsid w:val="69D3947C"/>
    <w:multiLevelType w:val="hybridMultilevel"/>
    <w:lvl w:ilvl="0">
      <w:lvlJc w:val="left"/>
      <w:lvlText w:val="(%1)"/>
      <w:numFmt w:val="decimal"/>
      <w:start w:val="312"/>
    </w:lvl>
  </w:abstractNum>
  <w:abstractNum w:abstractNumId="159">
    <w:nsid w:val="2539DFA5"/>
    <w:multiLevelType w:val="hybridMultilevel"/>
    <w:lvl w:ilvl="0">
      <w:lvlJc w:val="left"/>
      <w:lvlText w:val="(%1)"/>
      <w:numFmt w:val="decimal"/>
      <w:start w:val="312"/>
    </w:lvl>
  </w:abstractNum>
  <w:abstractNum w:abstractNumId="160">
    <w:nsid w:val="2DB88089"/>
    <w:multiLevelType w:val="hybridMultilevel"/>
    <w:lvl w:ilvl="0">
      <w:lvlJc w:val="left"/>
      <w:lvlText w:val="%1."/>
      <w:numFmt w:val="upperLetter"/>
      <w:start w:val="1"/>
    </w:lvl>
  </w:abstractNum>
  <w:abstractNum w:abstractNumId="161">
    <w:nsid w:val="706B674E"/>
    <w:multiLevelType w:val="hybridMultilevel"/>
    <w:lvl w:ilvl="0">
      <w:lvlJc w:val="left"/>
      <w:lvlText w:val="%1."/>
      <w:numFmt w:val="decimal"/>
      <w:start w:val="1"/>
    </w:lvl>
  </w:abstractNum>
  <w:abstractNum w:abstractNumId="162">
    <w:nsid w:val="2C106A57"/>
    <w:multiLevelType w:val="hybridMultilevel"/>
    <w:lvl w:ilvl="0">
      <w:lvlJc w:val="left"/>
      <w:lvlText w:val="(%1)"/>
      <w:numFmt w:val="lowerLetter"/>
      <w:start w:val="1"/>
    </w:lvl>
  </w:abstractNum>
  <w:abstractNum w:abstractNumId="163">
    <w:nsid w:val="684EED59"/>
    <w:multiLevelType w:val="hybridMultilevel"/>
    <w:lvl w:ilvl="0">
      <w:lvlJc w:val="left"/>
      <w:lvlText w:val="(%1)"/>
      <w:numFmt w:val="lowerLetter"/>
      <w:start w:val="1"/>
    </w:lvl>
    <w:lvl w:ilvl="1">
      <w:lvlJc w:val="left"/>
      <w:lvlText w:val="%2."/>
      <w:numFmt w:val="decimal"/>
      <w:start w:val="1"/>
    </w:lvl>
  </w:abstractNum>
  <w:abstractNum w:abstractNumId="164">
    <w:nsid w:val="545EE5D3"/>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65">
    <w:nsid w:val="4A66051"/>
    <w:multiLevelType w:val="hybridMultilevel"/>
    <w:lvl w:ilvl="0">
      <w:lvlJc w:val="left"/>
      <w:lvlText w:val="%1"/>
      <w:numFmt w:val="decimal"/>
      <w:start w:val="1"/>
    </w:lvl>
    <w:lvl w:ilvl="1">
      <w:lvlJc w:val="left"/>
      <w:lvlText w:val="(%2)"/>
      <w:numFmt w:val="lowerLetter"/>
      <w:start w:val="1"/>
    </w:lvl>
  </w:abstractNum>
  <w:abstractNum w:abstractNumId="166">
    <w:nsid w:val="20F4BDAD"/>
    <w:multiLevelType w:val="hybridMultilevel"/>
    <w:lvl w:ilvl="0">
      <w:lvlJc w:val="left"/>
      <w:lvlText w:val="%1."/>
      <w:numFmt w:val="decimal"/>
      <w:start w:val="3"/>
    </w:lvl>
    <w:lvl w:ilvl="1">
      <w:lvlJc w:val="left"/>
      <w:lvlText w:val="%2"/>
      <w:numFmt w:val="lowerLetter"/>
      <w:start w:val="1"/>
    </w:lvl>
  </w:abstractNum>
  <w:abstractNum w:abstractNumId="167">
    <w:nsid w:val="639DEFAC"/>
    <w:multiLevelType w:val="hybridMultilevel"/>
    <w:lvl w:ilvl="0">
      <w:lvlJc w:val="left"/>
      <w:lvlText w:val="(%1)"/>
      <w:numFmt w:val="lowerLetter"/>
      <w:start w:val="1"/>
    </w:lvl>
  </w:abstractNum>
  <w:abstractNum w:abstractNumId="168">
    <w:nsid w:val="501F9786"/>
    <w:multiLevelType w:val="hybridMultilevel"/>
    <w:lvl w:ilvl="0">
      <w:lvlJc w:val="left"/>
      <w:lvlText w:val="%1."/>
      <w:numFmt w:val="decimal"/>
      <w:start w:val="4"/>
    </w:lvl>
  </w:abstractNum>
  <w:abstractNum w:abstractNumId="169">
    <w:nsid w:val="6B057295"/>
    <w:multiLevelType w:val="hybridMultilevel"/>
    <w:lvl w:ilvl="0">
      <w:lvlJc w:val="left"/>
      <w:lvlText w:val="(%1)"/>
      <w:numFmt w:val="lowerLetter"/>
      <w:start w:val="1"/>
    </w:lvl>
  </w:abstractNum>
  <w:abstractNum w:abstractNumId="170">
    <w:nsid w:val="2771AC80"/>
    <w:multiLevelType w:val="hybridMultilevel"/>
    <w:lvl w:ilvl="0">
      <w:lvlJc w:val="left"/>
      <w:lvlText w:val="%1."/>
      <w:numFmt w:val="decimal"/>
      <w:start w:val="5"/>
    </w:lvl>
  </w:abstractNum>
  <w:abstractNum w:abstractNumId="171">
    <w:nsid w:val="1C4A08EC"/>
    <w:multiLevelType w:val="hybridMultilevel"/>
    <w:lvl w:ilvl="0">
      <w:lvlJc w:val="left"/>
      <w:lvlText w:val="%1"/>
      <w:numFmt w:val="decimal"/>
      <w:start w:val="1"/>
    </w:lvl>
    <w:lvl w:ilvl="1">
      <w:lvlJc w:val="left"/>
      <w:lvlText w:val="(%2)"/>
      <w:numFmt w:val="lowerLetter"/>
      <w:start w:val="1"/>
    </w:lvl>
  </w:abstractNum>
  <w:abstractNum w:abstractNumId="172">
    <w:nsid w:val="1958BD17"/>
    <w:multiLevelType w:val="hybridMultilevel"/>
    <w:lvl w:ilvl="0">
      <w:lvlJc w:val="left"/>
      <w:lvlText w:val="%1."/>
      <w:numFmt w:val="decimal"/>
      <w:start w:val="6"/>
    </w:lvl>
    <w:lvl w:ilvl="1">
      <w:lvlJc w:val="left"/>
      <w:lvlText w:val="%2"/>
      <w:numFmt w:val="lowerLetter"/>
      <w:start w:val="1"/>
    </w:lvl>
  </w:abstractNum>
  <w:abstractNum w:abstractNumId="173">
    <w:nsid w:val="4E647FE4"/>
    <w:multiLevelType w:val="hybridMultilevel"/>
    <w:lvl w:ilvl="0">
      <w:lvlJc w:val="left"/>
      <w:lvlText w:val="(%1)"/>
      <w:numFmt w:val="lowerLetter"/>
      <w:start w:val="1"/>
    </w:lvl>
  </w:abstractNum>
  <w:abstractNum w:abstractNumId="174">
    <w:nsid w:val="E0BB885"/>
    <w:multiLevelType w:val="hybridMultilevel"/>
    <w:lvl w:ilvl="0">
      <w:lvlJc w:val="left"/>
      <w:lvlText w:val="%1."/>
      <w:numFmt w:val="decimal"/>
      <w:start w:val="7"/>
    </w:lvl>
  </w:abstractNum>
  <w:abstractNum w:abstractNumId="175">
    <w:nsid w:val="565976F1"/>
    <w:multiLevelType w:val="hybridMultilevel"/>
    <w:lvl w:ilvl="0">
      <w:lvlJc w:val="left"/>
      <w:lvlText w:val="(%1)"/>
      <w:numFmt w:val="lowerRoman"/>
      <w:start w:val="2"/>
    </w:lvl>
  </w:abstractNum>
  <w:abstractNum w:abstractNumId="176">
    <w:nsid w:val="64212B8C"/>
    <w:multiLevelType w:val="hybridMultilevel"/>
    <w:lvl w:ilvl="0">
      <w:lvlJc w:val="left"/>
      <w:lvlText w:val="(%1)"/>
      <w:numFmt w:val="lowerLetter"/>
      <w:start w:val="1"/>
    </w:lvl>
  </w:abstractNum>
  <w:abstractNum w:abstractNumId="177">
    <w:nsid w:val="5C17530C"/>
    <w:multiLevelType w:val="hybridMultilevel"/>
    <w:lvl w:ilvl="0">
      <w:lvlJc w:val="left"/>
      <w:lvlText w:val="(%1)"/>
      <w:numFmt w:val="lowerLetter"/>
      <w:start w:val="1"/>
    </w:lvl>
  </w:abstractNum>
  <w:abstractNum w:abstractNumId="178">
    <w:nsid w:val="19A52566"/>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79">
    <w:nsid w:val="335A1DF1"/>
    <w:multiLevelType w:val="hybridMultilevel"/>
    <w:lvl w:ilvl="0">
      <w:lvlJc w:val="left"/>
      <w:lvlText w:val="%1."/>
      <w:numFmt w:val="decimal"/>
      <w:start w:val="9"/>
    </w:lvl>
  </w:abstractNum>
  <w:abstractNum w:abstractNumId="180">
    <w:nsid w:val="28677B7C"/>
    <w:multiLevelType w:val="hybridMultilevel"/>
    <w:lvl w:ilvl="0">
      <w:lvlJc w:val="left"/>
      <w:lvlText w:val="%1"/>
      <w:numFmt w:val="decimal"/>
      <w:start w:val="1"/>
    </w:lvl>
    <w:lvl w:ilvl="1">
      <w:lvlJc w:val="left"/>
      <w:lvlText w:val="(%2)"/>
      <w:numFmt w:val="lowerLetter"/>
      <w:start w:val="1"/>
    </w:lvl>
  </w:abstractNum>
  <w:abstractNum w:abstractNumId="181">
    <w:nsid w:val="378D97C0"/>
    <w:multiLevelType w:val="hybridMultilevel"/>
    <w:lvl w:ilvl="0">
      <w:lvlJc w:val="left"/>
      <w:lvlText w:val="%1."/>
      <w:numFmt w:val="decimal"/>
      <w:start w:val="10"/>
    </w:lvl>
    <w:lvl w:ilvl="1">
      <w:lvlJc w:val="left"/>
      <w:lvlText w:val="%2"/>
      <w:numFmt w:val="lowerLetter"/>
      <w:start w:val="1"/>
    </w:lvl>
  </w:abstractNum>
  <w:abstractNum w:abstractNumId="182">
    <w:nsid w:val="1D91467C"/>
    <w:multiLevelType w:val="hybridMultilevel"/>
    <w:lvl w:ilvl="0">
      <w:lvlJc w:val="left"/>
      <w:lvlText w:val="(%1)"/>
      <w:numFmt w:val="lowerLetter"/>
      <w:start w:val="1"/>
    </w:lvl>
    <w:lvl w:ilvl="1">
      <w:lvlJc w:val="left"/>
      <w:lvlText w:val="%2."/>
      <w:numFmt w:val="decimal"/>
      <w:start w:val="1"/>
    </w:lvl>
  </w:abstractNum>
  <w:abstractNum w:abstractNumId="183">
    <w:nsid w:val="316032BB"/>
    <w:multiLevelType w:val="hybridMultilevel"/>
    <w:lvl w:ilvl="0">
      <w:lvlJc w:val="left"/>
      <w:lvlText w:val="%1"/>
      <w:numFmt w:val="lowerLetter"/>
      <w:start w:val="1"/>
    </w:lvl>
    <w:lvl w:ilvl="1">
      <w:lvlJc w:val="left"/>
      <w:lvlText w:val="%2."/>
      <w:numFmt w:val="decimal"/>
      <w:start w:val="3"/>
    </w:lvl>
  </w:abstractNum>
  <w:abstractNum w:abstractNumId="184">
    <w:nsid w:val="44344C22"/>
    <w:multiLevelType w:val="hybridMultilevel"/>
    <w:lvl w:ilvl="0">
      <w:lvlJc w:val="left"/>
      <w:lvlText w:val="(%1)"/>
      <w:numFmt w:val="lowerLetter"/>
      <w:start w:val="2"/>
    </w:lvl>
    <w:lvl w:ilvl="1">
      <w:lvlJc w:val="left"/>
      <w:lvlText w:val="%2"/>
      <w:numFmt w:val="decimal"/>
      <w:start w:val="1"/>
    </w:lvl>
  </w:abstractNum>
  <w:abstractNum w:abstractNumId="185">
    <w:nsid w:val="13CDFCFC"/>
    <w:multiLevelType w:val="hybridMultilevel"/>
    <w:lvl w:ilvl="0">
      <w:lvlJc w:val="left"/>
      <w:lvlText w:val="%1."/>
      <w:numFmt w:val="decimal"/>
      <w:start w:val="11"/>
    </w:lvl>
  </w:abstractNum>
  <w:abstractNum w:abstractNumId="186">
    <w:nsid w:val="471745E4"/>
    <w:multiLevelType w:val="hybridMultilevel"/>
    <w:lvl w:ilvl="0">
      <w:lvlJc w:val="left"/>
      <w:lvlText w:val="(%1)"/>
      <w:numFmt w:val="lowerLetter"/>
      <w:start w:val="1"/>
    </w:lvl>
  </w:abstractNum>
  <w:abstractNum w:abstractNumId="187">
    <w:nsid w:val="1DDBC66"/>
    <w:multiLevelType w:val="hybridMultilevel"/>
    <w:lvl w:ilvl="0">
      <w:lvlJc w:val="left"/>
      <w:lvlText w:val="(%1)"/>
      <w:numFmt w:val="lowerLetter"/>
      <w:start w:val="2"/>
    </w:lvl>
    <w:lvl w:ilvl="1">
      <w:lvlJc w:val="left"/>
      <w:lvlText w:val="%2."/>
      <w:numFmt w:val="decimal"/>
      <w:start w:val="1"/>
    </w:lvl>
  </w:abstractNum>
  <w:abstractNum w:abstractNumId="188">
    <w:nsid w:val="30AADFD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9">
    <w:nsid w:val="30EADA61"/>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190">
    <w:nsid w:val="27179C0B"/>
    <w:multiLevelType w:val="hybridMultilevel"/>
    <w:lvl w:ilvl="0">
      <w:lvlJc w:val="left"/>
      <w:lvlText w:val="(%1)"/>
      <w:numFmt w:val="lowerLetter"/>
      <w:start w:val="1"/>
    </w:lvl>
  </w:abstractNum>
  <w:abstractNum w:abstractNumId="191">
    <w:nsid w:val="5E636063"/>
    <w:multiLevelType w:val="hybridMultilevel"/>
    <w:lvl w:ilvl="0">
      <w:lvlJc w:val="left"/>
      <w:lvlText w:val="%1."/>
      <w:numFmt w:val="decimal"/>
      <w:start w:val="1"/>
    </w:lvl>
  </w:abstractNum>
  <w:abstractNum w:abstractNumId="192">
    <w:nsid w:val="215641AF"/>
    <w:multiLevelType w:val="hybridMultilevel"/>
    <w:lvl w:ilvl="0">
      <w:lvlJc w:val="left"/>
      <w:lvlText w:val="%1."/>
      <w:numFmt w:val="decimal"/>
      <w:start w:val="1"/>
    </w:lvl>
  </w:abstractNum>
  <w:abstractNum w:abstractNumId="193">
    <w:nsid w:val="53280662"/>
    <w:multiLevelType w:val="hybridMultilevel"/>
    <w:lvl w:ilvl="0">
      <w:lvlJc w:val="left"/>
      <w:lvlText w:val="(%1)"/>
      <w:numFmt w:val="lowerLetter"/>
      <w:start w:val="1"/>
    </w:lvl>
    <w:lvl w:ilvl="1">
      <w:lvlJc w:val="left"/>
      <w:lvlText w:val="%2."/>
      <w:numFmt w:val="lowerRoman"/>
      <w:start w:val="1"/>
    </w:lvl>
  </w:abstractNum>
  <w:abstractNum w:abstractNumId="194">
    <w:nsid w:val="46B24DBC"/>
    <w:multiLevelType w:val="hybridMultilevel"/>
    <w:lvl w:ilvl="0">
      <w:lvlJc w:val="left"/>
      <w:lvlText w:val="%1."/>
      <w:numFmt w:val="lowerRoman"/>
      <w:start w:val="4"/>
    </w:lvl>
  </w:abstractNum>
  <w:abstractNum w:abstractNumId="195">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196">
    <w:nsid w:val="57CE66B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97">
    <w:nsid w:val="67A70B6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98">
    <w:nsid w:val="5953172F"/>
    <w:multiLevelType w:val="hybridMultilevel"/>
    <w:lvl w:ilvl="0">
      <w:lvlJc w:val="left"/>
      <w:lvlText w:val="%1"/>
      <w:numFmt w:val="decimal"/>
      <w:start w:val="1"/>
    </w:lvl>
    <w:lvl w:ilvl="1">
      <w:lvlJc w:val="left"/>
      <w:lvlText w:val="(%2)"/>
      <w:numFmt w:val="lowerLetter"/>
      <w:start w:val="2"/>
    </w:lvl>
  </w:abstractNum>
  <w:abstractNum w:abstractNumId="199">
    <w:nsid w:val="27EDFE3A"/>
    <w:multiLevelType w:val="hybridMultilevel"/>
    <w:lvl w:ilvl="0">
      <w:lvlJc w:val="left"/>
      <w:lvlText w:val="%1."/>
      <w:numFmt w:val="decimal"/>
      <w:start w:val="5"/>
    </w:lvl>
    <w:lvl w:ilvl="1">
      <w:lvlJc w:val="left"/>
      <w:lvlText w:val="%2"/>
      <w:numFmt w:val="lowerLetter"/>
      <w:start w:val="1"/>
    </w:lvl>
  </w:abstractNum>
  <w:abstractNum w:abstractNumId="200">
    <w:nsid w:val="52AC7DFF"/>
    <w:multiLevelType w:val="hybridMultilevel"/>
    <w:lvl w:ilvl="0">
      <w:lvlJc w:val="left"/>
      <w:lvlText w:val="%1."/>
      <w:numFmt w:val="decimal"/>
      <w:start w:val="6"/>
    </w:lvl>
    <w:lvl w:ilvl="1">
      <w:lvlJc w:val="left"/>
      <w:lvlText w:val="(%2)"/>
      <w:numFmt w:val="lowerLetter"/>
      <w:start w:val="1"/>
    </w:lvl>
  </w:abstractNum>
  <w:abstractNum w:abstractNumId="201">
    <w:nsid w:val="C4C3AF"/>
    <w:multiLevelType w:val="hybridMultilevel"/>
    <w:lvl w:ilvl="0">
      <w:lvlJc w:val="left"/>
      <w:lvlText w:val="(%1)"/>
      <w:numFmt w:val="lowerLetter"/>
      <w:start w:val="2"/>
    </w:lvl>
  </w:abstractNum>
  <w:abstractNum w:abstractNumId="202">
    <w:nsid w:val="44380727"/>
    <w:multiLevelType w:val="hybridMultilevel"/>
    <w:lvl w:ilvl="0">
      <w:lvlJc w:val="left"/>
      <w:lvlText w:val="%1."/>
      <w:numFmt w:val="decimal"/>
      <w:start w:val="7"/>
    </w:lvl>
  </w:abstractNum>
  <w:abstractNum w:abstractNumId="203">
    <w:nsid w:val="6C053B16"/>
    <w:multiLevelType w:val="hybridMultilevel"/>
    <w:lvl w:ilvl="0">
      <w:lvlJc w:val="left"/>
      <w:lvlText w:val="(%1)"/>
      <w:numFmt w:val="lowerLetter"/>
      <w:start w:val="1"/>
    </w:lvl>
  </w:abstractNum>
  <w:abstractNum w:abstractNumId="204">
    <w:nsid w:val="4F294393"/>
    <w:multiLevelType w:val="hybridMultilevel"/>
    <w:lvl w:ilvl="0">
      <w:lvlJc w:val="left"/>
      <w:lvlText w:val="%1."/>
      <w:numFmt w:val="decimal"/>
      <w:start w:val="8"/>
    </w:lvl>
  </w:abstractNum>
  <w:abstractNum w:abstractNumId="205">
    <w:nsid w:val="5243BFAC"/>
    <w:multiLevelType w:val="hybridMultilevel"/>
    <w:lvl w:ilvl="0">
      <w:lvlJc w:val="left"/>
      <w:lvlText w:val="(%1)"/>
      <w:numFmt w:val="lowerLetter"/>
      <w:start w:val="1"/>
    </w:lvl>
  </w:abstractNum>
  <w:abstractNum w:abstractNumId="206">
    <w:nsid w:val="425EB207"/>
    <w:multiLevelType w:val="hybridMultilevel"/>
    <w:lvl w:ilvl="0">
      <w:lvlJc w:val="left"/>
      <w:lvlText w:val="(%1)"/>
      <w:numFmt w:val="lowerLetter"/>
      <w:start w:val="7"/>
    </w:lvl>
  </w:abstractNum>
  <w:abstractNum w:abstractNumId="207">
    <w:nsid w:val="334A6F1F"/>
    <w:multiLevelType w:val="hybridMultilevel"/>
    <w:lvl w:ilvl="0">
      <w:lvlJc w:val="left"/>
      <w:lvlText w:val="%1."/>
      <w:numFmt w:val="decimal"/>
      <w:start w:val="9"/>
    </w:lvl>
  </w:abstractNum>
  <w:abstractNum w:abstractNumId="208">
    <w:nsid w:val="2E5B12B8"/>
    <w:multiLevelType w:val="hybridMultilevel"/>
    <w:lvl w:ilvl="0">
      <w:lvlJc w:val="left"/>
      <w:lvlText w:val="(%1)"/>
      <w:numFmt w:val="lowerLetter"/>
      <w:start w:val="1"/>
    </w:lvl>
  </w:abstractNum>
  <w:abstractNum w:abstractNumId="209">
    <w:nsid w:val="5C03D76D"/>
    <w:multiLevelType w:val="hybridMultilevel"/>
    <w:lvl w:ilvl="0">
      <w:lvlJc w:val="left"/>
      <w:lvlText w:val="1"/>
      <w:numFmt w:val="bullet"/>
      <w:start w:val="1"/>
    </w:lvl>
  </w:abstractNum>
  <w:abstractNum w:abstractNumId="210">
    <w:nsid w:val="66A48D11"/>
    <w:multiLevelType w:val="hybridMultilevel"/>
    <w:lvl w:ilvl="0">
      <w:lvlJc w:val="left"/>
      <w:lvlText w:val="(%1)"/>
      <w:numFmt w:val="lowerLetter"/>
      <w:start w:val="6"/>
    </w:lvl>
    <w:lvl w:ilvl="1">
      <w:lvlJc w:val="left"/>
      <w:lvlText w:val="%2."/>
      <w:numFmt w:val="lowerRoman"/>
      <w:start w:val="1"/>
    </w:lvl>
  </w:abstractNum>
  <w:abstractNum w:abstractNumId="211">
    <w:nsid w:val="56C28E34"/>
    <w:multiLevelType w:val="hybridMultilevel"/>
    <w:lvl w:ilvl="0">
      <w:lvlJc w:val="left"/>
      <w:lvlText w:val="%1."/>
      <w:numFmt w:val="lowerRoman"/>
      <w:start w:val="3"/>
    </w:lvl>
  </w:abstractNum>
  <w:abstractNum w:abstractNumId="212">
    <w:nsid w:val="13916F2D"/>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5"/>
    </w:lvl>
  </w:abstractNum>
  <w:abstractNum w:abstractNumId="213">
    <w:nsid w:val="435D38D"/>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214">
    <w:nsid w:val="822C0EF"/>
    <w:multiLevelType w:val="hybridMultilevel"/>
    <w:lvl w:ilvl="0">
      <w:lvlJc w:val="left"/>
      <w:lvlText w:val="%1."/>
      <w:numFmt w:val="decimal"/>
      <w:start w:val="10"/>
    </w:lvl>
  </w:abstractNum>
  <w:abstractNum w:abstractNumId="215">
    <w:nsid w:val="57C5BB4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16">
    <w:nsid w:val="1803D089"/>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4)"/>
      <w:numFmt w:val="lowerLetter"/>
      <w:start w:val="3"/>
    </w:lvl>
  </w:abstractNum>
  <w:abstractNum w:abstractNumId="217">
    <w:nsid w:val="4F3A06D4"/>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4"/>
      <w:numFmt w:val="lowerLetter"/>
      <w:start w:val="1"/>
    </w:lvl>
  </w:abstractNum>
  <w:abstractNum w:abstractNumId="218">
    <w:nsid w:val="59A377B6"/>
    <w:multiLevelType w:val="hybridMultilevel"/>
    <w:lvl w:ilvl="0">
      <w:lvlJc w:val="left"/>
      <w:lvlText w:val="1"/>
      <w:numFmt w:val="bullet"/>
      <w:start w:val="1"/>
    </w:lvl>
  </w:abstractNum>
  <w:abstractNum w:abstractNumId="219">
    <w:nsid w:val="48AEB063"/>
    <w:multiLevelType w:val="hybridMultilevel"/>
    <w:lvl w:ilvl="0">
      <w:lvlJc w:val="left"/>
      <w:lvlText w:val="%1"/>
      <w:numFmt w:val="lowerLetter"/>
      <w:start w:val="1"/>
    </w:lvl>
    <w:lvl w:ilvl="1">
      <w:lvlJc w:val="left"/>
      <w:lvlText w:val="(%2)"/>
      <w:numFmt w:val="lowerLetter"/>
      <w:start w:val="4"/>
    </w:lvl>
  </w:abstractNum>
  <w:abstractNum w:abstractNumId="220">
    <w:nsid w:val="24E135"/>
    <w:multiLevelType w:val="hybridMultilevel"/>
    <w:lvl w:ilvl="0">
      <w:lvlJc w:val="left"/>
      <w:lvlText w:val="(%1)"/>
      <w:numFmt w:val="lowerLetter"/>
      <w:start w:val="35"/>
    </w:lvl>
    <w:lvl w:ilvl="1">
      <w:lvlJc w:val="left"/>
      <w:lvlText w:val="%2"/>
      <w:numFmt w:val="lowerLetter"/>
      <w:start w:val="1"/>
    </w:lvl>
  </w:abstractNum>
  <w:abstractNum w:abstractNumId="221">
    <w:nsid w:val="BB13C1"/>
    <w:multiLevelType w:val="hybridMultilevel"/>
    <w:lvl w:ilvl="0">
      <w:lvlJc w:val="left"/>
      <w:lvlText w:val="%1"/>
      <w:numFmt w:val="decimal"/>
      <w:start w:val="1"/>
    </w:lvl>
    <w:lvl w:ilvl="1">
      <w:lvlJc w:val="left"/>
      <w:lvlText w:val="(%2)"/>
      <w:numFmt w:val="lowerLetter"/>
      <w:start w:val="5"/>
    </w:lvl>
  </w:abstractNum>
  <w:abstractNum w:abstractNumId="222">
    <w:nsid w:val="271210C7"/>
    <w:multiLevelType w:val="hybridMultilevel"/>
    <w:lvl w:ilvl="0">
      <w:lvlJc w:val="left"/>
      <w:lvlText w:val="%1."/>
      <w:numFmt w:val="decimal"/>
      <w:start w:val="3"/>
    </w:lvl>
    <w:lvl w:ilvl="1">
      <w:lvlJc w:val="left"/>
      <w:lvlText w:val="(%2)"/>
      <w:numFmt w:val="lowerLetter"/>
      <w:start w:val="1"/>
    </w:lvl>
  </w:abstractNum>
  <w:abstractNum w:abstractNumId="223">
    <w:nsid w:val="217B22E4"/>
    <w:multiLevelType w:val="hybridMultilevel"/>
    <w:lvl w:ilvl="0">
      <w:lvlJc w:val="left"/>
      <w:lvlText w:val="%1"/>
      <w:numFmt w:val="decimal"/>
      <w:start w:val="1"/>
    </w:lvl>
    <w:lvl w:ilvl="1">
      <w:lvlJc w:val="left"/>
      <w:lvlText w:val="(%2)"/>
      <w:numFmt w:val="lowerLetter"/>
      <w:start w:val="6"/>
    </w:lvl>
  </w:abstractNum>
  <w:abstractNum w:abstractNumId="224">
    <w:nsid w:val="53E31A24"/>
    <w:multiLevelType w:val="hybridMultilevel"/>
    <w:lvl w:ilvl="0">
      <w:lvlJc w:val="left"/>
      <w:lvlText w:val="%1."/>
      <w:numFmt w:val="decimal"/>
      <w:start w:val="4"/>
    </w:lvl>
    <w:lvl w:ilvl="1">
      <w:lvlJc w:val="left"/>
      <w:lvlText w:val="(%2)"/>
      <w:numFmt w:val="lowerLetter"/>
      <w:start w:val="1"/>
    </w:lvl>
  </w:abstractNum>
  <w:abstractNum w:abstractNumId="225">
    <w:nsid w:val="6DC45E83"/>
    <w:multiLevelType w:val="hybridMultilevel"/>
    <w:lvl w:ilvl="0">
      <w:lvlJc w:val="left"/>
      <w:lvlText w:val="%1"/>
      <w:numFmt w:val="decimal"/>
      <w:start w:val="1"/>
    </w:lvl>
    <w:lvl w:ilvl="1">
      <w:lvlJc w:val="left"/>
      <w:lvlText w:val="(%2)"/>
      <w:numFmt w:val="lowerLetter"/>
      <w:start w:val="3"/>
    </w:lvl>
  </w:abstractNum>
  <w:abstractNum w:abstractNumId="226">
    <w:nsid w:val="17304A67"/>
    <w:multiLevelType w:val="hybridMultilevel"/>
    <w:lvl w:ilvl="0">
      <w:lvlJc w:val="left"/>
      <w:lvlText w:val="%1."/>
      <w:numFmt w:val="decimal"/>
      <w:start w:val="5"/>
    </w:lvl>
    <w:lvl w:ilvl="1">
      <w:lvlJc w:val="left"/>
      <w:lvlText w:val="(%2)"/>
      <w:numFmt w:val="lowerLetter"/>
      <w:start w:val="1"/>
    </w:lvl>
  </w:abstractNum>
  <w:abstractNum w:abstractNumId="227">
    <w:nsid w:val="2BB180D8"/>
    <w:multiLevelType w:val="hybridMultilevel"/>
    <w:lvl w:ilvl="0">
      <w:lvlJc w:val="left"/>
      <w:lvlText w:val="%1."/>
      <w:numFmt w:val="decimal"/>
      <w:start w:val="6"/>
    </w:lvl>
    <w:lvl w:ilvl="1">
      <w:lvlJc w:val="left"/>
      <w:lvlText w:val="(%2)"/>
      <w:numFmt w:val="lowerLetter"/>
      <w:start w:val="1"/>
    </w:lvl>
  </w:abstractNum>
  <w:abstractNum w:abstractNumId="228">
    <w:nsid w:val="556B69ED"/>
    <w:multiLevelType w:val="hybridMultilevel"/>
    <w:lvl w:ilvl="0">
      <w:lvlJc w:val="left"/>
      <w:lvlText w:val="%1"/>
      <w:numFmt w:val="decimal"/>
      <w:start w:val="1"/>
    </w:lvl>
    <w:lvl w:ilvl="1">
      <w:lvlJc w:val="left"/>
      <w:lvlText w:val="(%2)"/>
      <w:numFmt w:val="lowerLetter"/>
      <w:start w:val="1"/>
    </w:lvl>
  </w:abstractNum>
  <w:abstractNum w:abstractNumId="229">
    <w:nsid w:val="70836196"/>
    <w:multiLevelType w:val="hybridMultilevel"/>
    <w:lvl w:ilvl="0">
      <w:lvlJc w:val="left"/>
      <w:lvlText w:val="%1."/>
      <w:numFmt w:val="decimal"/>
      <w:start w:val="11"/>
    </w:lvl>
    <w:lvl w:ilvl="1">
      <w:lvlJc w:val="left"/>
      <w:lvlText w:val="(%2)"/>
      <w:numFmt w:val="lowerLetter"/>
      <w:start w:val="1"/>
    </w:lvl>
  </w:abstractNum>
  <w:abstractNum w:abstractNumId="230">
    <w:nsid w:val="539F7F12"/>
    <w:multiLevelType w:val="hybridMultilevel"/>
    <w:lvl w:ilvl="0">
      <w:lvlJc w:val="left"/>
      <w:lvlText w:val="%1"/>
      <w:numFmt w:val="decimal"/>
      <w:start w:val="1"/>
    </w:lvl>
    <w:lvl w:ilvl="1">
      <w:lvlJc w:val="left"/>
      <w:lvlText w:val="(%2)"/>
      <w:numFmt w:val="lowerLetter"/>
      <w:start w:val="3"/>
    </w:lvl>
  </w:abstractNum>
  <w:abstractNum w:abstractNumId="231">
    <w:nsid w:val="2817E7EC"/>
    <w:multiLevelType w:val="hybridMultilevel"/>
    <w:lvl w:ilvl="0">
      <w:lvlJc w:val="left"/>
      <w:lvlText w:val="%1."/>
      <w:numFmt w:val="decimal"/>
      <w:start w:val="12"/>
    </w:lvl>
    <w:lvl w:ilvl="1">
      <w:lvlJc w:val="left"/>
      <w:lvlText w:val="%2"/>
      <w:numFmt w:val="lowerLetter"/>
      <w:start w:val="1"/>
    </w:lvl>
  </w:abstractNum>
  <w:abstractNum w:abstractNumId="232">
    <w:nsid w:val="71482545"/>
    <w:multiLevelType w:val="hybridMultilevel"/>
    <w:lvl w:ilvl="0">
      <w:lvlJc w:val="left"/>
      <w:lvlText w:val="1"/>
      <w:numFmt w:val="bullet"/>
      <w:start w:val="1"/>
    </w:lvl>
  </w:abstractNum>
  <w:abstractNum w:abstractNumId="233">
    <w:nsid w:val="17D7863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upperLetter"/>
      <w:start w:val="9"/>
    </w:lvl>
  </w:abstractNum>
  <w:abstractNum w:abstractNumId="234">
    <w:nsid w:val="141D230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235">
    <w:nsid w:val="407168D8"/>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236">
    <w:nsid w:val="6A1B45E5"/>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37">
    <w:nsid w:val="567BD50A"/>
    <w:multiLevelType w:val="hybridMultilevel"/>
    <w:lvl w:ilvl="0">
      <w:lvlJc w:val="left"/>
      <w:lvlText w:val="%1."/>
      <w:numFmt w:val="decimal"/>
      <w:start w:val="2"/>
    </w:lvl>
    <w:lvl w:ilvl="1">
      <w:lvlJc w:val="left"/>
      <w:lvlText w:val="%2."/>
      <w:numFmt w:val="decimal"/>
      <w:start w:val="5"/>
    </w:lvl>
  </w:abstractNum>
  <w:abstractNum w:abstractNumId="238">
    <w:nsid w:val="73BBD7F8"/>
    <w:multiLevelType w:val="hybridMultilevel"/>
    <w:lvl w:ilvl="0">
      <w:lvlJc w:val="left"/>
      <w:lvlText w:val="%1."/>
      <w:numFmt w:val="decimal"/>
      <w:start w:val="6"/>
    </w:lvl>
  </w:abstractNum>
  <w:abstractNum w:abstractNumId="239">
    <w:nsid w:val="1876589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61"/>
    </w:lvl>
  </w:abstractNum>
  <w:abstractNum w:abstractNumId="240">
    <w:nsid w:val="327FAC7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41">
    <w:nsid w:val="5A606509"/>
    <w:multiLevelType w:val="hybridMultilevel"/>
    <w:lvl w:ilvl="0">
      <w:lvlJc w:val="left"/>
      <w:lvlText w:val="2"/>
      <w:numFmt w:val="bullet"/>
      <w:start w:val="1"/>
    </w:lvl>
  </w:abstractNum>
  <w:abstractNum w:abstractNumId="242">
    <w:nsid w:val="6F38E6D1"/>
    <w:multiLevelType w:val="hybridMultilevel"/>
    <w:lvl w:ilvl="0">
      <w:lvlJc w:val="left"/>
      <w:lvlText w:val="%1."/>
      <w:numFmt w:val="lowerLetter"/>
      <w:start w:val="2"/>
    </w:lvl>
  </w:abstractNum>
  <w:abstractNum w:abstractNumId="243">
    <w:nsid w:val="46111BA5"/>
    <w:multiLevelType w:val="hybridMultilevel"/>
    <w:lvl w:ilvl="0">
      <w:lvlJc w:val="left"/>
      <w:lvlText w:val="%1."/>
      <w:numFmt w:val="decimal"/>
      <w:start w:val="1"/>
    </w:lvl>
  </w:abstractNum>
  <w:abstractNum w:abstractNumId="244">
    <w:nsid w:val="5E963896"/>
    <w:multiLevelType w:val="hybridMultilevel"/>
    <w:lvl w:ilvl="0">
      <w:lvlJc w:val="left"/>
      <w:lvlText w:val="%1"/>
      <w:numFmt w:val="decimal"/>
      <w:start w:val="1"/>
    </w:lvl>
    <w:lvl w:ilvl="1">
      <w:lvlJc w:val="left"/>
      <w:lvlText w:val="%2."/>
      <w:numFmt w:val="upperLetter"/>
      <w:start w:val="22"/>
    </w:lvl>
  </w:abstractNum>
  <w:abstractNum w:abstractNumId="245">
    <w:nsid w:val="775BA7C1"/>
    <w:multiLevelType w:val="hybridMultilevel"/>
    <w:lvl w:ilvl="0">
      <w:lvlJc w:val="left"/>
      <w:lvlText w:val="%1."/>
      <w:numFmt w:val="decimal"/>
      <w:start w:val="1"/>
    </w:lvl>
    <w:lvl w:ilvl="1">
      <w:lvlJc w:val="left"/>
      <w:lvlText w:val="%2"/>
      <w:numFmt w:val="upperLetter"/>
      <w:start w:val="1"/>
    </w:lvl>
  </w:abstractNum>
  <w:abstractNum w:abstractNumId="246">
    <w:nsid w:val="1DD6D6F4"/>
    <w:multiLevelType w:val="hybridMultilevel"/>
    <w:lvl w:ilvl="0">
      <w:lvlJc w:val="left"/>
      <w:lvlText w:val="%1."/>
      <w:numFmt w:val="decimal"/>
      <w:start w:val="2"/>
    </w:lvl>
  </w:abstractNum>
  <w:abstractNum w:abstractNumId="247">
    <w:nsid w:val="769A091F"/>
    <w:multiLevelType w:val="hybridMultilevel"/>
    <w:lvl w:ilvl="0">
      <w:lvlJc w:val="left"/>
      <w:lvlText w:val="%1."/>
      <w:numFmt w:val="decimal"/>
      <w:start w:val="1"/>
    </w:lvl>
  </w:abstractNum>
  <w:abstractNum w:abstractNumId="248">
    <w:nsid w:val="4695AE95"/>
    <w:multiLevelType w:val="hybridMultilevel"/>
    <w:lvl w:ilvl="0">
      <w:lvlJc w:val="left"/>
      <w:lvlText w:val="%1."/>
      <w:numFmt w:val="decimal"/>
      <w:start w:val="1"/>
    </w:lvl>
  </w:abstractNum>
  <w:abstractNum w:abstractNumId="249">
    <w:nsid w:val="777A4EAA"/>
    <w:multiLevelType w:val="hybridMultilevel"/>
    <w:lvl w:ilvl="0">
      <w:lvlJc w:val="left"/>
      <w:lvlText w:val="%1."/>
      <w:numFmt w:val="decimal"/>
      <w:start w:val="1"/>
    </w:lvl>
  </w:abstractNum>
  <w:abstractNum w:abstractNumId="250">
    <w:nsid w:val="3F48B982"/>
    <w:multiLevelType w:val="hybridMultilevel"/>
    <w:lvl w:ilvl="0">
      <w:lvlJc w:val="left"/>
      <w:lvlText w:val="a"/>
      <w:numFmt w:val="bullet"/>
      <w:start w:val="1"/>
    </w:lvl>
  </w:abstractNum>
  <w:abstractNum w:abstractNumId="251">
    <w:nsid w:val="46BA8FCA"/>
    <w:multiLevelType w:val="hybridMultilevel"/>
    <w:lvl w:ilvl="0">
      <w:lvlJc w:val="left"/>
      <w:lvlText w:val="%1."/>
      <w:numFmt w:val="lowerLetter"/>
      <w:start w:val="2"/>
    </w:lvl>
  </w:abstractNum>
  <w:abstractNum w:abstractNumId="252">
    <w:nsid w:val="7835626C"/>
    <w:multiLevelType w:val="hybridMultilevel"/>
    <w:lvl w:ilvl="0">
      <w:lvlJc w:val="left"/>
      <w:lvlText w:val="%1"/>
      <w:numFmt w:val="decimal"/>
      <w:start w:val="1"/>
    </w:lvl>
    <w:lvl w:ilvl="1">
      <w:lvlJc w:val="left"/>
      <w:lvlText w:val="%2."/>
      <w:numFmt w:val="upperLetter"/>
      <w:start w:val="9"/>
    </w:lvl>
    <w:lvl w:ilvl="2">
      <w:lvlJc w:val="left"/>
      <w:lvlText w:val="%3"/>
      <w:numFmt w:val="upperLetter"/>
      <w:start w:val="1"/>
    </w:lvl>
  </w:abstractNum>
  <w:abstractNum w:abstractNumId="253">
    <w:nsid w:val="665ACA49"/>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254">
    <w:nsid w:val="6835B2AE"/>
    <w:multiLevelType w:val="hybridMultilevel"/>
    <w:lvl w:ilvl="0">
      <w:lvlJc w:val="left"/>
      <w:lvlText w:val="%1."/>
      <w:numFmt w:val="decimal"/>
      <w:start w:val="1"/>
    </w:lvl>
    <w:lvl w:ilvl="1">
      <w:lvlJc w:val="left"/>
      <w:lvlText w:val="%2"/>
      <w:numFmt w:val="lowerLetter"/>
      <w:start w:val="1"/>
    </w:lvl>
  </w:abstractNum>
  <w:abstractNum w:abstractNumId="255">
    <w:nsid w:val="4C187C90"/>
    <w:multiLevelType w:val="hybridMultilevel"/>
    <w:lvl w:ilvl="0">
      <w:lvlJc w:val="left"/>
      <w:lvlText w:val="%1."/>
      <w:numFmt w:val="lowerLetter"/>
      <w:start w:val="2"/>
    </w:lvl>
  </w:abstractNum>
  <w:abstractNum w:abstractNumId="256">
    <w:nsid w:val="541F28CD"/>
    <w:multiLevelType w:val="hybridMultilevel"/>
    <w:lvl w:ilvl="0">
      <w:lvlJc w:val="left"/>
      <w:lvlText w:val="%1"/>
      <w:numFmt w:val="decimal"/>
      <w:start w:val="1"/>
    </w:lvl>
    <w:lvl w:ilvl="1">
      <w:lvlJc w:val="left"/>
      <w:lvlText w:val="%2."/>
      <w:numFmt w:val="lowerLetter"/>
      <w:start w:val="3"/>
    </w:lvl>
  </w:abstractNum>
  <w:abstractNum w:abstractNumId="257">
    <w:nsid w:val="7F65FD16"/>
    <w:multiLevelType w:val="hybridMultilevel"/>
    <w:lvl w:ilvl="0">
      <w:lvlJc w:val="left"/>
      <w:lvlText w:val="%1."/>
      <w:numFmt w:val="decimal"/>
      <w:start w:val="1"/>
    </w:lvl>
    <w:lvl w:ilvl="1">
      <w:lvlJc w:val="left"/>
      <w:lvlText w:val="%2"/>
      <w:numFmt w:val="lowerLetter"/>
      <w:start w:val="1"/>
    </w:lvl>
  </w:abstractNum>
  <w:abstractNum w:abstractNumId="258">
    <w:nsid w:val="77C9FD68"/>
    <w:multiLevelType w:val="hybridMultilevel"/>
    <w:lvl w:ilvl="0">
      <w:lvlJc w:val="left"/>
      <w:lvlText w:val="%1."/>
      <w:numFmt w:val="decimal"/>
      <w:start w:val="1"/>
    </w:lvl>
  </w:abstractNum>
  <w:abstractNum w:abstractNumId="259">
    <w:nsid w:val="298A92BA"/>
    <w:multiLevelType w:val="hybridMultilevel"/>
    <w:lvl w:ilvl="0">
      <w:lvlJc w:val="left"/>
      <w:lvlText w:val="%1."/>
      <w:numFmt w:val="upperLetter"/>
      <w:start w:val="22"/>
    </w:lvl>
  </w:abstractNum>
  <w:abstractNum w:abstractNumId="260">
    <w:nsid w:val="6FE95EAC"/>
    <w:multiLevelType w:val="hybridMultilevel"/>
    <w:lvl w:ilvl="0">
      <w:lvlJc w:val="left"/>
      <w:lvlText w:val="%1."/>
      <w:numFmt w:val="decimal"/>
      <w:start w:val="1"/>
    </w:lvl>
  </w:abstractNum>
  <w:abstractNum w:abstractNumId="261">
    <w:nsid w:val="4B697C7A"/>
    <w:multiLevelType w:val="hybridMultilevel"/>
    <w:lvl w:ilvl="0">
      <w:lvlJc w:val="left"/>
      <w:lvlText w:val="1"/>
      <w:numFmt w:val="bullet"/>
      <w:start w:val="1"/>
    </w:lvl>
  </w:abstractNum>
  <w:abstractNum w:abstractNumId="262">
    <w:nsid w:val="51A27AA6"/>
    <w:multiLevelType w:val="hybridMultilevel"/>
    <w:lvl w:ilvl="0">
      <w:lvlJc w:val="left"/>
      <w:lvlText w:val="%1."/>
      <w:numFmt w:val="decimal"/>
      <w:start w:val="1"/>
    </w:lvl>
    <w:lvl w:ilvl="1">
      <w:lvlJc w:val="left"/>
      <w:lvlText w:val="(%2)"/>
      <w:numFmt w:val="lowerLetter"/>
      <w:start w:val="1"/>
    </w:lvl>
  </w:abstractNum>
  <w:abstractNum w:abstractNumId="263">
    <w:nsid w:val="613183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74" Type="http://schemas.openxmlformats.org/officeDocument/2006/relationships/hyperlink" Target="https://www.sec.gov/Archives/edgar/data/1822479/000119312523075979/d4555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2023-05-03T16:13:47Z</dcterms:created>
  <dcterms:modified xsi:type="dcterms:W3CDTF">2023-05-03T16:13:47Z</dcterms:modified>
</cp:coreProperties>
</file>