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hyperlink w:anchor="ifcb9a1dd2c5241fc889f8362a6f7e549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180" w:after="283"/>
        <w:jc w:val="center"/>
        <w:rPr>
          <w:rFonts w:ascii="Times New Roman;sans-serif" w:hAnsi="Times New Roman;sans-serif"/>
          <w:b/>
          <w:color w:val="000000"/>
          <w:sz w:val="34"/>
        </w:rPr>
      </w:pPr>
      <w:r>
        <w:rPr>
          <w:rFonts w:ascii="Times New Roman;sans-serif" w:hAnsi="Times New Roman;sans-serif"/>
          <w:b/>
          <w:color w:val="000000"/>
          <w:sz w:val="34"/>
        </w:rPr>
        <w:t>FORM 10-K</w:t>
      </w:r>
    </w:p>
    <w:p>
      <w:pPr>
        <w:pStyle w:val="TextBody"/>
        <w:bidi w:val="0"/>
        <w:spacing w:lineRule="auto" w:line="288" w:before="0" w:after="60"/>
        <w:jc w:val="left"/>
        <w:rPr>
          <w:rFonts w:ascii="Times New Roman;sans-serif" w:hAnsi="Times New Roman;sans-serif"/>
          <w:b w:val="false"/>
          <w:color w:val="000000"/>
          <w:sz w:val="18"/>
        </w:rPr>
      </w:pPr>
      <w:r>
        <w:rPr>
          <w:rFonts w:ascii="Times New Roman;sans-serif" w:hAnsi="Times New Roman;sans-serif"/>
          <w:b w:val="false"/>
          <w:color w:val="000000"/>
          <w:sz w:val="18"/>
        </w:rPr>
        <w:t>(Mark One)</w:t>
      </w:r>
    </w:p>
    <w:tbl>
      <w:tblPr>
        <w:tblW w:w="9387" w:type="dxa"/>
        <w:jc w:val="left"/>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For the fiscal year ended December 31, 2023</w:t>
      </w:r>
    </w:p>
    <w:p>
      <w:pPr>
        <w:pStyle w:val="TextBody"/>
        <w:bidi w:val="0"/>
        <w:spacing w:lineRule="auto" w:line="288" w:before="60" w:after="2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001-39729</w:t>
      </w:r>
    </w:p>
    <w:p>
      <w:pPr>
        <w:pStyle w:val="TextBody"/>
        <w:bidi w:val="0"/>
        <w:spacing w:before="120" w:after="283"/>
        <w:jc w:val="center"/>
        <w:rPr/>
      </w:pPr>
      <w:r>
        <w:rPr/>
        <w:drawing>
          <wp:inline distT="0" distB="0" distL="0" distR="0">
            <wp:extent cx="14478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7800" cy="476250"/>
                    </a:xfrm>
                    <a:prstGeom prst="rect">
                      <a:avLst/>
                    </a:prstGeom>
                  </pic:spPr>
                </pic:pic>
              </a:graphicData>
            </a:graphic>
          </wp:inline>
        </w:drawing>
      </w:r>
    </w:p>
    <w:p>
      <w:pPr>
        <w:pStyle w:val="TextBody"/>
        <w:bidi w:val="0"/>
        <w:spacing w:lineRule="auto" w:line="288" w:before="120" w:after="283"/>
        <w:jc w:val="center"/>
        <w:rPr>
          <w:rFonts w:ascii="Times New Roman;sans-serif" w:hAnsi="Times New Roman;sans-serif"/>
          <w:b/>
          <w:color w:val="000000"/>
          <w:sz w:val="34"/>
        </w:rPr>
      </w:pPr>
      <w:r>
        <w:rPr>
          <w:rFonts w:ascii="Times New Roman;sans-serif" w:hAnsi="Times New Roman;sans-serif"/>
          <w:b/>
          <w:color w:val="000000"/>
          <w:sz w:val="34"/>
        </w:rPr>
        <w:t>SOTERA HEALTH COMPANY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8577" w:type="dxa"/>
        <w:jc w:val="left"/>
        <w:tblInd w:w="0" w:type="dxa"/>
        <w:tblLayout w:type="fixed"/>
        <w:tblCellMar>
          <w:top w:w="28" w:type="dxa"/>
          <w:left w:w="28" w:type="dxa"/>
          <w:bottom w:w="28" w:type="dxa"/>
          <w:right w:w="28" w:type="dxa"/>
        </w:tblCellMar>
      </w:tblPr>
      <w:tblGrid>
        <w:gridCol w:w="535"/>
        <w:gridCol w:w="470"/>
        <w:gridCol w:w="470"/>
        <w:gridCol w:w="470"/>
        <w:gridCol w:w="470"/>
        <w:gridCol w:w="470"/>
        <w:gridCol w:w="787"/>
        <w:gridCol w:w="787"/>
        <w:gridCol w:w="827"/>
        <w:gridCol w:w="479"/>
        <w:gridCol w:w="479"/>
        <w:gridCol w:w="479"/>
        <w:gridCol w:w="286"/>
        <w:gridCol w:w="286"/>
        <w:gridCol w:w="286"/>
        <w:gridCol w:w="286"/>
        <w:gridCol w:w="286"/>
        <w:gridCol w:w="424"/>
      </w:tblGrid>
      <w:tr>
        <w:trPr/>
        <w:tc>
          <w:tcPr>
            <w:tcW w:w="53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5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47-3531161</w:t>
            </w:r>
          </w:p>
        </w:tc>
      </w:tr>
      <w:tr>
        <w:trPr/>
        <w:tc>
          <w:tcPr>
            <w:tcW w:w="5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9100 South Hills Blvd, Suite 300</w:t>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Broadview Heights, Ohio</w:t>
            </w:r>
          </w:p>
        </w:tc>
        <w:tc>
          <w:tcPr>
            <w:tcW w:w="3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44147</w:t>
            </w:r>
          </w:p>
        </w:tc>
      </w:tr>
      <w:tr>
        <w:trPr/>
        <w:tc>
          <w:tcPr>
            <w:tcW w:w="5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(440) 262-1410</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4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382" w:type="dxa"/>
        <w:jc w:val="left"/>
        <w:tblInd w:w="0" w:type="dxa"/>
        <w:tblLayout w:type="fixed"/>
        <w:tblCellMar>
          <w:top w:w="28" w:type="dxa"/>
          <w:left w:w="28" w:type="dxa"/>
          <w:bottom w:w="28" w:type="dxa"/>
          <w:right w:w="28" w:type="dxa"/>
        </w:tblCellMar>
      </w:tblPr>
      <w:tblGrid>
        <w:gridCol w:w="1209"/>
        <w:gridCol w:w="1064"/>
        <w:gridCol w:w="1071"/>
        <w:gridCol w:w="519"/>
        <w:gridCol w:w="519"/>
        <w:gridCol w:w="521"/>
        <w:gridCol w:w="1019"/>
        <w:gridCol w:w="1019"/>
        <w:gridCol w:w="1441"/>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$0.01 par value per share</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SHC</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tc>
      </w:tr>
    </w:tbl>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12(g) of the Act: None</w:t>
      </w:r>
    </w:p>
    <w:p>
      <w:pPr>
        <w:pStyle w:val="TextBody"/>
        <w:bidi w:val="0"/>
        <w:spacing w:lineRule="auto" w:line="288" w:before="30" w:after="283"/>
        <w:jc w:val="left"/>
        <w:rPr/>
      </w:pPr>
      <w:r>
        <w:rPr>
          <w:rFonts w:ascii="Times New Roman;sans-serif" w:hAnsi="Times New Roman;sans-serif"/>
          <w:b w:val="false"/>
          <w:color w:val="000000"/>
          <w:sz w:val="16"/>
        </w:rPr>
        <w:t>Indicate by check mark if the registrant is a well-known seasoned issuer, as defined in Rule 405 of the Securities Act.  </w:t>
      </w:r>
      <w:r>
        <w:rPr>
          <w:color w:val="000000"/>
        </w:rPr>
        <w:t>☒ </w:t>
      </w:r>
      <w:r>
        <w:rPr>
          <w:rFonts w:ascii="Times New Roman;sans-serif" w:hAnsi="Times New Roman;sans-serif"/>
          <w:b w:val="false"/>
          <w:color w:val="000000"/>
          <w:sz w:val="16"/>
        </w:rPr>
        <w:t>Yes  </w:t>
      </w:r>
      <w:r>
        <w:rPr>
          <w:color w:val="000000"/>
        </w:rPr>
        <w:t xml:space="preserve">☐ </w:t>
      </w:r>
      <w:r>
        <w:rPr>
          <w:rFonts w:ascii="Times New Roman;sans-serif" w:hAnsi="Times New Roman;sans-serif"/>
          <w:b w:val="false"/>
          <w:color w:val="000000"/>
          <w:sz w:val="16"/>
        </w:rPr>
        <w:t>No</w:t>
      </w:r>
    </w:p>
    <w:p>
      <w:pPr>
        <w:pStyle w:val="TextBody"/>
        <w:bidi w:val="0"/>
        <w:spacing w:lineRule="auto" w:line="288" w:before="30" w:after="283"/>
        <w:jc w:val="left"/>
        <w:rPr/>
      </w:pPr>
      <w:r>
        <w:rPr>
          <w:rFonts w:ascii="Times New Roman;sans-serif" w:hAnsi="Times New Roman;sans-serif"/>
          <w:b w:val="false"/>
          <w:color w:val="000000"/>
          <w:sz w:val="16"/>
        </w:rPr>
        <w:t>Indicate by check mark if the registrant is not required to file reports pursuant to Section 13 or Section 15(d) of the Exchange Act.  </w:t>
      </w:r>
      <w:r>
        <w:rPr>
          <w:color w:val="000000"/>
        </w:rPr>
        <w:t>☐  </w:t>
      </w:r>
      <w:r>
        <w:rPr>
          <w:rFonts w:ascii="Times New Roman;sans-serif" w:hAnsi="Times New Roman;sans-serif"/>
          <w:b w:val="false"/>
          <w:color w:val="000000"/>
          <w:sz w:val="16"/>
        </w:rPr>
        <w:t>Yes   ☒ No</w:t>
      </w:r>
    </w:p>
    <w:p>
      <w:pPr>
        <w:pStyle w:val="TextBody"/>
        <w:bidi w:val="0"/>
        <w:spacing w:lineRule="auto" w:line="288" w:before="30" w:after="283"/>
        <w:jc w:val="left"/>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w:t>
      </w:r>
      <w:r>
        <w:rPr>
          <w:color w:val="000000"/>
        </w:rPr>
        <w:t xml:space="preserve">☐ </w:t>
      </w:r>
      <w:r>
        <w:rPr>
          <w:rFonts w:ascii="Times New Roman;sans-serif" w:hAnsi="Times New Roman;sans-serif"/>
          <w:b w:val="false"/>
          <w:color w:val="000000"/>
          <w:sz w:val="16"/>
        </w:rPr>
        <w:t>No</w:t>
      </w:r>
    </w:p>
    <w:p>
      <w:pPr>
        <w:pStyle w:val="TextBody"/>
        <w:bidi w:val="0"/>
        <w:spacing w:lineRule="auto" w:line="288" w:before="30" w:after="283"/>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Times New Roman;sans-serif" w:hAnsi="Times New Roman;sans-serif"/>
          <w:b w:val="false"/>
          <w:color w:val="000000"/>
          <w:sz w:val="16"/>
        </w:rPr>
        <w:t xml:space="preserve">Yes   </w:t>
      </w:r>
      <w:r>
        <w:rPr>
          <w:color w:val="000000"/>
        </w:rPr>
        <w:t xml:space="preserve">☐ </w:t>
      </w:r>
      <w:r>
        <w:rPr>
          <w:rFonts w:ascii="Times New Roman;sans-serif" w:hAnsi="Times New Roman;sans-serif"/>
          <w:b w:val="false"/>
          <w:color w:val="000000"/>
          <w:sz w:val="16"/>
        </w:rPr>
        <w:t>No</w:t>
      </w:r>
    </w:p>
    <w:p>
      <w:pPr>
        <w:pStyle w:val="TextBody"/>
        <w:bidi w:val="0"/>
        <w:spacing w:lineRule="auto" w:line="288" w:before="3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38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3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30" w:after="283"/>
        <w:jc w:val="left"/>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color w:val="000000"/>
        </w:rPr>
        <w:t xml:space="preserve">☒ </w:t>
      </w:r>
    </w:p>
    <w:p>
      <w:pPr>
        <w:pStyle w:val="TextBody"/>
        <w:bidi w:val="0"/>
        <w:spacing w:lineRule="auto" w:line="288" w:before="30" w:after="283"/>
        <w:jc w:val="left"/>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r>
        <w:rPr>
          <w:rFonts w:ascii="Arial;sans-serif" w:hAnsi="Arial;sans-serif"/>
          <w:b w:val="false"/>
          <w:color w:val="000000"/>
          <w:sz w:val="16"/>
        </w:rPr>
        <w:t xml:space="preserve">. </w:t>
      </w:r>
      <w:r>
        <w:rPr>
          <w:color w:val="000000"/>
        </w:rPr>
        <w:t>☐</w:t>
      </w:r>
    </w:p>
    <w:p>
      <w:pPr>
        <w:pStyle w:val="TextBody"/>
        <w:bidi w:val="0"/>
        <w:spacing w:lineRule="auto" w:line="288" w:before="30" w:after="283"/>
        <w:jc w:val="left"/>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 xml:space="preserve">☐ </w:t>
      </w:r>
    </w:p>
    <w:p>
      <w:pPr>
        <w:pStyle w:val="TextBody"/>
        <w:bidi w:val="0"/>
        <w:spacing w:lineRule="auto" w:line="288" w:before="30" w:after="283"/>
        <w:jc w:val="left"/>
        <w:rPr/>
      </w:pPr>
      <w:r>
        <w:rPr>
          <w:rFonts w:ascii="Times New Roman;sans-serif" w:hAnsi="Times New Roman;sans-serif"/>
          <w:b w:val="false"/>
          <w:color w:val="000000"/>
          <w:sz w:val="16"/>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16"/>
        </w:rPr>
        <w:t xml:space="preserve">Yes   </w:t>
      </w:r>
      <w:r>
        <w:rPr>
          <w:color w:val="000000"/>
        </w:rPr>
        <w:t>☒ </w:t>
      </w:r>
      <w:r>
        <w:rPr>
          <w:rFonts w:ascii="Times New Roman;sans-serif" w:hAnsi="Times New Roman;sans-serif"/>
          <w:b w:val="false"/>
          <w:color w:val="000000"/>
          <w:sz w:val="16"/>
        </w:rPr>
        <w:t>No</w:t>
      </w:r>
    </w:p>
    <w:p>
      <w:pPr>
        <w:pStyle w:val="TextBody"/>
        <w:bidi w:val="0"/>
        <w:spacing w:lineRule="auto" w:line="288" w:before="3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voting and non-voting common stock held by non-affiliates of the registrant as of June 30, 2023, based upon the last sale price of such voting and non-voting common stock on that date, was $1,871,267,118.</w:t>
      </w:r>
    </w:p>
    <w:p>
      <w:pPr>
        <w:pStyle w:val="TextBody"/>
        <w:bidi w:val="0"/>
        <w:spacing w:lineRule="auto" w:line="288" w:before="3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 of February 20, 2024, there were 282,832,200 shares of the registrant’s common stock, $0.01 par value per share,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DOCUMENTS INCORPORATED BY REFERENCE</w:t>
      </w:r>
    </w:p>
    <w:p>
      <w:pPr>
        <w:pStyle w:val="TextBody"/>
        <w:bidi w:val="0"/>
        <w:spacing w:lineRule="auto" w:line="288" w:before="12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Portions of the Definitive Proxy Statement for the registrant’s 2024 Annual Meeting of Stockholders are incorporated by reference in Part III of this Annual Report on Form 10-K. The proxy statement will be filed with the Securities and Exchange Commission within 120 days after the end of the registrant’s fiscal year ended December 31, 2023.</w:t>
      </w:r>
    </w:p>
    <w:tbl>
      <w:tblPr>
        <w:tblW w:w="7409" w:type="dxa"/>
        <w:jc w:val="left"/>
        <w:tblInd w:w="0" w:type="dxa"/>
        <w:tblLayout w:type="fixed"/>
        <w:tblCellMar>
          <w:top w:w="28" w:type="dxa"/>
          <w:left w:w="28" w:type="dxa"/>
          <w:bottom w:w="28" w:type="dxa"/>
          <w:right w:w="28" w:type="dxa"/>
        </w:tblCellMar>
      </w:tblPr>
      <w:tblGrid>
        <w:gridCol w:w="753"/>
        <w:gridCol w:w="663"/>
        <w:gridCol w:w="668"/>
        <w:gridCol w:w="904"/>
        <w:gridCol w:w="904"/>
        <w:gridCol w:w="907"/>
        <w:gridCol w:w="763"/>
        <w:gridCol w:w="763"/>
        <w:gridCol w:w="1084"/>
      </w:tblGrid>
      <w:tr>
        <w:trPr/>
        <w:tc>
          <w:tcPr>
            <w:tcW w:w="75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Audit Firm PCAOB ID: 42</w:t>
            </w:r>
          </w:p>
        </w:tc>
        <w:tc>
          <w:tcPr>
            <w:tcW w:w="27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Auditor Name: Ernst &amp; Young LLP </w:t>
            </w:r>
          </w:p>
        </w:tc>
        <w:tc>
          <w:tcPr>
            <w:tcW w:w="26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Auditor Location: Cleveland, Ohio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SOTERA HEALTH COMPANY</w:t>
      </w:r>
    </w:p>
    <w:p>
      <w:pPr>
        <w:pStyle w:val="TextBody"/>
        <w:bidi w:val="0"/>
        <w:spacing w:lineRule="auto" w:line="288" w:before="0" w:after="140"/>
        <w:jc w:val="center"/>
        <w:rPr>
          <w:rFonts w:ascii="Times New Roman;sans-serif" w:hAnsi="Times New Roman;sans-serif"/>
          <w:b/>
          <w:color w:val="000000"/>
          <w:sz w:val="20"/>
        </w:rPr>
      </w:pPr>
      <w:r>
        <w:rPr>
          <w:rFonts w:ascii="Times New Roman;sans-serif" w:hAnsi="Times New Roman;sans-serif"/>
          <w:b/>
          <w:color w:val="000000"/>
          <w:sz w:val="20"/>
        </w:rPr>
        <w:t>- TABLE OF CONTENTS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51"/>
        <w:gridCol w:w="251"/>
        <w:gridCol w:w="253"/>
        <w:gridCol w:w="2790"/>
        <w:gridCol w:w="2725"/>
        <w:gridCol w:w="2728"/>
        <w:gridCol w:w="252"/>
        <w:gridCol w:w="252"/>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3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9340"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13">
              <w:r>
                <w:rPr>
                  <w:rStyle w:val="InternetLink"/>
                  <w:rFonts w:ascii="Times New Roman;sans-serif" w:hAnsi="Times New Roman;sans-serif"/>
                  <w:b/>
                  <w:strike w:val="false"/>
                  <w:dstrike w:val="false"/>
                  <w:color w:val="000000"/>
                  <w:sz w:val="20"/>
                  <w:u w:val="none"/>
                  <w:effect w:val="none"/>
                </w:rPr>
                <w:t>PART I</w:t>
              </w:r>
            </w:hyperlink>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16">
              <w:r>
                <w:rPr>
                  <w:rStyle w:val="InternetLink"/>
                  <w:rFonts w:ascii="Times New Roman;sans-serif" w:hAnsi="Times New Roman;sans-serif"/>
                  <w:b w:val="false"/>
                  <w:strike w:val="false"/>
                  <w:dstrike w:val="false"/>
                  <w:color w:val="000000"/>
                  <w:sz w:val="20"/>
                  <w:u w:val="none"/>
                  <w:effect w:val="none"/>
                </w:rPr>
                <w:t>Item 1.</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fcb9a1dd2c5241fc889f8362a6f7e549_16">
              <w:r>
                <w:rPr>
                  <w:rStyle w:val="InternetLink"/>
                  <w:rFonts w:ascii="Times New Roman;sans-serif" w:hAnsi="Times New Roman;sans-serif"/>
                  <w:b w:val="false"/>
                  <w:color w:val="0000FF"/>
                  <w:sz w:val="20"/>
                  <w:u w:val="single"/>
                </w:rPr>
                <w:t>Business</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16">
              <w:r>
                <w:rPr>
                  <w:rStyle w:val="InternetLink"/>
                  <w:rFonts w:ascii="Times New Roman;sans-serif" w:hAnsi="Times New Roman;sans-serif"/>
                  <w:b w:val="false"/>
                  <w:color w:val="0000FF"/>
                  <w:sz w:val="20"/>
                  <w:u w:val="single"/>
                </w:rPr>
                <w:t>6</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19">
              <w:r>
                <w:rPr>
                  <w:rStyle w:val="InternetLink"/>
                  <w:rFonts w:ascii="Times New Roman;sans-serif" w:hAnsi="Times New Roman;sans-serif"/>
                  <w:b w:val="false"/>
                  <w:strike w:val="false"/>
                  <w:dstrike w:val="false"/>
                  <w:color w:val="000000"/>
                  <w:sz w:val="20"/>
                  <w:u w:val="none"/>
                  <w:effect w:val="none"/>
                </w:rPr>
                <w:t>Item 1A.</w:t>
              </w:r>
            </w:hyperlink>
          </w:p>
        </w:tc>
        <w:tc>
          <w:tcPr>
            <w:tcW w:w="8243" w:type="dxa"/>
            <w:gridSpan w:val="3"/>
            <w:tcBorders/>
            <w:shd w:fill="CCEE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fcb9a1dd2c5241fc889f8362a6f7e549_19">
              <w:r>
                <w:rPr>
                  <w:rStyle w:val="InternetLink"/>
                  <w:rFonts w:ascii="Times New Roman;sans-serif" w:hAnsi="Times New Roman;sans-serif"/>
                  <w:b w:val="false"/>
                  <w:color w:val="0000FF"/>
                  <w:sz w:val="20"/>
                  <w:u w:val="single"/>
                </w:rPr>
                <w:t>Risk Factors</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19">
              <w:r>
                <w:rPr>
                  <w:rStyle w:val="InternetLink"/>
                  <w:rFonts w:ascii="Times New Roman;sans-serif" w:hAnsi="Times New Roman;sans-serif"/>
                  <w:b w:val="false"/>
                  <w:color w:val="0000FF"/>
                  <w:sz w:val="20"/>
                  <w:u w:val="single"/>
                </w:rPr>
                <w:t>17</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22">
              <w:r>
                <w:rPr>
                  <w:rStyle w:val="InternetLink"/>
                  <w:rFonts w:ascii="Times New Roman;sans-serif" w:hAnsi="Times New Roman;sans-serif"/>
                  <w:b w:val="false"/>
                  <w:strike w:val="false"/>
                  <w:dstrike w:val="false"/>
                  <w:color w:val="000000"/>
                  <w:sz w:val="20"/>
                  <w:u w:val="none"/>
                  <w:effect w:val="none"/>
                </w:rPr>
                <w:t>Item 1B.</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fcb9a1dd2c5241fc889f8362a6f7e549_22">
              <w:r>
                <w:rPr>
                  <w:rStyle w:val="InternetLink"/>
                  <w:rFonts w:ascii="Times New Roman;sans-serif" w:hAnsi="Times New Roman;sans-serif"/>
                  <w:b w:val="false"/>
                  <w:color w:val="0000FF"/>
                  <w:sz w:val="20"/>
                  <w:u w:val="single"/>
                </w:rPr>
                <w:t>Unresolved Staff Comments</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22">
              <w:r>
                <w:rPr>
                  <w:rStyle w:val="InternetLink"/>
                  <w:rFonts w:ascii="Times New Roman;sans-serif" w:hAnsi="Times New Roman;sans-serif"/>
                  <w:b w:val="false"/>
                  <w:color w:val="0000FF"/>
                  <w:sz w:val="20"/>
                  <w:u w:val="single"/>
                </w:rPr>
                <w:t>44</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549755814612">
              <w:r>
                <w:rPr>
                  <w:rStyle w:val="InternetLink"/>
                  <w:rFonts w:ascii="Times New Roman;sans-serif" w:hAnsi="Times New Roman;sans-serif"/>
                  <w:b w:val="false"/>
                  <w:color w:val="000080"/>
                  <w:sz w:val="20"/>
                  <w:u w:val="single"/>
                </w:rPr>
                <w:t>C</w:t>
              </w:r>
            </w:hyperlink>
            <w:hyperlink w:anchor="ifcb9a1dd2c5241fc889f8362a6f7e549_549755814612">
              <w:r>
                <w:rPr>
                  <w:rStyle w:val="InternetLink"/>
                  <w:rFonts w:ascii="Times New Roman;sans-serif" w:hAnsi="Times New Roman;sans-serif"/>
                  <w:b w:val="false"/>
                  <w:color w:val="000080"/>
                  <w:sz w:val="20"/>
                  <w:u w:val="single"/>
                </w:rPr>
                <w:t>ybersecurity</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549755814612">
              <w:r>
                <w:rPr>
                  <w:rStyle w:val="InternetLink"/>
                  <w:rFonts w:ascii="Times New Roman;sans-serif" w:hAnsi="Times New Roman;sans-serif"/>
                  <w:b w:val="false"/>
                  <w:color w:val="000080"/>
                  <w:sz w:val="20"/>
                  <w:u w:val="single"/>
                </w:rPr>
                <w:t>4</w:t>
              </w:r>
            </w:hyperlink>
            <w:hyperlink w:anchor="ifcb9a1dd2c5241fc889f8362a6f7e549_549755814612">
              <w:r>
                <w:rPr>
                  <w:rStyle w:val="InternetLink"/>
                  <w:rFonts w:ascii="Times New Roman;sans-serif" w:hAnsi="Times New Roman;sans-serif"/>
                  <w:b w:val="false"/>
                  <w:color w:val="000080"/>
                  <w:sz w:val="20"/>
                  <w:u w:val="single"/>
                </w:rPr>
                <w:t>5</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25">
              <w:r>
                <w:rPr>
                  <w:rStyle w:val="InternetLink"/>
                  <w:rFonts w:ascii="Times New Roman;sans-serif" w:hAnsi="Times New Roman;sans-serif"/>
                  <w:b w:val="false"/>
                  <w:strike w:val="false"/>
                  <w:dstrike w:val="false"/>
                  <w:color w:val="000000"/>
                  <w:sz w:val="20"/>
                  <w:u w:val="none"/>
                  <w:effect w:val="none"/>
                </w:rPr>
                <w:t>Item 2.</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fcb9a1dd2c5241fc889f8362a6f7e549_25">
              <w:r>
                <w:rPr>
                  <w:rStyle w:val="InternetLink"/>
                  <w:rFonts w:ascii="Times New Roman;sans-serif" w:hAnsi="Times New Roman;sans-serif"/>
                  <w:b w:val="false"/>
                  <w:color w:val="0000FF"/>
                  <w:sz w:val="20"/>
                  <w:u w:val="single"/>
                </w:rPr>
                <w:t>Properties</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25">
              <w:r>
                <w:rPr>
                  <w:rStyle w:val="InternetLink"/>
                  <w:rFonts w:ascii="Times New Roman;sans-serif" w:hAnsi="Times New Roman;sans-serif"/>
                  <w:b w:val="false"/>
                  <w:color w:val="0000FF"/>
                  <w:sz w:val="20"/>
                  <w:u w:val="single"/>
                </w:rPr>
                <w:t>47</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28">
              <w:r>
                <w:rPr>
                  <w:rStyle w:val="InternetLink"/>
                  <w:rFonts w:ascii="Times New Roman;sans-serif" w:hAnsi="Times New Roman;sans-serif"/>
                  <w:b w:val="false"/>
                  <w:strike w:val="false"/>
                  <w:dstrike w:val="false"/>
                  <w:color w:val="000000"/>
                  <w:sz w:val="20"/>
                  <w:u w:val="none"/>
                  <w:effect w:val="none"/>
                </w:rPr>
                <w:t>Item 3.</w:t>
              </w:r>
            </w:hyperlink>
          </w:p>
        </w:tc>
        <w:tc>
          <w:tcPr>
            <w:tcW w:w="8243" w:type="dxa"/>
            <w:gridSpan w:val="3"/>
            <w:tcBorders/>
            <w:shd w:fill="CCEE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fcb9a1dd2c5241fc889f8362a6f7e549_28">
              <w:r>
                <w:rPr>
                  <w:rStyle w:val="InternetLink"/>
                  <w:rFonts w:ascii="Times New Roman;sans-serif" w:hAnsi="Times New Roman;sans-serif"/>
                  <w:b w:val="false"/>
                  <w:color w:val="0000FF"/>
                  <w:sz w:val="20"/>
                  <w:u w:val="single"/>
                </w:rPr>
                <w:t>Legal Proceedings</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28">
              <w:r>
                <w:rPr>
                  <w:rStyle w:val="InternetLink"/>
                  <w:rFonts w:ascii="Times New Roman;sans-serif" w:hAnsi="Times New Roman;sans-serif"/>
                  <w:b w:val="false"/>
                  <w:color w:val="0000FF"/>
                  <w:sz w:val="20"/>
                  <w:u w:val="single"/>
                </w:rPr>
                <w:t>47</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31">
              <w:r>
                <w:rPr>
                  <w:rStyle w:val="InternetLink"/>
                  <w:rFonts w:ascii="Times New Roman;sans-serif" w:hAnsi="Times New Roman;sans-serif"/>
                  <w:b w:val="false"/>
                  <w:strike w:val="false"/>
                  <w:dstrike w:val="false"/>
                  <w:color w:val="000000"/>
                  <w:sz w:val="20"/>
                  <w:u w:val="none"/>
                  <w:effect w:val="none"/>
                </w:rPr>
                <w:t>Item 4.</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fcb9a1dd2c5241fc889f8362a6f7e549_31">
              <w:r>
                <w:rPr>
                  <w:rStyle w:val="InternetLink"/>
                  <w:rFonts w:ascii="Times New Roman;sans-serif" w:hAnsi="Times New Roman;sans-serif"/>
                  <w:b w:val="false"/>
                  <w:color w:val="0000FF"/>
                  <w:sz w:val="20"/>
                  <w:u w:val="single"/>
                </w:rPr>
                <w:t>Mine Safety Disclosures</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31">
              <w:r>
                <w:rPr>
                  <w:rStyle w:val="InternetLink"/>
                  <w:rFonts w:ascii="Times New Roman;sans-serif" w:hAnsi="Times New Roman;sans-serif"/>
                  <w:b w:val="false"/>
                  <w:color w:val="0000FF"/>
                  <w:sz w:val="20"/>
                  <w:u w:val="single"/>
                </w:rPr>
                <w:t>48</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34">
              <w:r>
                <w:rPr>
                  <w:rStyle w:val="InternetLink"/>
                  <w:rFonts w:ascii="Times New Roman;sans-serif" w:hAnsi="Times New Roman;sans-serif"/>
                  <w:b/>
                  <w:strike w:val="false"/>
                  <w:dstrike w:val="false"/>
                  <w:color w:val="000000"/>
                  <w:sz w:val="20"/>
                  <w:u w:val="none"/>
                  <w:effect w:val="none"/>
                </w:rPr>
                <w:t>PART II</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37">
              <w:r>
                <w:rPr>
                  <w:rStyle w:val="InternetLink"/>
                  <w:rFonts w:ascii="Times New Roman;sans-serif" w:hAnsi="Times New Roman;sans-serif"/>
                  <w:b w:val="false"/>
                  <w:strike w:val="false"/>
                  <w:dstrike w:val="false"/>
                  <w:color w:val="000000"/>
                  <w:sz w:val="20"/>
                  <w:u w:val="none"/>
                  <w:effect w:val="none"/>
                </w:rPr>
                <w:t>Item 5.</w:t>
              </w:r>
            </w:hyperlink>
          </w:p>
        </w:tc>
        <w:tc>
          <w:tcPr>
            <w:tcW w:w="8243" w:type="dxa"/>
            <w:gridSpan w:val="3"/>
            <w:tcBorders/>
            <w:shd w:fill="CCEE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fcb9a1dd2c5241fc889f8362a6f7e549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37">
              <w:r>
                <w:rPr>
                  <w:rStyle w:val="InternetLink"/>
                  <w:rFonts w:ascii="Times New Roman;sans-serif" w:hAnsi="Times New Roman;sans-serif"/>
                  <w:b w:val="false"/>
                  <w:color w:val="0000FF"/>
                  <w:sz w:val="20"/>
                  <w:u w:val="single"/>
                </w:rPr>
                <w:t>49</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40">
              <w:r>
                <w:rPr>
                  <w:rStyle w:val="InternetLink"/>
                  <w:rFonts w:ascii="Times New Roman;sans-serif" w:hAnsi="Times New Roman;sans-serif"/>
                  <w:b w:val="false"/>
                  <w:strike w:val="false"/>
                  <w:dstrike w:val="false"/>
                  <w:color w:val="000000"/>
                  <w:sz w:val="20"/>
                  <w:u w:val="none"/>
                  <w:effect w:val="none"/>
                </w:rPr>
                <w:t>Item 6.</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40">
              <w:r>
                <w:rPr>
                  <w:rStyle w:val="InternetLink"/>
                  <w:rFonts w:ascii="Times New Roman;sans-serif" w:hAnsi="Times New Roman;sans-serif"/>
                  <w:b w:val="false"/>
                  <w:color w:val="0000FF"/>
                  <w:sz w:val="20"/>
                  <w:u w:val="single"/>
                </w:rPr>
                <w:t>Reserved</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40">
              <w:r>
                <w:rPr>
                  <w:rStyle w:val="InternetLink"/>
                  <w:rFonts w:ascii="Times New Roman;sans-serif" w:hAnsi="Times New Roman;sans-serif"/>
                  <w:b w:val="false"/>
                  <w:color w:val="0000FF"/>
                  <w:sz w:val="20"/>
                  <w:u w:val="single"/>
                </w:rPr>
                <w:t>50</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43">
              <w:r>
                <w:rPr>
                  <w:rStyle w:val="InternetLink"/>
                  <w:rFonts w:ascii="Times New Roman;sans-serif" w:hAnsi="Times New Roman;sans-serif"/>
                  <w:b w:val="false"/>
                  <w:strike w:val="false"/>
                  <w:dstrike w:val="false"/>
                  <w:color w:val="000000"/>
                  <w:sz w:val="20"/>
                  <w:u w:val="none"/>
                  <w:effect w:val="none"/>
                </w:rPr>
                <w:t>Item 7.</w:t>
              </w:r>
            </w:hyperlink>
          </w:p>
        </w:tc>
        <w:tc>
          <w:tcPr>
            <w:tcW w:w="8243" w:type="dxa"/>
            <w:gridSpan w:val="3"/>
            <w:tcBorders/>
            <w:shd w:fill="CCEE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fcb9a1dd2c5241fc889f8362a6f7e549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43">
              <w:r>
                <w:rPr>
                  <w:rStyle w:val="InternetLink"/>
                  <w:rFonts w:ascii="Times New Roman;sans-serif" w:hAnsi="Times New Roman;sans-serif"/>
                  <w:b w:val="false"/>
                  <w:color w:val="0000FF"/>
                  <w:sz w:val="20"/>
                  <w:u w:val="single"/>
                </w:rPr>
                <w:t>50</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76">
              <w:r>
                <w:rPr>
                  <w:rStyle w:val="InternetLink"/>
                  <w:rFonts w:ascii="Times New Roman;sans-serif" w:hAnsi="Times New Roman;sans-serif"/>
                  <w:b w:val="false"/>
                  <w:strike w:val="false"/>
                  <w:dstrike w:val="false"/>
                  <w:color w:val="000000"/>
                  <w:sz w:val="20"/>
                  <w:u w:val="none"/>
                  <w:effect w:val="none"/>
                </w:rPr>
                <w:t>Item 7A.</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76">
              <w:r>
                <w:rPr>
                  <w:rStyle w:val="InternetLink"/>
                  <w:rFonts w:ascii="Times New Roman;sans-serif" w:hAnsi="Times New Roman;sans-serif"/>
                  <w:b w:val="false"/>
                  <w:color w:val="0000FF"/>
                  <w:sz w:val="20"/>
                  <w:u w:val="single"/>
                </w:rPr>
                <w:t>Quantitative and Qualitative Disclosures About Market Risk</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76">
              <w:r>
                <w:rPr>
                  <w:rStyle w:val="InternetLink"/>
                  <w:rFonts w:ascii="Times New Roman;sans-serif" w:hAnsi="Times New Roman;sans-serif"/>
                  <w:b w:val="false"/>
                  <w:color w:val="0000FF"/>
                  <w:sz w:val="20"/>
                  <w:u w:val="single"/>
                </w:rPr>
                <w:t>68</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w:t>
            </w:r>
            <w:hyperlink w:anchor="ifcb9a1dd2c5241fc889f8362a6f7e549_79">
              <w:r>
                <w:rPr>
                  <w:rStyle w:val="InternetLink"/>
                  <w:rFonts w:ascii="Times New Roman;sans-serif" w:hAnsi="Times New Roman;sans-serif"/>
                  <w:b w:val="false"/>
                  <w:strike w:val="false"/>
                  <w:dstrike w:val="false"/>
                  <w:color w:val="000000"/>
                  <w:sz w:val="20"/>
                  <w:u w:val="none"/>
                  <w:effect w:val="none"/>
                </w:rPr>
                <w:t>tem 8.</w:t>
              </w:r>
            </w:hyperlink>
          </w:p>
        </w:tc>
        <w:tc>
          <w:tcPr>
            <w:tcW w:w="8243"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hyperlink w:anchor="ifcb9a1dd2c5241fc889f8362a6f7e549_79">
              <w:r>
                <w:rPr>
                  <w:rStyle w:val="InternetLink"/>
                  <w:rFonts w:ascii="Times New Roman;sans-serif" w:hAnsi="Times New Roman;sans-serif"/>
                  <w:b w:val="false"/>
                  <w:color w:val="0000FF"/>
                  <w:sz w:val="20"/>
                  <w:u w:val="single"/>
                </w:rPr>
                <w:t>Financial Statements and Supplementary Data</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82">
              <w:r>
                <w:rPr>
                  <w:rStyle w:val="InternetLink"/>
                  <w:rFonts w:ascii="Times New Roman;sans-serif" w:hAnsi="Times New Roman;sans-serif"/>
                  <w:b w:val="false"/>
                  <w:color w:val="0000FF"/>
                  <w:sz w:val="20"/>
                  <w:u w:val="single"/>
                </w:rPr>
                <w:t>71</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175">
              <w:r>
                <w:rPr>
                  <w:rStyle w:val="InternetLink"/>
                  <w:rFonts w:ascii="Times New Roman;sans-serif" w:hAnsi="Times New Roman;sans-serif"/>
                  <w:b w:val="false"/>
                  <w:strike w:val="false"/>
                  <w:dstrike w:val="false"/>
                  <w:color w:val="000000"/>
                  <w:sz w:val="20"/>
                  <w:u w:val="none"/>
                  <w:effect w:val="none"/>
                </w:rPr>
                <w:t>Item 9.</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fcb9a1dd2c5241fc889f8362a6f7e549_175">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178">
              <w:r>
                <w:rPr>
                  <w:rStyle w:val="InternetLink"/>
                  <w:rFonts w:ascii="Times New Roman;sans-serif" w:hAnsi="Times New Roman;sans-serif"/>
                  <w:b w:val="false"/>
                  <w:color w:val="0000FF"/>
                  <w:sz w:val="20"/>
                  <w:u w:val="single"/>
                </w:rPr>
                <w:t>120</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178">
              <w:r>
                <w:rPr>
                  <w:rStyle w:val="InternetLink"/>
                  <w:rFonts w:ascii="Times New Roman;sans-serif" w:hAnsi="Times New Roman;sans-serif"/>
                  <w:b w:val="false"/>
                  <w:strike w:val="false"/>
                  <w:dstrike w:val="false"/>
                  <w:color w:val="000000"/>
                  <w:sz w:val="20"/>
                  <w:u w:val="none"/>
                  <w:effect w:val="none"/>
                </w:rPr>
                <w:t>Item 9A.</w:t>
              </w:r>
            </w:hyperlink>
          </w:p>
        </w:tc>
        <w:tc>
          <w:tcPr>
            <w:tcW w:w="8243" w:type="dxa"/>
            <w:gridSpan w:val="3"/>
            <w:tcBorders/>
            <w:shd w:fill="CCEE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fcb9a1dd2c5241fc889f8362a6f7e549_178">
              <w:r>
                <w:rPr>
                  <w:rStyle w:val="InternetLink"/>
                  <w:rFonts w:ascii="Times New Roman;sans-serif" w:hAnsi="Times New Roman;sans-serif"/>
                  <w:b w:val="false"/>
                  <w:color w:val="0000FF"/>
                  <w:sz w:val="20"/>
                  <w:u w:val="single"/>
                </w:rPr>
                <w:t>Controls and Procedures</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178">
              <w:r>
                <w:rPr>
                  <w:rStyle w:val="InternetLink"/>
                  <w:rFonts w:ascii="Times New Roman;sans-serif" w:hAnsi="Times New Roman;sans-serif"/>
                  <w:b w:val="false"/>
                  <w:color w:val="0000FF"/>
                  <w:sz w:val="20"/>
                  <w:u w:val="single"/>
                </w:rPr>
                <w:t>120</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184">
              <w:r>
                <w:rPr>
                  <w:rStyle w:val="InternetLink"/>
                  <w:rFonts w:ascii="Times New Roman;sans-serif" w:hAnsi="Times New Roman;sans-serif"/>
                  <w:b w:val="false"/>
                  <w:strike w:val="false"/>
                  <w:dstrike w:val="false"/>
                  <w:color w:val="000080"/>
                  <w:sz w:val="20"/>
                  <w:u w:val="single"/>
                  <w:effect w:val="none"/>
                </w:rPr>
                <w:t>Item 9B</w:t>
              </w:r>
            </w:hyperlink>
            <w:hyperlink w:anchor="ifcb9a1dd2c5241fc889f8362a6f7e549_184">
              <w:r>
                <w:rPr>
                  <w:rStyle w:val="InternetLink"/>
                  <w:rFonts w:ascii="Times New Roman;sans-serif" w:hAnsi="Times New Roman;sans-serif"/>
                  <w:b w:val="false"/>
                  <w:strike w:val="false"/>
                  <w:dstrike w:val="false"/>
                  <w:color w:val="000080"/>
                  <w:sz w:val="20"/>
                  <w:u w:val="single"/>
                  <w:effect w:val="none"/>
                </w:rPr>
                <w:t>.</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fcb9a1dd2c5241fc889f8362a6f7e549_184">
              <w:r>
                <w:rPr>
                  <w:rStyle w:val="InternetLink"/>
                  <w:rFonts w:ascii="Times New Roman;sans-serif" w:hAnsi="Times New Roman;sans-serif"/>
                  <w:b w:val="false"/>
                  <w:color w:val="0000FF"/>
                  <w:sz w:val="20"/>
                  <w:u w:val="single"/>
                </w:rPr>
                <w:t>Other Information</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184">
              <w:r>
                <w:rPr>
                  <w:rStyle w:val="InternetLink"/>
                  <w:rFonts w:ascii="Times New Roman;sans-serif" w:hAnsi="Times New Roman;sans-serif"/>
                  <w:b w:val="false"/>
                  <w:color w:val="0000FF"/>
                  <w:sz w:val="20"/>
                  <w:u w:val="single"/>
                </w:rPr>
                <w:t>122</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187">
              <w:r>
                <w:rPr>
                  <w:rStyle w:val="InternetLink"/>
                  <w:rFonts w:ascii="Times New Roman;sans-serif" w:hAnsi="Times New Roman;sans-serif"/>
                  <w:b w:val="false"/>
                  <w:strike w:val="false"/>
                  <w:dstrike w:val="false"/>
                  <w:color w:val="000000"/>
                  <w:sz w:val="20"/>
                  <w:u w:val="none"/>
                  <w:effect w:val="none"/>
                </w:rPr>
                <w:t>Item 9C.</w:t>
              </w:r>
            </w:hyperlink>
          </w:p>
        </w:tc>
        <w:tc>
          <w:tcPr>
            <w:tcW w:w="8243" w:type="dxa"/>
            <w:gridSpan w:val="3"/>
            <w:tcBorders/>
            <w:shd w:fill="CCEEFF" w:val="clear"/>
            <w:tcMar>
              <w:top w:w="0" w:type="dxa"/>
              <w:left w:w="0" w:type="dxa"/>
              <w:bottom w:w="0" w:type="dxa"/>
              <w:right w:w="0" w:type="dxa"/>
            </w:tcMar>
            <w:vAlign w:val="center"/>
          </w:tcPr>
          <w:p>
            <w:pPr>
              <w:pStyle w:val="TableContents"/>
              <w:bidi w:val="0"/>
              <w:spacing w:lineRule="auto" w:line="288" w:before="40" w:after="283"/>
              <w:jc w:val="left"/>
              <w:rPr/>
            </w:pPr>
            <w:hyperlink w:anchor="ifcb9a1dd2c5241fc889f8362a6f7e549_187">
              <w:r>
                <w:rPr>
                  <w:rStyle w:val="InternetLink"/>
                  <w:rFonts w:ascii="Times New Roman;sans-serif" w:hAnsi="Times New Roman;sans-serif"/>
                  <w:b w:val="false"/>
                  <w:color w:val="0000FF"/>
                  <w:sz w:val="20"/>
                  <w:u w:val="single"/>
                </w:rPr>
                <w:t>Disclosure Regarding Foreign Jurisdictions that Prevent Inspections</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187">
              <w:r>
                <w:rPr>
                  <w:rStyle w:val="InternetLink"/>
                  <w:rFonts w:ascii="Times New Roman;sans-serif" w:hAnsi="Times New Roman;sans-serif"/>
                  <w:b w:val="false"/>
                  <w:color w:val="0000FF"/>
                  <w:sz w:val="20"/>
                  <w:u w:val="single"/>
                </w:rPr>
                <w:t>122</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0"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190">
              <w:r>
                <w:rPr>
                  <w:rStyle w:val="InternetLink"/>
                  <w:rFonts w:ascii="Times New Roman;sans-serif" w:hAnsi="Times New Roman;sans-serif"/>
                  <w:b/>
                  <w:strike w:val="false"/>
                  <w:dstrike w:val="false"/>
                  <w:color w:val="000000"/>
                  <w:sz w:val="20"/>
                  <w:u w:val="none"/>
                  <w:effect w:val="none"/>
                </w:rPr>
                <w:t>PART III</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193">
              <w:r>
                <w:rPr>
                  <w:rStyle w:val="InternetLink"/>
                  <w:rFonts w:ascii="Times New Roman;sans-serif" w:hAnsi="Times New Roman;sans-serif"/>
                  <w:b w:val="false"/>
                  <w:strike w:val="false"/>
                  <w:dstrike w:val="false"/>
                  <w:color w:val="000000"/>
                  <w:sz w:val="20"/>
                  <w:u w:val="none"/>
                  <w:effect w:val="none"/>
                </w:rPr>
                <w:t>Item 10.</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fcb9a1dd2c5241fc889f8362a6f7e549_193">
              <w:r>
                <w:rPr>
                  <w:rStyle w:val="InternetLink"/>
                  <w:rFonts w:ascii="Times New Roman;sans-serif" w:hAnsi="Times New Roman;sans-serif"/>
                  <w:b w:val="false"/>
                  <w:color w:val="0000FF"/>
                  <w:sz w:val="20"/>
                  <w:u w:val="single"/>
                </w:rPr>
                <w:t>Directors, Executive Officers and Corporate Governance</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193">
              <w:r>
                <w:rPr>
                  <w:rStyle w:val="InternetLink"/>
                  <w:rFonts w:ascii="Times New Roman;sans-serif" w:hAnsi="Times New Roman;sans-serif"/>
                  <w:b w:val="false"/>
                  <w:color w:val="0000FF"/>
                  <w:sz w:val="20"/>
                  <w:u w:val="single"/>
                </w:rPr>
                <w:t>123</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196">
              <w:r>
                <w:rPr>
                  <w:rStyle w:val="InternetLink"/>
                  <w:rFonts w:ascii="Times New Roman;sans-serif" w:hAnsi="Times New Roman;sans-serif"/>
                  <w:b w:val="false"/>
                  <w:strike w:val="false"/>
                  <w:dstrike w:val="false"/>
                  <w:color w:val="000000"/>
                  <w:sz w:val="20"/>
                  <w:u w:val="none"/>
                  <w:effect w:val="none"/>
                </w:rPr>
                <w:t>Item 11.</w:t>
              </w:r>
            </w:hyperlink>
          </w:p>
        </w:tc>
        <w:tc>
          <w:tcPr>
            <w:tcW w:w="8243" w:type="dxa"/>
            <w:gridSpan w:val="3"/>
            <w:tcBorders/>
            <w:shd w:fill="CCEE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fcb9a1dd2c5241fc889f8362a6f7e549_196">
              <w:r>
                <w:rPr>
                  <w:rStyle w:val="InternetLink"/>
                  <w:rFonts w:ascii="Times New Roman;sans-serif" w:hAnsi="Times New Roman;sans-serif"/>
                  <w:b w:val="false"/>
                  <w:color w:val="0000FF"/>
                  <w:sz w:val="20"/>
                  <w:u w:val="single"/>
                </w:rPr>
                <w:t>Executive Compensation</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196">
              <w:r>
                <w:rPr>
                  <w:rStyle w:val="InternetLink"/>
                  <w:rFonts w:ascii="Times New Roman;sans-serif" w:hAnsi="Times New Roman;sans-serif"/>
                  <w:b w:val="false"/>
                  <w:color w:val="0000FF"/>
                  <w:sz w:val="20"/>
                  <w:u w:val="single"/>
                </w:rPr>
                <w:t>124</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199">
              <w:r>
                <w:rPr>
                  <w:rStyle w:val="InternetLink"/>
                  <w:rFonts w:ascii="Times New Roman;sans-serif" w:hAnsi="Times New Roman;sans-serif"/>
                  <w:b w:val="false"/>
                  <w:strike w:val="false"/>
                  <w:dstrike w:val="false"/>
                  <w:color w:val="000000"/>
                  <w:sz w:val="20"/>
                  <w:u w:val="none"/>
                  <w:effect w:val="none"/>
                </w:rPr>
                <w:t>Item 12.</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fcb9a1dd2c5241fc889f8362a6f7e549_199">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199">
              <w:r>
                <w:rPr>
                  <w:rStyle w:val="InternetLink"/>
                  <w:rFonts w:ascii="Times New Roman;sans-serif" w:hAnsi="Times New Roman;sans-serif"/>
                  <w:b w:val="false"/>
                  <w:color w:val="0000FF"/>
                  <w:sz w:val="20"/>
                  <w:u w:val="single"/>
                </w:rPr>
                <w:t>124</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202">
              <w:r>
                <w:rPr>
                  <w:rStyle w:val="InternetLink"/>
                  <w:rFonts w:ascii="Times New Roman;sans-serif" w:hAnsi="Times New Roman;sans-serif"/>
                  <w:b w:val="false"/>
                  <w:strike w:val="false"/>
                  <w:dstrike w:val="false"/>
                  <w:color w:val="000000"/>
                  <w:sz w:val="20"/>
                  <w:u w:val="none"/>
                  <w:effect w:val="none"/>
                </w:rPr>
                <w:t>Item 13.</w:t>
              </w:r>
            </w:hyperlink>
          </w:p>
        </w:tc>
        <w:tc>
          <w:tcPr>
            <w:tcW w:w="8243" w:type="dxa"/>
            <w:gridSpan w:val="3"/>
            <w:tcBorders/>
            <w:shd w:fill="CCEE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fcb9a1dd2c5241fc889f8362a6f7e549_202">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202">
              <w:r>
                <w:rPr>
                  <w:rStyle w:val="InternetLink"/>
                  <w:rFonts w:ascii="Times New Roman;sans-serif" w:hAnsi="Times New Roman;sans-serif"/>
                  <w:b w:val="false"/>
                  <w:color w:val="0000FF"/>
                  <w:sz w:val="20"/>
                  <w:u w:val="single"/>
                </w:rPr>
                <w:t>124</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205">
              <w:r>
                <w:rPr>
                  <w:rStyle w:val="InternetLink"/>
                  <w:rFonts w:ascii="Times New Roman;sans-serif" w:hAnsi="Times New Roman;sans-serif"/>
                  <w:b w:val="false"/>
                  <w:strike w:val="false"/>
                  <w:dstrike w:val="false"/>
                  <w:color w:val="000000"/>
                  <w:sz w:val="20"/>
                  <w:u w:val="none"/>
                  <w:effect w:val="none"/>
                </w:rPr>
                <w:t>Item 14.</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fcb9a1dd2c5241fc889f8362a6f7e549_205">
              <w:r>
                <w:rPr>
                  <w:rStyle w:val="InternetLink"/>
                  <w:rFonts w:ascii="Times New Roman;sans-serif" w:hAnsi="Times New Roman;sans-serif"/>
                  <w:b w:val="false"/>
                  <w:color w:val="0000FF"/>
                  <w:sz w:val="20"/>
                  <w:u w:val="single"/>
                </w:rPr>
                <w:t>Principal Accountant Fees and Services</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205">
              <w:r>
                <w:rPr>
                  <w:rStyle w:val="InternetLink"/>
                  <w:rFonts w:ascii="Times New Roman;sans-serif" w:hAnsi="Times New Roman;sans-serif"/>
                  <w:b w:val="false"/>
                  <w:color w:val="0000FF"/>
                  <w:sz w:val="20"/>
                  <w:u w:val="single"/>
                </w:rPr>
                <w:t>124</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208">
              <w:r>
                <w:rPr>
                  <w:rStyle w:val="InternetLink"/>
                  <w:rFonts w:ascii="Times New Roman;sans-serif" w:hAnsi="Times New Roman;sans-serif"/>
                  <w:b/>
                  <w:strike w:val="false"/>
                  <w:dstrike w:val="false"/>
                  <w:color w:val="000000"/>
                  <w:sz w:val="20"/>
                  <w:u w:val="none"/>
                  <w:effect w:val="none"/>
                </w:rPr>
                <w:t>PART IV</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211">
              <w:r>
                <w:rPr>
                  <w:rStyle w:val="InternetLink"/>
                  <w:rFonts w:ascii="Times New Roman;sans-serif" w:hAnsi="Times New Roman;sans-serif"/>
                  <w:b w:val="false"/>
                  <w:strike w:val="false"/>
                  <w:dstrike w:val="false"/>
                  <w:color w:val="000000"/>
                  <w:sz w:val="20"/>
                  <w:u w:val="none"/>
                  <w:effect w:val="none"/>
                </w:rPr>
                <w:t>Item 15.</w:t>
              </w:r>
            </w:hyperlink>
          </w:p>
        </w:tc>
        <w:tc>
          <w:tcPr>
            <w:tcW w:w="8243" w:type="dxa"/>
            <w:gridSpan w:val="3"/>
            <w:tcBorders/>
            <w:shd w:fill="CCEE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fcb9a1dd2c5241fc889f8362a6f7e549_211">
              <w:r>
                <w:rPr>
                  <w:rStyle w:val="InternetLink"/>
                  <w:rFonts w:ascii="Times New Roman;sans-serif" w:hAnsi="Times New Roman;sans-serif"/>
                  <w:b w:val="false"/>
                  <w:color w:val="0000FF"/>
                  <w:sz w:val="20"/>
                  <w:u w:val="single"/>
                </w:rPr>
                <w:t>Exhibits and Financial Statement Schedules</w:t>
              </w:r>
            </w:hyperlink>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211">
              <w:r>
                <w:rPr>
                  <w:rStyle w:val="InternetLink"/>
                  <w:rFonts w:ascii="Times New Roman;sans-serif" w:hAnsi="Times New Roman;sans-serif"/>
                  <w:b w:val="false"/>
                  <w:color w:val="0000FF"/>
                  <w:sz w:val="20"/>
                  <w:u w:val="single"/>
                </w:rPr>
                <w:t>125</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214">
              <w:r>
                <w:rPr>
                  <w:rStyle w:val="InternetLink"/>
                  <w:rFonts w:ascii="Times New Roman;sans-serif" w:hAnsi="Times New Roman;sans-serif"/>
                  <w:b w:val="false"/>
                  <w:strike w:val="false"/>
                  <w:dstrike w:val="false"/>
                  <w:color w:val="000000"/>
                  <w:sz w:val="20"/>
                  <w:u w:val="none"/>
                  <w:effect w:val="none"/>
                </w:rPr>
                <w:t>Item 16.</w:t>
              </w:r>
            </w:hyperlink>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88" w:before="40" w:after="40"/>
              <w:jc w:val="left"/>
              <w:rPr/>
            </w:pPr>
            <w:hyperlink w:anchor="ifcb9a1dd2c5241fc889f8362a6f7e549_214">
              <w:r>
                <w:rPr>
                  <w:rStyle w:val="InternetLink"/>
                  <w:rFonts w:ascii="Times New Roman;sans-serif" w:hAnsi="Times New Roman;sans-serif"/>
                  <w:b w:val="false"/>
                  <w:color w:val="0000FF"/>
                  <w:sz w:val="20"/>
                  <w:u w:val="single"/>
                </w:rPr>
                <w:t>Form 10-K Summary</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214">
              <w:r>
                <w:rPr>
                  <w:rStyle w:val="InternetLink"/>
                  <w:rFonts w:ascii="Times New Roman;sans-serif" w:hAnsi="Times New Roman;sans-serif"/>
                  <w:b w:val="false"/>
                  <w:color w:val="0000FF"/>
                  <w:sz w:val="20"/>
                  <w:u w:val="single"/>
                </w:rPr>
                <w:t>131</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3"/>
            <w:tcBorders/>
            <w:shd w:fill="FFFFFF" w:val="clear"/>
            <w:tcMar>
              <w:top w:w="0" w:type="dxa"/>
              <w:left w:w="0" w:type="dxa"/>
              <w:bottom w:w="0" w:type="dxa"/>
              <w:right w:w="0" w:type="dxa"/>
            </w:tcMar>
            <w:vAlign w:val="center"/>
          </w:tcPr>
          <w:p>
            <w:pPr>
              <w:pStyle w:val="TableContents"/>
              <w:bidi w:val="0"/>
              <w:spacing w:lineRule="auto" w:line="288" w:before="40" w:after="40"/>
              <w:ind w:left="0" w:right="0" w:hanging="360"/>
              <w:jc w:val="left"/>
              <w:rPr/>
            </w:pPr>
            <w:hyperlink w:anchor="ifcb9a1dd2c5241fc889f8362a6f7e549_217">
              <w:r>
                <w:rPr>
                  <w:rStyle w:val="InternetLink"/>
                  <w:rFonts w:ascii="Times New Roman;sans-serif" w:hAnsi="Times New Roman;sans-serif"/>
                  <w:b w:val="false"/>
                  <w:color w:val="0000FF"/>
                  <w:sz w:val="20"/>
                  <w:u w:val="single"/>
                </w:rPr>
                <w:t>Signatures</w:t>
              </w:r>
            </w:hyperlink>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b9a1dd2c5241fc889f8362a6f7e549_217">
              <w:r>
                <w:rPr>
                  <w:rStyle w:val="InternetLink"/>
                  <w:rFonts w:ascii="Times New Roman;sans-serif" w:hAnsi="Times New Roman;sans-serif"/>
                  <w:b w:val="false"/>
                  <w:color w:val="0000FF"/>
                  <w:sz w:val="20"/>
                  <w:u w:val="single"/>
                </w:rPr>
                <w:t>132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includes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 European Union;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foreign currency exchange rates;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changes in environmental, health and safety regulations or preferences, and general economic, social and business conditions;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health and safety risks associated with the use, storage, transportation and disposal of potentially hazardous materials such as EO and Co-60;</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and outcome of current and future legal proceedings and liability claims, including litigation related to the use, emissions and releases of EO from our facilities in Illinois, Georgia and New Mexico and the possibility that other claims will be made in the future relating to these or other facilities;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allegations of our failure to properly perform services and potential product liability claims, recalls, penalties and reputational harm;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compliance with the extensive regulatory requirements to which we are subject, the related costs, and any failures to receive or maintain, or delays in receiving, required clearances or approvals;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 changes in industry trends;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competition we face;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market changes, including inflationary trends, that impact our long-term supply contracts with variable price clauses and increase our cost of revenues;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business continuity hazards, including supply chain disruptions and other risks associated with our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risks of doing business internationally, including global and regional economic and political instability and compliance with numerous and sometimes inconsistent laws and regulations in multiple jurisdictions;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increase capacity at existing facilities, build new facilities in a timely and cost-effective manner and renew leases for our leased facilities;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attract and retain qualified employees;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severe health events or environmental events;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cybersecurity breaches, unauthorized data disclosures, and our dependence on information technology systems;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 inability to pursue strategic transactions, find suitable acquisition targets, or integrate strategic acquisitions into our business successfully;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maintain effective internal controls over financial reporting;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reliance on intellectual property to maintain our competitive position and the risk of claims from third parties that we have infringed or misappropriated, or are infringing or misappropriating, their intellectual property rights;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comply with rapidly evolving data privacy and security laws and regulations in various jurisdictions and any ineffective compliance efforts with such laws and regulations;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maintain profitability in the future;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impairment charges on our goodwill and other intangible assets with indefinite lives, as well as other long-lived assets and intangible assets with definite lives;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effects of unionization efforts and labor regulations in countries in which we operate;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 changes to our tax positions in U.S. or non-U.S. jurisdictions or the interpretation and application of recent U.S. tax legislation or other changes in U.S. or non-U.S. taxation of our operations;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pStyle w:val="TextBody"/>
        <w:bidi w:val="0"/>
        <w:spacing w:lineRule="auto" w:line="288" w:before="240" w:after="283"/>
        <w:jc w:val="left"/>
        <w:rPr/>
      </w:pPr>
      <w:r>
        <w:rPr>
          <w:rFonts w:ascii="Times New Roman;sans-serif" w:hAnsi="Times New Roman;sans-serif"/>
          <w:b w:val="false"/>
          <w:color w:val="000000"/>
          <w:sz w:val="20"/>
        </w:rPr>
        <w:t xml:space="preserve">You should carefully consider the above factors, as well as the factors discussed elsewhere in this Annual Report on Form 10-K, including under Item 1A, </w:t>
      </w:r>
      <w:r>
        <w:rPr>
          <w:color w:val="000000"/>
        </w:rPr>
        <w:t>“</w:t>
      </w:r>
      <w:r>
        <w:rPr>
          <w:rFonts w:ascii="Times New Roman;sans-serif" w:hAnsi="Times New Roman;sans-serif"/>
          <w:b w:val="false"/>
          <w:color w:val="000000"/>
          <w:sz w:val="20"/>
        </w:rPr>
        <w:t>Risk Factors</w:t>
      </w:r>
      <w:r>
        <w:rPr>
          <w:color w:val="000000"/>
        </w:rPr>
        <w:t xml:space="preserve">” </w:t>
      </w:r>
      <w:r>
        <w:rPr>
          <w:rFonts w:ascii="Times New Roman;sans-serif" w:hAnsi="Times New Roman;sans-serif"/>
          <w:b w:val="false"/>
          <w:color w:val="000000"/>
          <w:sz w:val="20"/>
        </w:rPr>
        <w:t>and elsewhere in this Annual Report on Form 10-K.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Unless expressly indicated or the context requires otherwise, the terms “Sotera Health,” “Company,” “we,” “us,” and “our” in this document refer to Sotera Health Company, a Delaware corporation, and, where appropriate, its subsidiaries on a consolidated basis.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 Information</w:t>
      </w:r>
    </w:p>
    <w:p>
      <w:pPr>
        <w:pStyle w:val="TextBody"/>
        <w:bidi w:val="0"/>
        <w:spacing w:lineRule="auto" w:line="288" w:before="240" w:after="283"/>
        <w:jc w:val="left"/>
        <w:rPr/>
      </w:pPr>
      <w:r>
        <w:rPr>
          <w:rFonts w:ascii="Times New Roman;sans-serif" w:hAnsi="Times New Roman;sans-serif"/>
          <w:b w:val="false"/>
          <w:color w:val="000000"/>
          <w:sz w:val="20"/>
        </w:rPr>
        <w:t>We are a leading global provider of mission-critical end-to-end sterilization solutions, lab testing and advisory services for the healthcare industry. We are driven by our mission: Safeguarding Global Health</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over 40 of the top 50 medical device companies and nine of the top ten global pharmaceutical companies (based on revenue). Our services are an essential aspect of our customers’ manufacturing processes and supply chains, helping to ensure sterilized medical products reach healthcare practitioners and patients. Most of our services are necessary for our customers to satisfy applicable government requirements.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trusted partner to approximately 5,000 customers in over 50 countries. We give our customers confidence that their products meet regulatory, safety and effectiveness requirements. With our industry-recognized scientific and technological expertise, we help to ensure the safety of millions of patients and healthcare practitioners around the world. Across our 63 facilities worldwide, we have over 3,000 employees who are dedicated to safety and quality.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Sotera Health Company was incorporated in Delaware in November 2017 as the parent company for Sterigenics, Nordion and Nelson Labs. We completed our initial public offering and listed our shares on the Nasdaq Global Select Market (“Nasdaq”) in November 2020 under the ticker symbol “SHC”.</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Businesses</w:t>
      </w:r>
    </w:p>
    <w:p>
      <w:pPr>
        <w:pStyle w:val="TextBody"/>
        <w:bidi w:val="0"/>
        <w:spacing w:lineRule="auto" w:line="288" w:before="24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Sterilization Services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sterilization services business is comprised of Sterigenics and Nordion.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Sterigenics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global provider of outsourced terminal sterilization and irradiation services and have provided sterilization services for over 90 years. We offer a globally integrated platform for our customers in the medical device, pharmaceutical, food safety, and advanced applications markets, with facilities strategically located to be convenient to our customers’ manufacturing sites or distribution hubs.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 sterilization is the process of sterilizing a product in its final packaging; it is an essential, and often government-mandated, last step in the manufacturing process of healthcare products before they are shipped to end-users. The products that we sterilize include procedure kits and trays, implants, syringes, catheters, wound care products, medical protective barriers, including personal protective equipment (“PPE”), laboratory products and pharmaceuticals.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Sterilization Services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offer our customers a complete range of terminal sterilization services, primarily using the three major commercial terminal sterilization technologies: gamma irradiation, EO processing and E-beam irradiation. We continue to invest in and develop our capabilities and our current methods of sterilization and we continue to explore new alternative modalities and technologies. Our primary terminal sterilization technologies include:</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drawing>
          <wp:inline distT="0" distB="0" distL="0" distR="0">
            <wp:extent cx="6515100" cy="390525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6515100" cy="3905250"/>
                    </a:xfrm>
                    <a:prstGeom prst="rect">
                      <a:avLst/>
                    </a:prstGeom>
                  </pic:spPr>
                </pic:pic>
              </a:graphicData>
            </a:graphic>
          </wp:inline>
        </w:drawing>
      </w:r>
      <w:r>
        <w:rPr>
          <w:rFonts w:ascii="Times New Roman;sans-serif" w:hAnsi="Times New Roman;sans-serif"/>
          <w:b w:val="false"/>
          <w:color w:val="000000"/>
          <w:sz w:val="20"/>
        </w:rPr>
        <w:t>We provide gamma irradiation services at 23 of our facilities, EO processing services at 17 of our facilities and electron beam (“E-beam”) irradiation services at eight of our facilities.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invest in alternative modalities to serve our customers. X-ray irradiation is a process in which products such as medical devices and lab ware are exposed to machine-generated radiation in the form of X-rays for the purpose of sterilization and decontamination. X-rays are similar in performance to gamma rays and are useful for processing certain materials by virtue of the high penetration capabilities of X-ray. We utilize X-ray irradiation at one of our sterilization facilities for bio-hazard reduction for the United States Postal Service, or USPS. We are also investing in NO2-based sterilization, which has been effective in sterilizing of prefilled syringes, drug-device combination products and custom implants.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Sterilization Applications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primarily provides sterilization services for medical device manufacturers and the pharmaceutical industry. Sterigenics also provides decontamination services for the food industry. Additionally, Sterigenics provides various advanced applications for other organizations and companies including the USPS and semiconductor manufacturers. Our customers select the sterilization method that meets the needs of their products and requirements of regulators and we deliver sterilization services according to their customer-specific protocols. In most cases, customers are serviced from more than one facility.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u w:val="single"/>
        </w:rPr>
        <w:t>Medical device sterilization</w:t>
      </w:r>
      <w:r>
        <w:rPr>
          <w:rFonts w:ascii="Times New Roman;sans-serif" w:hAnsi="Times New Roman;sans-serif"/>
          <w:b w:val="false"/>
          <w:color w:val="000000"/>
          <w:sz w:val="20"/>
        </w:rPr>
        <w:t>. Medical device sterilization is a regulatory requirement in many jurisdictions and an important and last step in the manufacturing of healthcare products such as medical protective barriers, including PPE, procedure kits and trays, implants, syringes, catheters and wound care products. A broad range of single-use, prepackaged medical products, as well as certain consumer products, are required by government regulations to be sterile, or meet certain acceptable microbial levels when sold. These products are not manufactured in a “sterile” or “clean” environment and are thereby inhabited by potentially harmful microbes. Products must therefore be treated before shipment, either in-house by the manufacturer or by an outsourced sterilization provider such as Sterigenics.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developed a consultative approach with medical device manufacturers that expands our service offerings beyond core product sterilization, as we believe they want value-added solutions from their outsourced sterilization partners that reach beyond the traditional scope of sterilization. We offer customers a comprehensive selection of advisory services in design, testing, production and supply chain management for sterile healthcare products before, during and after the sterilization process to ensure and improve a product’s speed to market and compliance with regulatory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u w:val="single"/>
        </w:rPr>
        <w:t>Pharmaceuticals</w:t>
      </w:r>
      <w:r>
        <w:rPr>
          <w:rFonts w:ascii="Times New Roman;sans-serif" w:hAnsi="Times New Roman;sans-serif"/>
          <w:b w:val="false"/>
          <w:color w:val="000000"/>
          <w:sz w:val="20"/>
        </w:rPr>
        <w:t>. We provide comprehensive outsourced terminal sterilization solutions to help our customers in the pharmaceutical industry meet regulatory requirements. Our sterilization expertise covers a variety of pharmaceutical drug products, such as active pharmaceutical ingredients, pre-filled syringes, drug components, excipients and primary packaging and components.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pharmaceutical companies are starting to market disposable delivery devices, such as auto-inject devices for epinephrine, which are combined medical device and pharmaceutical products. As these disposable delivery devices are subject to both medical device regulations and pharmaceutical regulations, we believe these companies are looking to leading outsourced sterilization providers like us for our expertise in sterilizing these complex devices. We believe that the complementary capabilities and expertise in our Nelson Labs business make Sterigenics an attractive sterilization partner to customers in the pharmaceutical industry. We can provide a full suite of services across the Company to help our customers throughout key stages in the lifecycle of these complex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u w:val="single"/>
        </w:rPr>
        <w:t>Food and agricultural products</w:t>
      </w:r>
      <w:r>
        <w:rPr>
          <w:rFonts w:ascii="Times New Roman;sans-serif" w:hAnsi="Times New Roman;sans-serif"/>
          <w:b w:val="false"/>
          <w:color w:val="000000"/>
          <w:sz w:val="20"/>
        </w:rPr>
        <w:t>. We provide microbial reduction and microbial remediation services for food and agricultural products. Generally, in a microbial reduction process, products are exposed to lower levels of treatment than in a sterilization process. This process is not intended to render a product free of viable organisms but rather to reduce their number. In connection with our microbial reduction services, we treat a wide array of products such as spices, herbs, animal feed and food packaging materials to address safety concerns of customers and consumers or to extend shelf life. We currently irradiate a variety of food and food packaging products, ranging from orange juice to steaks, to guard against harmful bacteria, such as listeria, salmonella, E. coli and other pathogens. Microbial reduction and irradiation offer producers and processors a method to safeguard against bacteria from the time of the packaging of their products to the time they reach consumers. We also provide microbial remediation services that stop the progression of damage to products and help make the products safe for distribution.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u w:val="single"/>
        </w:rPr>
        <w:t>Commercial, advanced and specialty applications</w:t>
      </w:r>
      <w:r>
        <w:rPr>
          <w:rFonts w:ascii="Times New Roman;sans-serif" w:hAnsi="Times New Roman;sans-serif"/>
          <w:b w:val="false"/>
          <w:color w:val="000000"/>
          <w:sz w:val="20"/>
        </w:rPr>
        <w:t>. We provide a wide range of advanced applications services for industrial materials to customers that use ionizing radiation to modify materials or products. The advanced applications sterilization industry is comprised of a large number of distinct segments that can be addressed using our services for radiation processing. Materials that undergo advanced application processes include products such as power semiconductors, polymers and gemstones. In addition, we utilize our ionizing radiation services to provide bio-security services to the USPS by treating and protecting the mail against unwanted pathogens and biohazards. We believe we are the only provider of this service to the USPS. We also treat commercial products, such as cosmetics, with our microbial reduction services. In Canada and Europe, where recreational cannabis, medical cannabis, or both, are legal, we provide commercial gamma and E-beam irradiation services for decontamination of cannabis.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Sterigenics Customers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serves more than 2,000 customers. We follow extensive validation procedures with our customers to determine the optimal sterilization method for each product, and to validate that the chosen method will achieve the sterility requirement for that product. Once a sterilization process has been validated, we adhere to our customers’ process specifications to treat their product.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sterilization services are an essential element in our customers’ manufacturing processes, they generally represent a small fraction of the total end-product cost of medical devices. We believe this means that our customers choose our services based on quality and consistency of service rather than solely on the cost. These deep, tenured customer relationships are supported by multi-year contracts with cost pass-through provisions, which have resulted in recurring revenue streams.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many products, our customers are required to include the specific facility used to validate a product’s listing in the Food and Drug Administration (“FDA”) (or foreign equivalent) product registration and are typically required to re-register if they switch facilities, which makes switching locations for a particular product a difficult and expensive process for our customers. This dynamic contributes to low customer churn and long-term relationships.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Sterigenics has achieved high historical customer retention and renewal rates—Sterigenics has 100% renewal rates of its top ten customers for more than five consecutive years, and an average tenure of over a decade with its top 25 customers over the last five years—and minimal customer concentration. We have also introduced innovative, advanced processing systems for outsourced sterilization that are designed to enhance operating efficiencies, improve turnaround times and provide for greater processing flexibility without sacrificing quality, consistency or reliability. More than 90% of Sterigenics’ revenues for the year ended December 31, 2023 were from customers under multi-year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Sterigenics Competition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compete globally with Applied Sterilization Technologies, a segment of STERIS plc, as well as other smaller or regional outsourced sterilization companies. In addition, some manufacturers have invested or are investing in in-house sterilization capabilities. We also face competition from other technologies, such as chemical cross-linking of polymers. Our services generally compete on the basis of the quality of technology and services offered, level of expertise in each of the major sterilization methods, level of expertise in the applicable regulatory requirements, proximity to customers and the cost of services.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Sterigenics Suppliers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primarily purchases its supply of Co-60 sources, the key input into the gamma sterilization process, from Nordion. Our supply of Co-60 sources is at times impacted by the global availability of Co-60. Our supply of EO is sourced from various suppliers around the world. There is more than one supplier of EO in most of the countries in which we operate; however, in the United States, there is a single supplier for EO to our industry. We have not historically experienced any supply disruptions and our U.S. supplier has redundant production facilities to help ensure reliable EO supply. We also have a license in the United States to distribute EO to self-supply should the need arise and we determine the need to make the necessary investments.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Sterigenics Facilities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48 facilities in 13 countries, our global network of sterilization facilities represents a significant competitive advantage. We serve many of our sterilization customers at more than one facility, with approximately 80% of Sterigenics’ net revenues attributable to customers using more than one of our facilities and more than 50% of Sterigenics’ net revenues attributable to customers using five or more of our facilities in 2023. Extensive capital, technical expertise and regulatory knowledge are required to build and maintain facilities like ours. We estimate that building a new facility can cost over $50 million on average, in addition to requiring extensive and complex licensing approval and regulatory compliance processes. We estimate that the cost to replicate the facilities in our network alone could be as high as $1.9 billion, in addition to investments required to meet associated technical and regulatory requirements.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global facility network, built and expanded over several decades, is strategically located convenient to customers’ manufacturing sites and distribution hubs or routes. For many of our customers, the location of our facilities is important because transportation and logistics costs can be meaningful. We also employ proprietary technology to provide customers with increased visibility into our processes. Sterigenics GPS™ enables customers to monitor the sterilization process in real-time and better manage their supply chain. These features improve the accuracy and visibility of customer order information and quality data, which in turn provide enhanced transparency to regulatory agencies around the world, further enhancing our reputation as a company with regulatory expertise. We are focused on continuing to leverage advanced technology and service offerings to better serve customers, and we believe our capital and resource commitment in this area drives customer loyalty and retention.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leveraging a global operating system, we drive operational excellence across our network of facilities to achieve high levels of safety, quality, operating efficiency and customer satisfaction to provide a uniform customer experience. All our facilities are either ISO 13485 certified, ISO 9001 certified, or both, as well as licensed and registered in all necessary jurisdictions to comply with government required regulations.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Nordion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 is the leading global provider of Co-60 used in the sterilization and irradiation processes for the medical device, pharmaceutical, food safety, and high-performance materials industries, as well as in the treatment of cancer. Co-60 is a radioactive isotope that emits gamma radiation that sterilizes items by killing contaminating micro-organisms. In addition, Nordion is a leading global provider of gamma irradiation systems, which are the units that house the Co-60 sources within a gamma sterilization facility. We estimate that gamma sterilization, which is a critical component of the global infection control supply chain, accounts for approximately 30% of single-use medical device sterilization worldwide. Nordion’s customers include both outsourced contract sterilizers, including Sterigenics, and medical device manufacturers that sterilize their products in-house. More than 90% of Nordion’s revenues for the year ended December 31, 2023 were from customers under multi-year contracts.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our customers with high quality, reliable, safe and secure Co-60 source supply at each stage of the source’s life cycle. We support our customers with handling and processing of Co-60, recycling of depleted sources and global logistics enabled by our licensed container fleet. We also provide regulatory and technical service expertise to improve the risk profiles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enhance effectiveness of gamma processing operations. Without this radioactive material, gamma sterilization would not be possible on the global scale at which it is used today. We are integral to our customers’ operations due to highly coordinated and complex installation processes.</w:t>
      </w:r>
    </w:p>
    <w:p>
      <w:pPr>
        <w:pStyle w:val="TextBody"/>
        <w:bidi w:val="0"/>
        <w:spacing w:lineRule="auto" w:line="288" w:before="240" w:after="283"/>
        <w:jc w:val="left"/>
        <w:rPr/>
      </w:pPr>
      <w:r>
        <w:rPr>
          <w:rFonts w:ascii="Times New Roman;sans-serif" w:hAnsi="Times New Roman;sans-serif"/>
          <w:b w:val="false"/>
          <w:color w:val="000000"/>
          <w:sz w:val="20"/>
        </w:rPr>
        <w:t>Nordion has a long history in gamma technologies. Nordion designs, installs and maintains gamma irradiation systems. Nordion developed the first Co-60 based tele-therapy unit for cancer treatment in 1951 and the first panoramic irradiator in 1964. In addition to selling Co-60 sources for sterilization purposes, Nordion also sells high specific activity Co-60 (“HSA Co-60” or “medical Co-60”) used in stereotactic radiosurgery as a radiation source for oncology applications, specifically in Gamma Knife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other similar applications. Today, Co-60 is a critical part of treatment for brain and other cancers because it is noninvasive, reliable, effective and safe to use.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Co-60 Production Process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Nordion’s primary product is Co-60 sources. Co-60 is a radioactive isotope used in radiation sterilization that decays naturally at a rate of approximately 12% annually. Co-60 is produced by placing cobalt-59 (“Co-59”), the most common form of cobalt, into a nuclear power reactor to be activated.</w:t>
      </w:r>
    </w:p>
    <w:p>
      <w:pPr>
        <w:pStyle w:val="TextBody"/>
        <w:bidi w:val="0"/>
        <w:spacing w:lineRule="auto" w:line="288" w:before="240" w:after="283"/>
        <w:jc w:val="left"/>
        <w:rPr/>
      </w:pPr>
      <w:r>
        <w:rPr>
          <w:rFonts w:ascii="Times New Roman;sans-serif" w:hAnsi="Times New Roman;sans-serif"/>
          <w:b w:val="false"/>
          <w:color w:val="000000"/>
          <w:sz w:val="20"/>
        </w:rPr>
        <w:t xml:space="preserve">The Co-60 production process requires high purity Co-59. Co-59 is produced globally, primarily as a byproduct of nickel and copper mining, and used in a variety of industrial applications. The Co-59 used for sterilization accounts for a small portion of overall Co-59 demand. Co-59 is compressed into “targets,” which are pellets and slugs suitable to be activated into Co-60. These targets are then encapsulated and delivered to be installed in nuclear reactors. Depending on the type of reactor and the location of the Co-59 in the reactor, the conversion process can take between 18 months to five years. Once the conversion to Co-60 is complete, the targets are extracted from the nuclear reactor while the reactor is shut down and shipped to Nordion to be processed into Co-60 sources to be sold to customers. See Item 1A, </w:t>
      </w:r>
      <w:r>
        <w:rPr>
          <w:color w:val="000000"/>
        </w:rPr>
        <w:t>“</w:t>
      </w:r>
      <w:r>
        <w:rPr>
          <w:rFonts w:ascii="Times New Roman;sans-serif" w:hAnsi="Times New Roman;sans-serif"/>
          <w:b w:val="false"/>
          <w:color w:val="000000"/>
          <w:sz w:val="20"/>
        </w:rPr>
        <w:t>Risk Factors</w:t>
      </w:r>
      <w:r>
        <w:rPr>
          <w:color w:val="000000"/>
        </w:rPr>
        <w:t>”—</w:t>
      </w:r>
      <w:r>
        <w:rPr>
          <w:rFonts w:ascii="Times New Roman;sans-serif" w:hAnsi="Times New Roman;sans-serif"/>
          <w:b w:val="false"/>
          <w:color w:val="000000"/>
          <w:sz w:val="20"/>
        </w:rPr>
        <w:t>Risks Related to the Company—Safety risks associated with the use, storage and disposal of potentially hazardous materials, such as EO and Co-60, may result in accidents or liabilities that materially affect our results of operations.</w:t>
      </w:r>
      <w:r>
        <w:rPr>
          <w:color w:val="000000"/>
        </w:rPr>
        <w:t xml:space="preserve">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Nordion Products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Co-60 is sold to customers by its level of radioactivity as measured in curies. Our customers typically buy low specific activity Co-60 (“LSA Co-60”) for industrial sterilization use and HSA Co-60 for medical use. At our Ottawa facility, we receive and process the targets to form the final Co-60 source product with the desired amount of radioactivity for each customer order. The Co-60 sources undergo stringent and sophisticated quality assurance testing at our facility. The final product is then placed in specialized containers, which Nordion uses to transport Co-60 to our customers.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transport the Co-60 sources via proprietary lead and steel containers that are licensed to meet all applicable international shipping requirements. We believe we have the most extensive expertise in Co-60 logistics. There is a significant regulatory burden in the production, management and transportation of fleets of containers of Co-60 sources. Our transportation routes and carriers are highly controlled, and we provide regular and comprehensive training for employees and carriers who are involved in moving the Co-60 globally.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design, install and maintain gamma irradiation systems, which include radiation shielding, a series of conveyors and control systems that are designed to expose products to the correct gamma radiation dosage in a safe and efficient manner. A gamma irradiation system is the infrastructure that houses the Co-60 sources and makes up a part of a sterilization and warehousing facility. We have designed and built over 100 of the estimated 290 large scale irradiation systems active globally. Our installation, physics and engineering teams are comprised of highly trained professionals who provide fast and ongoing technical support from source installation to emergency response.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offer our customers a for-fee spent Co-60 source return service for depleted Co-60 sources that have reached the end of their useful life, which is often 20 or more years. We also have a source recycling program that extends the useful life of individual slugs from the decayed product up to an additional 20 years, pairing them with new slugs to make new Co-60 sources.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Nuclear Reactor Operators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Given the timeline required to produce Co-60, forecasting supply and working closely with nuclear power reactor operators to manage the amount and timing of shipments represents an important business capability of Nordion.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Co-60 supply is ultimately determined by the number of nuclear reactors that are capable of producing Co-60 at a given point in time. Our access to Co-60 tends to vary on a quarterly basis, due primarily to nuclear reactor maintenance schedules, the length of time required to convert Co-59 into Co-60, the limited number of facilities that can generate Co-60 in an economically efficient manner, and the timing of the removal of Co-60 from reactors. While short-term variability in Co-60 supplier delivery timing can sometimes result in variability in our financial performance across fiscal quarters, we work with multiple reactor sites that operate on consistent and predictable discharge and harvest schedules over the long-term.</w:t>
      </w:r>
    </w:p>
    <w:p>
      <w:pPr>
        <w:pStyle w:val="TextBody"/>
        <w:bidi w:val="0"/>
        <w:spacing w:lineRule="auto" w:line="288" w:before="240" w:after="283"/>
        <w:jc w:val="left"/>
        <w:rPr/>
      </w:pPr>
      <w:r>
        <w:rPr>
          <w:rFonts w:ascii="Times New Roman;sans-serif" w:hAnsi="Times New Roman;sans-serif"/>
          <w:b w:val="false"/>
          <w:color w:val="000000"/>
          <w:sz w:val="20"/>
        </w:rPr>
        <w:t xml:space="preserve">Nordion currently has access to Co-60 supply at multiple nuclear reactors pursuant to multi-year contracts with three operators that cover 13 reactors at five generating stations, that extend to dates between 2025 and 2064, with our largest supplier under contract until 2064. See Item 1A, </w:t>
      </w:r>
      <w:r>
        <w:rPr>
          <w:color w:val="000000"/>
        </w:rPr>
        <w:t>“</w:t>
      </w:r>
      <w:r>
        <w:rPr>
          <w:rFonts w:ascii="Times New Roman;sans-serif" w:hAnsi="Times New Roman;sans-serif"/>
          <w:b w:val="false"/>
          <w:color w:val="000000"/>
          <w:sz w:val="20"/>
        </w:rPr>
        <w:t>Risk Factors</w:t>
      </w:r>
      <w:r>
        <w:rPr>
          <w:color w:val="000000"/>
        </w:rPr>
        <w:t>”—</w:t>
      </w:r>
      <w:r>
        <w:rPr>
          <w:rFonts w:ascii="Times New Roman;sans-serif" w:hAnsi="Times New Roman;sans-serif"/>
          <w:b w:val="false"/>
          <w:color w:val="000000"/>
          <w:sz w:val="20"/>
        </w:rPr>
        <w:t>Risks Related to the Company—We depend on a limited number of counterparties to provide the materials and resources we need to operate our business. Any disruption in the availability of, or increases in the price of, EO, Co-60 or our other direct materials, services and supplies, including as a result of geopolitical instability and sanctions against Russia by the United States, Canada, United Kingdom and European Union, may have a material adverse effect on our operating results.” The substantial majority of our Co-60 material has historically been produced under multi-year contracts with nuclear reactor operators in Canada and Russia. Nordion provides Co-59 targets to its Canadian and Russian reactor suppliers, manufactured to proprietary specifications customized for each supplier. We also acquire a portion of our Co-60 supply from reactors that produce Co-60 in Argentina, China and India.</w:t>
      </w:r>
    </w:p>
    <w:p>
      <w:pPr>
        <w:pStyle w:val="TextBody"/>
        <w:bidi w:val="0"/>
        <w:spacing w:lineRule="auto" w:line="288" w:before="240" w:after="283"/>
        <w:jc w:val="left"/>
        <w:rPr/>
      </w:pPr>
      <w:r>
        <w:rPr>
          <w:rFonts w:ascii="Times New Roman;sans-serif" w:hAnsi="Times New Roman;sans-serif"/>
          <w:b w:val="false"/>
          <w:color w:val="000000"/>
          <w:sz w:val="20"/>
        </w:rPr>
        <w:t>The vertical integration of Nordion and Sterigenics has allowed us to more confidently make meaningful long-term investments to expand Co-60 supply for the medical products sterilization industry. See Item 7, “Management’s Discussion and Analysis of Financial Condition and Results of Operations—Trends and Key Factors Affecting Our Results of Operations.” Currently, approximat</w:t>
      </w:r>
      <w:r>
        <w:rPr>
          <w:rFonts w:ascii="Times New Roman;sans-serif" w:hAnsi="Times New Roman;sans-serif"/>
          <w:b w:val="false"/>
          <w:color w:val="000000"/>
          <w:sz w:val="20"/>
          <w:shd w:fill="FFFFFF" w:val="clear"/>
        </w:rPr>
        <w:t>ely 9% o</w:t>
      </w:r>
      <w:r>
        <w:rPr>
          <w:rFonts w:ascii="Times New Roman;sans-serif" w:hAnsi="Times New Roman;sans-serif"/>
          <w:b w:val="false"/>
          <w:color w:val="000000"/>
          <w:sz w:val="20"/>
        </w:rPr>
        <w:t>f nuclear reactors worldwide are the type of reactors that have been capable of producing commercial quantities of Co-60. In December 2018, we acquired patents that may allow us to significantly increase our sourcing options for Co-60 and further expand the market for gamma sterilization. Additionally, in February 2020, we announced a collaboration with Westinghouse Electric Company to further develop the technology to produce Co-60 in Pressurized Water Reactors. We believe this collaboration could further diversify our supply with reliable U.S. domestic partners and encourage the implementation of this patented technology at other reactors around the world.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evaluate opportunities to increase Co-60 production, including through partnerships with CANDU reactor operators in Canada and Romania that would involve investing in their reactor infrastructure to enable long-term production of Co-60.</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Nordion Customers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 supplies products and services to approximately 40 customers, including medical device manufacturers and gamma sterilization service providers. Co-60’s consumable nature results in annual natural decay at an approximately 12% annual rate, which creates stable, recurring demand as customers must purchase incremental supply in order to satisfy ongoing needs. We are integral to our customers’ operations due to highly coordinated and complex installation and service processes that require expertise in handling and shipping radioactive material as well as our deep knowledge of the relevant regulatory and compliance requirements. Customer relationships are typically governed by multi-year supply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of Nordion’s customers is Sterigenics, which competes with several of Nordion’s other gamma sterilization service customers. When we acquired Nordion in 2014, we established information barriers between Nordion and Sterigenics with regard to certain customer information, which remain in place today, and certain of our agreements with Nordion’s customers require that we maintain these barriers. These barriers prohibit us from managing a customer pricing strategy across our Sterigenics and Nordion segments.</w:t>
      </w:r>
    </w:p>
    <w:p>
      <w:pPr>
        <w:pStyle w:val="TextBody"/>
        <w:bidi w:val="0"/>
        <w:spacing w:lineRule="auto" w:line="288" w:before="240" w:after="283"/>
        <w:jc w:val="left"/>
        <w:rPr/>
      </w:pPr>
      <w:r>
        <w:rPr>
          <w:rFonts w:ascii="Times New Roman;sans-serif" w:hAnsi="Times New Roman;sans-serif"/>
          <w:b w:val="false"/>
          <w:color w:val="000000"/>
          <w:sz w:val="20"/>
        </w:rPr>
        <w:t>We are a leading global supplier of HSA Co-60 used in oncology-related stereotactic radiosurgery devices, including the Gamma Knife</w:t>
      </w:r>
      <w:r>
        <w:rPr>
          <w:rFonts w:ascii="Times New Roman;sans-serif" w:hAnsi="Times New Roman;sans-serif"/>
          <w:b w:val="false"/>
          <w:color w:val="000000"/>
          <w:sz w:val="13"/>
        </w:rPr>
        <w:t>®</w:t>
      </w:r>
      <w:r>
        <w:rPr>
          <w:rFonts w:ascii="Times New Roman;sans-serif" w:hAnsi="Times New Roman;sans-serif"/>
          <w:b w:val="false"/>
          <w:color w:val="000000"/>
          <w:sz w:val="20"/>
        </w:rPr>
        <w:t>, which use directed gamma rays for certain oncology applications. We also supply other medical equipment manufacturers and sub-contractors in the industry who require the concentrated radiation dose capabilities of HSA Co-60.</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Nordion Competition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Nordion’s two main competitors in the industrial LSA Co-60 sources supply market are a Russian Co-60 sources producer, which historically has supplied certain regions in Europe and Asia, and a China-based producer, which supplies the domestic Chinese market. In addition, certain regional competitors have the capability to produce Co-60. For example, a producer in Argentina supplies certain regions in Central and South America and an Indian producer supplies India and certain parts of Southeast Asia. These competitors could potentially increase their global competition capabilities in the future. Nordion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competes indirectly with other developing modalities of sterilization, such as X-ray technology, that use electricity to generate radiation and therefore do not require Co-60 sources.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Nordion’s main competitors in the HSA Co-60 industry include suppliers in China, Sweden and North America that have capability to produce medical Co-60.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Nordion Facilities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Nordion’s operations are supported by a facility in Kanata, Canada dedicated to processing and shipping cobalt, and a European distribution facility in Milton, United Kingdom.</w:t>
      </w:r>
    </w:p>
    <w:p>
      <w:pPr>
        <w:pStyle w:val="TextBody"/>
        <w:bidi w:val="0"/>
        <w:spacing w:lineRule="auto" w:line="288" w:before="24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Lab Testing and Advisory Services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Nelson Labs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 testing and advisory services are necessary across the medical device and pharmaceutical product lifecycles to evaluate and ensure the safety and effectiveness of healthcare products. We are a global leader in outsourced microbiological and analytical chemistry testing services for the medical device and pharmaceutical industries. In addition to our testing services, our customers often call upon our experts for technical assistance, regulatory consulting and our advisory services. We go to market leveraging our global footprint and an extensive range of services under our Nelson Labs brand.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established ourselves as a critical partner for our customers through our delivery of high-quality services, quick testing turnaround times, responsiveness, high-touch support and easy accessibility to our science and service teams. We have an industry-leading brand recognized for the quality and comprehensiveness of our services, both of which can take many years to build. Further, we believe that our testing and advisory services offerings and experience across a broad array of products differentiate us from smaller laboratories, as we are able to provide testing and advisory services across the entire lifecycle of our customers’ multitude of products. Our scale combined with our global network enable us to undertake significant and time-sensitive projects for our customers that might typically require them to interface with multiple labs. This allows us to simplify complex issues for our customers and streamline communication and execution. Moreover, the integration across our services and facilities enables us to assist our customers in minimizing their business continuity risk by reducing capacity shortages, turnaround time delays and throughput issues.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microbiology and analytical chemistry services include over 900 tests. We also provide for-fee advisory services that position us as thought leaders in the industry and increase the demand for our testing offerings. These can be categorized into three broad categories that address different stages of customers’ product lifecycle: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u w:val="single"/>
        </w:rPr>
        <w:t>Product Development and Validation</w:t>
      </w:r>
      <w:r>
        <w:rPr>
          <w:rFonts w:ascii="Times New Roman;sans-serif" w:hAnsi="Times New Roman;sans-serif"/>
          <w:b w:val="false"/>
          <w:color w:val="000000"/>
          <w:sz w:val="20"/>
        </w:rPr>
        <w:t>. Prior to a new medical product or alteration to an existing product being submitted for regulatory approval, Nelson Labs provides a variety of tests to customers during the research and development stage. These include tests that assist the client in:</w:t>
      </w:r>
    </w:p>
    <w:tbl>
      <w:tblPr>
        <w:tblW w:w="10205" w:type="dxa"/>
        <w:jc w:val="left"/>
        <w:tblInd w:w="0" w:type="dxa"/>
        <w:tblLayout w:type="fixed"/>
        <w:tblCellMar>
          <w:top w:w="28" w:type="dxa"/>
          <w:left w:w="28" w:type="dxa"/>
          <w:bottom w:w="28" w:type="dxa"/>
          <w:right w:w="28" w:type="dxa"/>
        </w:tblCellMar>
      </w:tblPr>
      <w:tblGrid>
        <w:gridCol w:w="1219"/>
        <w:gridCol w:w="1069"/>
        <w:gridCol w:w="1076"/>
        <w:gridCol w:w="1997"/>
        <w:gridCol w:w="1997"/>
        <w:gridCol w:w="2847"/>
      </w:tblGrid>
      <w:tr>
        <w:trPr/>
        <w:tc>
          <w:tcPr>
            <w:tcW w:w="121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r>
      <w:tr>
        <w:trPr/>
        <w:tc>
          <w:tcPr>
            <w:tcW w:w="3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◦ </w:t>
            </w:r>
            <w:r>
              <w:rPr>
                <w:rFonts w:ascii="Times New Roman;sans-serif" w:hAnsi="Times New Roman;sans-serif"/>
                <w:b w:val="false"/>
                <w:color w:val="000000"/>
                <w:sz w:val="20"/>
              </w:rPr>
              <w:t>Product design</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Material selection</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Biological safety evaluation</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Toxicological risk assessment</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Sterilization modality selection and sterilization validation</w:t>
            </w:r>
          </w:p>
        </w:tc>
        <w:tc>
          <w:tcPr>
            <w:tcW w:w="6841"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Cleaning and disinfection validation (for reusable devices)</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Package barrier properties</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Distribution simulation</w:t>
            </w:r>
          </w:p>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Filtration efficiency and physical functionality of PPE (including surgical facemasks, N95 respirators, gowns, drapes and other PPE)</w:t>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provide sterilization modality selection and sterilization validation services for a variety of sterilization modalities, including the three major modalities offered by Sterigenics—gamma irradiation, EO processing and E-beam—allowing us to serve our customers in multiple areas.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u w:val="single"/>
        </w:rPr>
        <w:t>Expert Advisory</w:t>
      </w:r>
      <w:r>
        <w:rPr>
          <w:rFonts w:ascii="Times New Roman;sans-serif" w:hAnsi="Times New Roman;sans-serif"/>
          <w:b w:val="false"/>
          <w:color w:val="000000"/>
          <w:sz w:val="20"/>
        </w:rPr>
        <w:t>. Bringing a medical product or drug to market can be a long and complex process, especially in the context of constantly evolving standards in a changing regulatory environment. Nelson Labs provides expert advisory services to aid customers in navigating the appropriate standards and regulatory environments. These services include:</w:t>
      </w:r>
    </w:p>
    <w:tbl>
      <w:tblPr>
        <w:tblW w:w="10205" w:type="dxa"/>
        <w:jc w:val="left"/>
        <w:tblInd w:w="0" w:type="dxa"/>
        <w:tblLayout w:type="fixed"/>
        <w:tblCellMar>
          <w:top w:w="28" w:type="dxa"/>
          <w:left w:w="28" w:type="dxa"/>
          <w:bottom w:w="28" w:type="dxa"/>
          <w:right w:w="28" w:type="dxa"/>
        </w:tblCellMar>
      </w:tblPr>
      <w:tblGrid>
        <w:gridCol w:w="1221"/>
        <w:gridCol w:w="1071"/>
        <w:gridCol w:w="1080"/>
        <w:gridCol w:w="2000"/>
        <w:gridCol w:w="2000"/>
        <w:gridCol w:w="2833"/>
      </w:tblGrid>
      <w:tr>
        <w:trPr/>
        <w:tc>
          <w:tcPr>
            <w:tcW w:w="122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r>
      <w:tr>
        <w:trPr/>
        <w:tc>
          <w:tcPr>
            <w:tcW w:w="3372"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◦ </w:t>
            </w:r>
            <w:r>
              <w:rPr>
                <w:rFonts w:ascii="Times New Roman;sans-serif" w:hAnsi="Times New Roman;sans-serif"/>
                <w:b w:val="false"/>
                <w:color w:val="000000"/>
                <w:sz w:val="20"/>
              </w:rPr>
              <w:t>Study design</w:t>
            </w:r>
          </w:p>
          <w:p>
            <w:pPr>
              <w:pStyle w:val="TableContents"/>
              <w:bidi w:val="0"/>
              <w:spacing w:lineRule="auto" w:line="288" w:before="0" w:after="0"/>
              <w:ind w:left="0" w:right="0" w:hanging="360"/>
              <w:jc w:val="left"/>
              <w:rPr/>
            </w:pPr>
            <w:r>
              <w:rPr>
                <w:color w:val="000000"/>
              </w:rPr>
              <w:t>◦ </w:t>
            </w:r>
            <w:r>
              <w:rPr>
                <w:rFonts w:ascii="Times New Roman;sans-serif" w:hAnsi="Times New Roman;sans-serif"/>
                <w:b w:val="false"/>
                <w:color w:val="000000"/>
                <w:sz w:val="20"/>
              </w:rPr>
              <w:t>Development and justification of acceptance criteria</w:t>
            </w:r>
          </w:p>
          <w:p>
            <w:pPr>
              <w:pStyle w:val="TableContents"/>
              <w:bidi w:val="0"/>
              <w:spacing w:lineRule="auto" w:line="288" w:before="0" w:after="0"/>
              <w:ind w:left="0" w:right="0" w:hanging="360"/>
              <w:jc w:val="left"/>
              <w:rPr/>
            </w:pPr>
            <w:r>
              <w:rPr>
                <w:color w:val="000000"/>
              </w:rPr>
              <w:t>◦ </w:t>
            </w:r>
            <w:r>
              <w:rPr>
                <w:rFonts w:ascii="Times New Roman;sans-serif" w:hAnsi="Times New Roman;sans-serif"/>
                <w:b w:val="false"/>
                <w:color w:val="000000"/>
                <w:sz w:val="20"/>
              </w:rPr>
              <w:t>Onsite facility evaluation and validations</w:t>
            </w:r>
          </w:p>
        </w:tc>
        <w:tc>
          <w:tcPr>
            <w:tcW w:w="6833"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Technical troubleshooting and scientific problem solving</w:t>
            </w:r>
          </w:p>
          <w:p>
            <w:pPr>
              <w:pStyle w:val="TableContents"/>
              <w:bidi w:val="0"/>
              <w:spacing w:lineRule="auto" w:line="288" w:before="0" w:after="0"/>
              <w:ind w:left="0" w:right="0" w:hanging="360"/>
              <w:jc w:val="left"/>
              <w:rPr/>
            </w:pPr>
            <w:r>
              <w:rPr>
                <w:color w:val="000000"/>
              </w:rPr>
              <w:t>◦ </w:t>
            </w:r>
            <w:r>
              <w:rPr>
                <w:rFonts w:ascii="Times New Roman;sans-serif" w:hAnsi="Times New Roman;sans-serif"/>
                <w:b w:val="false"/>
                <w:color w:val="000000"/>
                <w:sz w:val="20"/>
              </w:rPr>
              <w:t>Regulatory compliance related services, including supporting clients through the regulatory submission process</w:t>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expert advisory services provide additional value and expertise at any stage of the product development life cycle. Nelson Labs offers these services on a standalone basis or as a combined offering with our lab testing services, which creates opportunities for cross-selling with our existing customers for both services. Our expert advisory services are also complemented by our ongoing education offerings conducted through webinars, seminars, tailored onsite education sessions and our website.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u w:val="single"/>
        </w:rPr>
        <w:t>Routine Sterility and Quality Control Testing</w:t>
      </w:r>
      <w:r>
        <w:rPr>
          <w:rFonts w:ascii="Times New Roman;sans-serif" w:hAnsi="Times New Roman;sans-serif"/>
          <w:b w:val="false"/>
          <w:color w:val="000000"/>
          <w:sz w:val="20"/>
        </w:rPr>
        <w:t>. Once a product has received regulatory approval and is in production, Nelson Labs provides ongoing quality control testing, including production batch verification testing and environmental testing of the client’s production systems and facilities, the requirements for which vary based on applicable standards. Nelson Labs performs bacterial endotoxin testing or quarterly dose audits for devices sterilized using irradiation, and biological indicator testing for devices sterilized with EO. Nelson also provides testing for producers of non-sterile products to ensure they are free of objectionable organisms. Often, Nelson Labs provides this ongoing routine quality control testing (based on production lot sizes) for the products for which it performed initial validation testing. These products are often sterilized by Sterigenics.</w:t>
      </w:r>
    </w:p>
    <w:p>
      <w:pPr>
        <w:pStyle w:val="TextBody"/>
        <w:bidi w:val="0"/>
        <w:spacing w:before="0" w:after="0"/>
        <w:jc w:val="center"/>
        <w:rPr/>
      </w:pPr>
      <w:r>
        <w:rPr/>
        <w:drawing>
          <wp:inline distT="0" distB="0" distL="0" distR="0">
            <wp:extent cx="6515100" cy="3829050"/>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6515100" cy="3829050"/>
                    </a:xfrm>
                    <a:prstGeom prst="rect">
                      <a:avLst/>
                    </a:prstGeom>
                  </pic:spPr>
                </pic:pic>
              </a:graphicData>
            </a:graphic>
          </wp:inline>
        </w:drawing>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testing process commences when Nelson Labs receives samples and a testing request from the customer. Samples are triaged and assigned to specific lab departments, where laboratory analysts and study directors verify orders and interface with customers directly to clarify, adjust or enhance testing as needed to ensure compliance with regulatory standards. Once the sample has been tested, the order is closed out and results are verified by the study director and a technical reviewer prior to electronic delivery of the final customer report via a secure online customer portal.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an industry that requires significant regulatory and specialized scientific expertise. At a minimum, providers must maintain the proper certifications and accreditations from key regulatory and accreditation bodies, as well as obtain qualification by each customer as a “qualified supplier,” which is often required at the corporate level and at each of the customer’s operating sites. We employ approximately 600 scientists, technicians and service specialists, creating a substantial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competitive advantage in terms of expertise. Our experts serve in predominant roles on a number of standards writing organizations, including the United States Pharmacopeia, AAMI, American Society of Testing and Materials and ISO. We have established credibility and trust with regulators and standards writing organizations which helps us educate customers about the continually changing testing requirements in a complex and evolving regulatory landscape. Our regulatory and scientific expertise in laboratory testing allows us to serve as a thought leader within the industry and provide high-quality service to our customers. We focus on providing highly differentiated services that our customers can rely upon to ensure compliance of and enhance their products. For example, over the course of 15 years, we have developed a proprietary, world-class compound database with over 8,000 known elements which enables our extractables and leachables testing. This database allows us to provide analytical data that differentiates our capabilities from our competitors’.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provide microbiological and analytical chemistry laboratory tests across the medical device and pharmaceutical industries. Specifically, our 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 Our 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 benefits from many of the same underlying growth drivers as our sterilization business, including the global utilization of medical devices and pharmaceutical products and the importance of compliance with continuously evolving global regulatory requirements. In particular, recent global regulatory changes, such as the enactment of the European Union Medical Device Regulation 2017/745 (MDR) and the FDA’s modernization of the premarket notification process under Section 510(k) of the Federal Food, Drug and Cosmetic Act, have increased the requirements for the testing and sterilization of medical devices. The COVID-19 pandemic also increased testing demand due to new FDA Emergency Use Authorizations (EUAs), which define testing criteria necessary for the direct release of masks and respirators to hospitals and clinics without FDA submission. Because we provide product development and validation testing services to clients launching new products or altering existing products, this business benefits from the ongoing technological advances and increasing complexity of medical and pharmaceutical products.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Nelson Labs Customers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 serves approximately 3,000 customers, including many leading medical device manufacturers and pharmaceutical companies. We have recurring and stable customer relationships and benefit from minimal customer concentration. Our services are an essential component in our customers’ research and development and ongoing quality control processes but represent a small portion of end-product cost, which allows us to maintain long-term customer relationships and provide services that are integral to the supply chains of our global customers. We support customers through solutions-focused relationship managers, dedicated service centers and a team-wide service ethic. Nelson Labs has developed a proprietary customer portal that provides our customers quick and convenient access to important product information and customer service. The portal allows our customers to see their tests, status of the tests, estimated completion date and final reports and includes a live chat system connected to our customer service team.</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Nelson Labs Competition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primarily compete in the global lab testing services market with a range of providers, from national or international players to other smaller regional or niche laboratories. Our products and services compete on the basis of the quality of services offered, breadth of services, level of expertise in each testing method, delivery time, level of expertise in the applicable regulatory requirements, our reputation with customers and regulators and the cost of services.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Nelson Labs Suppliers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purchase our lab testing supplies from a number of vendors mainly in the United States and occasionally throughout the world. In many cases we have redundant sources of supplies that minimize our risk of concentration. In addition, some crucial supplies are placed on reserve at specific vendors for our exclusive use.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Nelson Labs Facilities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from a five-building campus in Salt Lake City, Utah, with 85 laboratories including metrology, training, media prep labs, five ISO Class V certified clean rooms and customizable lab spaces. We also have facilities in Itasca, Illinois; Leuven,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 Bozeman, Montana; Pleasant Prairie, Wisconsin; Wiesbaden, Germany, and seven other laboratories embedded in our Sterigenics sterilization facilities in North America, Europe and Asia.</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Nelson Labs Recent Acquisitions</w:t>
      </w:r>
    </w:p>
    <w:p>
      <w:pPr>
        <w:pStyle w:val="TextBody"/>
        <w:bidi w:val="0"/>
        <w:spacing w:lineRule="auto" w:line="25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8, 2021, we acquired BioScience Laboratories, LLC (“BioScience”) located in Bozeman, Montana. BioScience is a provider of outsourced topical antimicrobial product testing in the pharmaceutical, medical device, and consumer industries. BioScience’s expertise in analytical testing and clinical trial services complements Nelson Labs’ existing strengths in antimicrobial and virology testing.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4, 2021, we acquired Regulatory Compliance Associates Inc. (“RCA”), which is headquartered in Pleasant Prairie, Wisconsin. RCA is an industry leader in providing life sciences consulting focused on quality, regulatory, and technical consulting for the pharmaceutical, medical device and combination device industries. RCA expands and further strengthens the technical consulting and expert advisory services capabilities of Nelson Labs.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businesses rely on certain proprietary technologies. Most of the proprietary technologies used in our businesses are unpatented. Some of our technologies, including certain processes, methods, algorithms and proprietary databases, are maintained by the business as trade secrets, which we seek to protect through a combination of physical and technological security measures and contractual measures, such as nondisclosure and confidentiality agreements. We also have limited proprietary technologies that are covered by issued patents or patent applications, in particular related to potential new Co-60 supply opportunities for our Nordion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name recognition of our businesses is a valuable asset. Many of our business names are the subject of trademark registrations or applications in the United States or certain other jurisdictions, or part of registered domain names.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of our values is People. We value a global team that is talented, experienced, diverse, respectful, passionate and collaborative. Our human capital strategy is aligned with our strategy and priorities and focuses on developing and delivering global solutions to attract, develop, engage and retain top talent. On an annual basis, we review our employees to assess performance and leadership potential. We also create succession plans and individual development plans to ensure we have the team needed for the future. As of December 31, 2023, we employed over 3,000 employees worldwide. Certain of our employees, primarily outside the United States, are represented by labor unions or work councils and are negotiating or working under collective bargaining or similar agreements, some of which are subject to periodic renegotiation.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providing a safe work environment for our employees and contractors. We have implemented a health and safety program to manage workplace safety hazards and to protect employees. The program encompasses performance, practices and awareness.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driven to fulfill our customers’ needs with highest quality and care to enable their success.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Governmental Regulation and Environmental Matters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environmental, health and safety laws and regulations in the jurisdictions in which we operate, including laws, regulations and permit requirements with respect to our use of Co-60, EO and E-beam. These requirements limit emissions of, and the exposure of workers to, gamma radiation and EO. Nordion’s Kanata facility is licensed as a Class 1B nuclear facility in Canada, regulated by the Canadian Nuclear Safety Commission (“CNSC”), and is audited across various dimensions of this license on an annual basis. Our Nuclear Substance Processing Facility Operating License, CNSC Export license and CNSC Device servicing licenses for our Kanata facility were renewed in October 2015 for a 10-year period. In addition to the nuclear aspect of our products, many of the products that we process are medical devices directed for human use or products used in the manufacture of medical devices that are directed for human use. Our facilities hold various International Organization for Standardization’s (“ISO”) certifications including ISO 9002, 9001, 13485, 14001, 45001 and 17025. We have device, facility, and specific product registrations with North American (Health Canada and the FDA) and European Drug and Device health regulators. These regulators exert oversight through requirements for a product registration and direct audit of our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operations in the United States and the majority of our facilities outside the United States (to the extent we are processing or testing a product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These requirements include site, contract drug manufacturer and supplier of active pharmaceutical ingredients registration and listing and manufacturing requirements. Regulations issued by the Occupational Safety and Health Administration (“OSHA”), the U.S. Nuclear Regulatory Commission (the “NRC”) and other agencies also require that equipment used at our facilities be designed and operated in a manner that is safe and with proper safety precautions and practices when handling, monitoring and storing EO and Co-60.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strive to comply with these regulatory requirements, we may not at all times be in full compliance and, as a result, could be subject to significant civil and criminal fines and penalties. To reduce the risk of noncompliance, we employ engineering and procedural controls and pollution control equipment and undertake internal and external regulatory compliance audits at our facilities. We have a proactive environmental health and safety (“EH&amp;S”) program and a culture of safety and quality across all business units, and employ a Senior Vice President of Environmental, Health and Safety who reports directly to the Chief Executive Officer and has a team of more than 45 employees. </w:t>
      </w:r>
    </w:p>
    <w:p>
      <w:pPr>
        <w:pStyle w:val="TextBody"/>
        <w:bidi w:val="0"/>
        <w:spacing w:lineRule="auto" w:line="288" w:before="240" w:after="283"/>
        <w:jc w:val="left"/>
        <w:rPr/>
      </w:pPr>
      <w:r>
        <w:rPr>
          <w:rFonts w:ascii="Times New Roman;sans-serif" w:hAnsi="Times New Roman;sans-serif"/>
          <w:b w:val="false"/>
          <w:color w:val="000000"/>
          <w:sz w:val="20"/>
        </w:rPr>
        <w:t xml:space="preserve">For additional information, please see Item 1A, </w:t>
      </w:r>
      <w:r>
        <w:rPr>
          <w:color w:val="000000"/>
        </w:rPr>
        <w:t>“</w:t>
      </w:r>
      <w:r>
        <w:rPr>
          <w:rFonts w:ascii="Times New Roman;sans-serif" w:hAnsi="Times New Roman;sans-serif"/>
          <w:b w:val="false"/>
          <w:color w:val="000000"/>
          <w:sz w:val="20"/>
        </w:rPr>
        <w:t>Risk Factors</w:t>
      </w:r>
      <w:r>
        <w:rPr>
          <w:color w:val="000000"/>
        </w:rPr>
        <w:t>”—</w:t>
      </w:r>
      <w:r>
        <w:rPr>
          <w:rFonts w:ascii="Times New Roman;sans-serif" w:hAnsi="Times New Roman;sans-serif"/>
          <w:b w:val="false"/>
          <w:color w:val="000000"/>
          <w:sz w:val="20"/>
        </w:rPr>
        <w:t>Risks Related to the Company. We are subject 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hurt our revenues, profitability, financial condition or value. We face liability and reputational risks even if we comply with all laws and regulations” and Item 3, “Legal Proceedings.”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EO Regulatory Overview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general environmental laws and regulations, EO facilities and the EO sterilization process are subject to specific regulatory requirements under federal laws in the United States and the laws of the countries in which we operate, including European Union regulations. These additional regulations include specific requirements for permissible employee exposure limits, process safety programs, approved EO containers and their transportation, facility security, quality system programs, emission control systems and emission limits and products allowed to be treated with EO. Some state and local governments have additional environmental laws, stricter regulations or other requirements, including permitting programs that set forth operational parameters for EO sterilization facilities. In the United States, OSHA regulations limit worker exposure to EO. The use of EO for the reduction of bioburden on or sterilization of an approved list of products, including medical devices, pharmaceutical products, spices, and cosmetics is regulated by the U.S. Environmental Protection Agency (“US EPA”) under the Clean Air Act (“CAA”) and the Federal Insecticide, Fungicide and Rodenticide Act (“FIFRA”). In addition, FDA regulations dictate the acceptable amount of EO residue on different types of EO-processed products. Most other countries in which we operate have similar EH&amp;S and worker exposure regulations.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EO sterilization facilities evacuate EO from the sterilization chambers and aeration rooms. Most countries in which we operate have varying emission control requirements for EO emissions from our facilities. We are investing in additional voluntary controls on EO emissions at our facilities to outperform current and expected future regulatory requirements and further reduce facility emissions. In the United States, our supplier maintains FIFRA registrations for EO as a medical device sterilant for users of EO across the United States. The US EPA is in the process of reviewing EO’s FIFRA re-registration eligibility and will likely require enhancements to the processes and equipment for use of EO as a medical device sterilant. The US EPA has also proposed updated National Emission Standards for Hazardous Air Pollutants (“NESHAP”) air emission regulations for EO commercial sterilization facilities that a consent order requires be finalized by March 2024.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regulatory requirements and obligations exist in certain other states, including requirements for the provision of notices regarding the release of or exposure to EO. Some states are considering changes that would impose new requirements for EO commercial sterilization facilities. For example, in December 2023, regulators in California imposed a number of new requirements with which our EO sterilization facilities will need to comply. Bills have been introduced in the U.S. Congress to further regulate EO sterilization activity.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our EO sterilization facilities utilizes a variety of control technologies (including wet scrubbers, catalytic oxidizers and dry bed scrubbers) to control emissions, and we are investing in additional control features to further reduce emissions. For 2024, we expect capital expenditures of approximately $40.0 million related to environmental facility enhancements across all facilities within our business, and we anticipate continuing to invest in environmental facility enhancements in the future.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consistently meet and outperform regulatory emissions control requirements, although we have periodically experienced isolated instances of emissions exceeding applicable standards or other non-compliance, none of which we believe were material. We expect to be able to satisfy any changes to applicable regulatory requirements as they evolve and are committed to doing so, although there can be no assurance that we will always be able to do so.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government regulation, there are standards, guidelines and requirements established by industry organizations and other non-governmental bodies that may impact our operations, such as the ISO’s limit on the permissible levels of residual EO on sterilized medical devices.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Gamma Irradiation Regulatory Overview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Sterigenics is subject to NRC and state regulations that govern operations involving radioactive materials at gamma irradiation plants. These NRC and state regulations specify the requirements for, among other things, maximum radiation doses, system designs, safety features, alarms, employee and area monitoring, testing and reporting. Each of our U.S. gamma plants has a radioactive materials license from the NRC or the state in which it operates. Nordion also has NRC licenses to distribute radioactive material within the United States, which permit Nordion to install and remove Co-60 sources and provide other services to its customers, as well as a license to export radioactive material from the United States to Canada. The NRC periodically updates and issues new security requirements for our U.S. gamma facilities.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Nordion segment operates through our subsidiary Nordion (Canada) Inc. in Canada and REVISS Services in the United Kingdom. Through Nordion, we are subject to additional Canadian regulations, including Transport Canada regulations for the Transportation of Dangerous Goods, CNSC regulations for the General Nuclear Safety and Controls, Health Canada requirements for drugs and devices and CNSC and Canadian Department of Foreign Affairs and International Trade requirements for import and export.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North America, the European Union and other national authorities have developed regulations pertinent to the operation of gamma irradiators that are similar to those of the NRC. While some specific requirements are different in the various other nations as compared to the United States, the fundamental concepts are consistent among the countries, since all are signatories to the International Atomic Energy Agency (“IAEA”) conventions and have adopted safety standards from the IAEA and recommendations from the International Commission on Radiological Protection (“ICRP”).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E-beam and X-ray Irradiation Regulatory Overview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irradiators that use accelerators are regulated by the individual state in which a facility is located. While there is some variability in the content of regulations among states, all are patterned after the general regulations of the NRC. These regulations typically specify the requirements for radiation shielding, system designs, safety features, alarms, employee and area monitoring, testing and reporting. Some E-beam and X-ray facilities require environmental permits too.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of the United States, accelerator regulations are similar among various nations. These regulations are based on the IAEA standards and ICRP recommendations, much like those for gamma irradiators.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240" w:after="283"/>
        <w:jc w:val="left"/>
        <w:rPr/>
      </w:pPr>
      <w:r>
        <w:rPr>
          <w:rFonts w:ascii="Times New Roman;sans-serif" w:hAnsi="Times New Roman;sans-serif"/>
          <w:b w:val="false"/>
          <w:color w:val="000000"/>
          <w:sz w:val="20"/>
        </w:rPr>
        <w:t xml:space="preserve">Our Annual Report, quarterly reports on Form 10-Q, current reports on Form 8-K and amendments to those reports filed or furnished pursuant to Section 13(a) or 15(d) of the Securities Exchange Act of 1934, as amended, are made available free of charge through the Investor Relations page of our internet website at </w:t>
      </w:r>
      <w:r>
        <w:rPr>
          <w:rFonts w:ascii="Times New Roman;sans-serif" w:hAnsi="Times New Roman;sans-serif"/>
          <w:b w:val="false"/>
          <w:color w:val="000000"/>
          <w:sz w:val="20"/>
          <w:u w:val="single"/>
        </w:rPr>
        <w:t>https://investors.soterahealth.com</w:t>
      </w:r>
      <w:r>
        <w:rPr>
          <w:rFonts w:ascii="Times New Roman;sans-serif" w:hAnsi="Times New Roman;sans-serif"/>
          <w:b w:val="false"/>
          <w:color w:val="000000"/>
          <w:sz w:val="20"/>
        </w:rPr>
        <w:t xml:space="preserve">, as soon as reasonably practicable after such documents are electronically filed with, or furnished to, the Securities and Exchange Commission (“SEC”). The SEC maintains an Internet site, </w:t>
      </w:r>
      <w:r>
        <w:rPr>
          <w:rFonts w:ascii="Times New Roman;sans-serif" w:hAnsi="Times New Roman;sans-serif"/>
          <w:b w:val="false"/>
          <w:color w:val="000000"/>
          <w:sz w:val="20"/>
          <w:u w:val="single"/>
        </w:rPr>
        <w:t>www.sec.gov</w:t>
      </w:r>
      <w:r>
        <w:rPr>
          <w:rFonts w:ascii="Times New Roman;sans-serif" w:hAnsi="Times New Roman;sans-serif"/>
          <w:b w:val="false"/>
          <w:color w:val="000000"/>
          <w:sz w:val="20"/>
        </w:rPr>
        <w:t>, that contains reports, proxy and information statements, and other information regarding issuers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describe below certain risks that could adversely affect our business, prospects, financial condition or results of operations. These risk factors may change from time to time and may be amended, supplemented or superseded by updates to the risk factors contained in our future periodic reports on Form 10-Q and reports on other forms we file with the SEC. All forward-looking statements about our future results of operations or other matters made by us in this Annual Report as well as our consolidated financial statements and notes, and in our subsequently filed reports to the SEC, as well as in our press releases and other public communications, are qualified by the risks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Risk Factor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operations are subject to numerous risks, factors and uncertainties, including those outside of our control, that could cause our actual results to be harmed, including risks regarding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 disruption in the availability or supply of, or increases in the price of, EO, Co-60 or our other direct materials, services and supplies, including as a result of geopolitical instability and/or sanctions against Russia by the United States, Canada, United Kingdom or European Union;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fluctuations in foreign currency exchange rates;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changes in environmental, health and safety regulations or preferences, and general economic, social and business conditions;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health and safety risks associated with the use, storage, transportation and disposal of potentially hazardous materials such as EO and Co-60;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and outcome of current and future legal proceedings and liability claims, including litigation related to the use of EO and/or emissions and releases of EO from our facilities in Illinois, Georgia and New Mexico and the possibility that other claims will be made in the future relating to these or other facilities;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allegations of our failure to properly perform services and potential product liability claims, recalls, penalties and reputational harm;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compliance with the extensive regulatory requirements to which we are subject, the related costs, and any failures to receive or maintain, or delays in receiving, required clearances or approvals;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adverse changes in industry trends;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competition we face;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market changes, including inflationary trends in input costs such as labor, raw materials and energy, that impact our long-term supply contracts with variable price clauses and increase our cost of revenues;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business continuity hazards, including supply chain disruptions and other risks associated with our operations;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risks of doing business internationally, including global and regional economic and political instability, existing and future sanctions and compliance with numerous and sometimes inconsistent laws and regulations in multiple jurisdictions;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increase capacity at existing facilities, build new facilities in a timely and cost-effective manner and renew leases for our facilities;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ability to attract and retain qualified employees;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severe health events or environmental events;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cyber-security breaches, unauthorized data disclosures, and our dependence on information technology systems;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 inability to pursue strategic transactions, find suitable acquisition targets, or integrate strategic acquisitions into our business successfully;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ability to maintain effective internal controls over financial reporting;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reliance on intellectual property to maintain our competitive position and the risk of claims from third parties that we have infringed or misappropriated or are infringing or misappropriating their intellectual property rights;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ability to comply with rapidly evolving data privacy and security laws and regulations in various jurisdictions (including California and the European Union) and any ineffective compliance efforts with such laws and regulations;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maintain profitability in the future;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impairment charges on our goodwill and other intangible assets with indefinite lives, as well as other long-lived assets and intangible assets with definite lives;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effects of unionization efforts and labor regulations in the United States, Canada and other countries in which we operate;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adverse changes to our tax positions in U.S. or non-U.S. jurisdictions or the interpretation and application of recent U.S. tax legislation or other changes in U.S. or non-U.S. taxation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 prevent us from meeting our obligations under our existing and future indebtedness;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substantial control that certain investment funds and entities affiliated with Warburg Pincus and GTCR, which we refer to collectively as the “Sponsors,” continue to have over us, which could limit stockholders’ ability to influence the outcome of key transactions, including a change of control;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fact that we are presently considered a “controlled company” within the meaning of the Nasdaq corporate governance standards and thereby qualify for exemptions from certain corporate governance requirements, which means that, if we were to utilize these exemptions, our stockholders may not have the same protections afforded to stockholders of companies that are subject to such requirements.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the Company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depend on a limited number of counterparties to provide the materials and resources we need to operate our business. Any disruption in the availability of, or increases in the price of, EO, Co-60 or our other direct materials, services and supplies, including as a result of geopolitical instability or sanctions against Russia by the United States, Canada, the United Kingdom and the European Union, may have a material adverse effect on our operating results.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purchase certain direct materials, equipment and services necessary for our specialized products and services from a limited number of suppliers and subcontractors, and, in certain cases, we purchase large quantities of product from a sole supplier. If our significant suppliers or service providers were unable to meet their obligations under present arrangements, direct materials or equipment were to become unavailable within the geographic area from which they are now sourced, or supplies were otherwise constrained or disrupted for any reason (including as a result of a natural disaster, the unavailability or short-supply of raw materials or services, changes in regulatory requirements, delays in securing required regulatory approvals, geopolitical instability, sanctions or other adverse occurrences), we may incur increased costs for our direct materials or equipment and may be unable to accommodate new business or meet our current customer commitments. For example, although there is more than one supplier of EO in most of the countries in which we operate, in the United States there is a single supplier for EO for our sterilization business. Further, our reliance on a single or limited number of suppliers may limit our negotiating power, particularly during times of rising direct material costs. Any interruptions that we experience in our supply of EO or Co-60 may disrupt, interrupt or shut down portions of our operations, materially increase our costs or have other adverse effects on our business, prospects, financial condition or results of operations.</w:t>
      </w:r>
    </w:p>
    <w:p>
      <w:pPr>
        <w:pStyle w:val="TextBody"/>
        <w:bidi w:val="0"/>
        <w:spacing w:lineRule="auto" w:line="288" w:before="240" w:after="283"/>
        <w:jc w:val="left"/>
        <w:rPr/>
      </w:pPr>
      <w:r>
        <w:rPr>
          <w:rFonts w:ascii="Times New Roman;sans-serif" w:hAnsi="Times New Roman;sans-serif"/>
          <w:b w:val="false"/>
          <w:color w:val="000000"/>
          <w:sz w:val="20"/>
        </w:rPr>
        <w:t>We source a substantial portion of our Co-60 supply from three nuclear reactor operators and five reactor sites in Canada and Russia under contracts that extend to between 2025 and 2064. See Item 1,</w:t>
      </w:r>
      <w:r>
        <w:rPr>
          <w:color w:val="000000"/>
        </w:rPr>
        <w:t xml:space="preserve"> “</w:t>
      </w:r>
      <w:r>
        <w:rPr>
          <w:rFonts w:ascii="Times New Roman;sans-serif" w:hAnsi="Times New Roman;sans-serif"/>
          <w:b w:val="false"/>
          <w:color w:val="000000"/>
          <w:sz w:val="20"/>
        </w:rPr>
        <w:t>Business—Our Businesses—Sterilization Services—Nordion—Nuclear Reactor Operators.” If there is a decrease in output from any of these reactors (including as a result of a natural disaster or other adverse occurrence), the counterparties fail to perform under their agreements with us or decline to enter into renewal contracts with us for our future supply needs and we are unable to obtain supply from other sources, or if such sources begin to compete with us in one or more geographies, this could have a material adverse effect on our business. In addition, a number of reactors that have the capacity to generate Co-60 are government owned. Priorities of governments can change. Repurposings in the past of a government-owned reactors have decreased the availability of Co-60 and potential repurposings in the future could decrease the availability of Co-60, which could have a material adverse effect on our business, prospects, financial condition or results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approximately 20% of our long-term supply of Co-60 will be generated by Russian nuclear reactors. Further, over the next few years, we expect that there will be periods when, owing to planned or unplanned outages and variability in supply from reactors located in other countries, the proportion of our supply from Russian reactors may increase to as much as approximately 50% in a given year. The United States, Canada, United Kingdom and European Union have imposed and are expected to continue imposing sanctions against Russian industries, Russian officials and certain Russian companies, banks, logistics providers and individuals. Russia has responded and is expected to continue to respond with countermeasures, including prohibiting imports of certain goods from certain other countries and exports of certain goods from Russia to certain other countries.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Expanded sanctions could target additional government- and privately-owned operations in Russia, including nuclear reactor operators, banks and logistics providers, and could prevent us from doing business with them. For example, certain banks through which our suppliers have been paid in the past have been sanctioned and there is no assurance the suppliers will continue to be able to find new, unsanctioned banking relationships in the future. Moreover, although Co-60 has not been sanctioned directly, sanctions on imports of other products and materials from Russia have disrupted the logistics required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 Co-60 from Russia, requiring us, our logistics providers (including the single ocean carrier that is presently licensed to carry radioactive goods from Russia to North America) and insurers to seek licenses that will come up for renewal in 2024 and 2025. If present or future sanctions against Russia directly or indirectly impede the shipment of Co-60 from Russia to North America, if we or our logistics providers are unable to secure or renew licenses under existing or future sanctions, if we are unable to identify international logistics providers needed for the supply of Co-60 from Russia or if Russia responds with further countersanctions, it may generally become more difficult to do business with Russian entities, which could have a material adverse effect on our business, prospects, financial condition or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environmental, health and safety regulations or preferences may negatively impact our business.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state, local and international authorities regulate operations within our three business units, including the operation of our gamma irradiation and EO processing plants, as well as the operations of our customers. If the regulators that govern our operations or the operations of our customers were to institute severely restrictive policies or regulations that increase our costs or change the preferences or requirements of our customers, demand for our products and services may be materially affected. Additionally, certain regulators, including the FDA, have started initiatives to encourage development of sterilization alternatives to EO processing. For example, the FDA approved vaporized hydrogen peroxide (VHP) as a Category-A sterilization methodology in January 2024. We have taken part in some of these initiatives. We have also made proactive, voluntary investments to enhance the emissions controls and employee protections within our EO facilities. Still, new regulations or changes to existing or expected regulations may require additional investments in new emissions control or employee protection technology or otherwise increase the cost of our gamma irradiation or EO processing. See related Risk Factor “—We are subject 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hurt our revenues, profitability, financial condition or value. We face liability and reputational risks even if we comply with all laws and regulations.” Reconfiguring a gamma irradiation or EO processing plant so that it is suitable for a different sterilization technology, in response to changes in demand, regulations or other factors, would require significant capital investment and require us to suspend operations at the affected facility during the conversion. Any of the foregoing could have a material adverse effect on our business, prospects, financial condition or results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Safety risks associated with the use, storage and disposal of potentially hazardous materials, such as EO and Co-60, may result in accidents or liabilities that materially affect our results of operations.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EO is flammable and potentially explosive. Despite our extensive safety measures, a fire or explosion could occur at a sterilization facility where we use EO, which could interrupt our normal operations and result in facility closures, workplace injuries, property damage, or otherwise adversely affect our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Co-60 is radioactive, its containment and proper shielding is important in preventing contamination or improper exposure. If the double-encapsulated Co-60 pencils were to become damaged or corroded, Co-60 sources could develop a source leak, leading to radioactive contamination requiring comprehensive clean-up of the storage pool. Similarly, physical damage to the protective stainless-steel covering during the process of adding or removing Co-60 rods from an irradiator could also result in a source leak and contamination incident. Clean-up and disposal costs for damaged Co-60 rods and radioactive contamination could be significant. If any liability claims are made against us in the future, we could be liable for damages that are alleged to have resulted from such exposure or contamination.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Potentially hazardous materials must be handled and disposed of properly. Accidents involving disposal or handling of these substances, including accidents resulting from employees failing to follow safety protocols, could result in injury to people, property or the environment, as well as possible disruptions, restrictions or delays in production, and have in the past and could in the future result in claims relating to such events. For example, members of our workforce have been injured in our facilities and we have experienced property damage, production disruptions and temporary facility closures. Any injuries or damage to people, equipment or property or other disruptions in the disposal, production, processing or distribution of products could result in a significant decrease in operating revenue, a significant increase in costs to replace or repair and insure our assets and substantial reputational harm, which could materially adversely affect our business, prospects, financial condition or results of operations, and could have legal consequences that affect our ability to continue to operate the affected facility. Our customers served by an affected facility could choose to switch to an alternative sterilization service provider.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incident at or emission from any of our EO, gamma or lab facilities that causes harm to workers or people who live, work, attend school or otherwise spend significant amounts of time near our facilities, or the interruption of normal operations at our facilities, could result in claims against us and, if those claims are successful, substantial liability to us. We are currently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of lawsuits alleging that purported EO emissions from certain of our current and former facilities have resulted in toxicological or health-related impacts on the environment and the communities that surround these facilities. We deny these allegations. We have also from time to time been involved with workers’ compensation claims relating to potentially hazardous materials. We may be subject to similar claims in the future, and one or more adverse judgments could result in significant liability for us and have a material adverse effect on our business, financial condition and results of operations. See related Risk Factors “—We are currently defending certain litigation, and we are likely to be subject to additional litigation in the future” and “—Potential health risks associated with the use of EO may subject us to future liability claims and associated adverse effects.”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Nordion contracts for the activation of Co-59 “targets” (cobalt pellets and slugs) into Co-60 in certain nuclear reactors in Canada and Russia. Our Co-59 targets (and in Canada, our adjuster rods provided to us by a supplier) function as part of the reactors’ reactivity control systems. While national laws or international conventions generally channel liability for nuclear incidents exclusively to reactor operators, equipment suppliers nevertheless could be subject to lawsuits for damage to the nuclear installation or damages from a nuclear incident that were allegedly intentionally caused. While we make efforts to protect our interests through contractual provisions, quality assurance programs and the nature of our commercial relationships, there is no assurance that any of these measures or liability channeling laws or conventions will always prove effective in shielding us from liability, and any such liability or consequences could have a material adverse impact on our business, results of operation and financial condition.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carry pollution liability insurance for all our facilities and related operations and liability insurance, including from third party bodily injury or property damage allegedly arising from the storage, use, transportation or accident involving Co-60 sources throughout our operations. But this insurance may not cover all risks associated with the potential hazards of our business and is subject to limitations, including deductibles and maximum liabilities covered. We may incur losses beyond the limits, or outside the coverage, of our insurance policies. Additionally, our insurance for future alleged environmental liabilities excludes coverage for EO claims. Our ability to increase pollution liability insurance limits or replace any policies upon their expiration without exclusions for claims related to alleged EO exposure has been adversely impacted by claims against us, including pending claims alleging that purported EO emissions from certain of our facilities have resulted in toxicological or health-related impacts on the environment and the communities that surround these facilities. To the extent any pollution liability is not covered by our insurance or able to be recovered from other parties, our business, financial condition or results of operations could be materially adversely affected.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Potential health risks associated with the use of EO may subject us to future liability claims and associated adverse effects.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Potential health risks associated with exposure to EO subject us to the risk of liability claims being made against us by workers, contractors, employees of our customers and individuals who have resided, worked, attended school or otherwise spent time within miles of our EO sterilization facilities. Assessments of the potential health risks of exposure to EO have evolved over time. For example, although EO is present in the environment from a variety of sources and naturally produced by the human body, the US EPA has identified a potential for increased risk of certain cancers from exposure to EO emitted from sterilization facilities. In 2016, the US EPA published its Integrated Risk Information System toxicity assessment of EO (the 2016 “IRIS Assessment”), and, since 2018, the US EPA has published National Air Toxics Assessments (“NATA”), which have been succeeded by Air Toxics Screening Assessments. These assessments have used the 2016 IRIS Assessment and other data to identify EO as a potential cancer concern in several areas across the country, including areas surrounding our former facility in Willowbrook, Illinois and our facilities in Atlanta, Georgia and Santa Teresa, New Mexico. Although we and other organizations disagree with the US EPA’s assessments of the carcinogenic potency of EO, Sterigenics’ facilities and other EO facilities could continue to be the subject of unfavorable air quality assessments, regulations and other initiatives as risk assessments of EO continue to evolve.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in November 2023, the Agency for Toxic Substances and Disease Registry (ATSDR), a branch of the U.S. Department of Health and Human Services, issued a Preliminary Health Consultation expressing “concern for an increased lifetime risk of cancer associated with long-term exposure for people who breathed the air within one mile of [Sterigenics’ EO facility in Willowbrook, Illinois] for years prior [to the closing of the facility in] February 2019.” ATSDR scientists subsequently discussed the Preliminary Health Consultation at a virtual public meeting in late November 2023. Although Sterigenics submitted comments highlighting the flaws in ATSDR’s continued reliance on the 2016 IRIS Assessment and other aspects of ATSDR’s methodology and clarifying that the Preliminary Health Consultation reached findings on hypothetical cancer risks from low level EO emissions that are contrary to the available scientific evidence, we can give no assurance as to the impact of such EO risk or air quality assessments on our business, prospects, financial condition, litigation and regulatory risks or results of operations. See related Risk Factor “—We are subject to extensive regulatory requirements and routine regulatory audits in our operations. We must receive permits, licenses and/or regulatory clearance or approval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operations. Compliance with these regulations is costly, and failure to comply with all laws and regulations or to receive or maintain permits, licenses, clearances or approvals may hurt our revenues, profitability, financial condition or value. We face liability and reputational risks even if we comply with all laws and regulations.”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subject to lawsuits in Illinois, Georgia and New Mexico alleging personal injury, property devaluation and other claims related to our use of EO at, or emissions and releases of EO from our facilities. Additional personal injury and property devaluation claims have been threatened. We deny these allegations. See related Risk Factor “—We are currently defending certain litigation, and we are likely to be subject to additional litigation in the future,” Item 3, “Legal Proceedings” and Note 20, “Commitments and Contingencies” to our consolidated financial statements. We may be subject to other claims by private plaintiffs and/or state or local governments and/or agencies in the future relating to our current or former facilities. In addition, we have encountered and may continue to encounter resistance, protests or other actions in communities where our existing facilities are located or where we seek to establish or expand facilities based on perceptions within these communities of the risks associated with exposure to EO. Publicity regarding community resistance to EO facilities may also have other adverse impacts, including damage to our reputation and public pressure against our facilities that may affect our ability to conduct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the subject of other lawsuits related to use, emissions and releases of EO, that litigation, regardless of the merits of the claims at issue or the ultimate outcome of the case, could result in a substantial cost to us and could have a material adverse effect on our business, prospects, financial condition or results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currently defending certain litigation, and we are likely to be subject to additional litigation in the future.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exposes us to significant potential risk from lawsuits, investigations and other legal proceedings. We are currently pursuing and defending various proceedings and will likely be subject to additional proceedings in the future, including potential litigation regarding the products and services we provide or which we or our predecessors have provided. As detailed in Note 20, “Commitments and Contingencies” to our consolidated financial statements under the heading “Ethylene Oxide Tort Litigation,” we are currently subject to lawsuits in Illinois, Georgia and New Mexico brought by private plaintiffs and, in the case of New Mexico, a government entity, alleging personal injury, property devaluation and other claims related to our use, emissions and releases of EO.</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such litigation, plaintiffs typically seek various remedies, including injunctive relief and compensatory and punitive damages. Settlement demands may seek significant payments and other remedies, or otherwise be on terms that we do not consider reasonable under the circumstances. Settlement negotiations may result in agreements to settle claims on various terms and conditions adverse to the Company, including significant payments to settle claims that we believe are without merit. In some instances, even if we comply with applicable laws and regulations, including those relating to emission standards, an adverse judgment or outcome may occur based on other applicable laws or principles of common law, including negligence and strict liability, and result in significant liability and reputational damage for us. Defense of litigation may result in diversion of management attention from other priorities. We may be subject to future claims in addition to those described above by or on behalf of similar groups of plaintiffs, including potentially our employees or former employees, relating to any of our current or former facilities or activities. In addition, awards against and settlements by us or our competitors or publicity associated with EO-related litigation could incentivize parties to bring additional claims against 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impact of litigation, particularly class action and mass action lawsuits, is difficult to assess or quantify. The outcomes of jury trials are unpredictable and a judgment entered or settlement reached in one case is not representative of the outcome of other seemingly comparable cases. If we are the subject of future lawsuits, regardless of the merits of the claims at issue or the ultimate outcome of a case, any litigation could be costly to defend, result in an increase of our insurance premiums, and exhaust any available insurance coverage. Claims against us that result in entry of a judgment or that we settle that are not covered or not sufficiently covered by insurance policies, or which fall within retained liability under our policies, could have a material adverse impact on our business, prospects, financial condition or results of operations. Our current environmental liability insurance does not cover claims related to EO. Even where we have coverage under prior or existing policies for claims brought against us, our insurance may not be adequate to cover all potential liabilities and losses arising from those claims, and we have significant self-insured retention amounts, which we would have to pay in full before obtaining any insurance proceeds. Additionally, even where a claim should be covered by insurance, an insurer might refuse coverage. To the extent our insurance coverage is inadequate and we are not successful in identifying additional coverage for such claims, we would have to pay any costs or losses in excess of policy limits, including costs to defend such claims, and the amount of any settlement or judgment. For example, while our historical environmental liability insurance covered litigation related to our use, emissions and releases of EO, like the litigation pending in Illinois, Georgia and New Mexico referenced above, the policy under which we have received coverage had limits of $10.0 million per occurrence and $20.0 million in the aggregate. Those per occurrence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aggregate limits were fully utilized in the defense of the Illinois, Georgia and New Mexico litigation. Any settlement or judgment against us arising out of pending or future claims related to EO would likely exceed any insurance recoveries available to us and could have a material adverse effect on our business, prospects, financial condition or results of operations. See Note 20, “Commitments and Contingencies” to our consolidated financial statements for more detail on our pending litigation.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received an adverse judgment and may in the future receive other adverse judgments in litigation relating to our use, emissions and releases of EO. Despite our belief that these claims are not supported by the science and otherwise without merit, we have entered and may in the future enter into agreements to settle claims relating to our use, emissions and releases of EO. The resolution of these matters by litigation or settlement may have a negative impact on our financial condition and liquidity in the near and long terms.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elsewhere in Note 20, “Commitments and Contingencies” to our consolidated financial statements under the heading “Ethylene Oxide Tort Litigation,” we are subject to tort lawsuits alleging injuries caused by our use of EO and low-level environmental exposure to EO emissions and releases from certain of our sterilization facilities. Trials were conducted in the Circuit Court of Cook County, Illinois in late 2022 in two individual cases related to the Willowbrook, Illinois facility. The first trial resulted in a verdict for the plaintiff and a judgment of $358.7 million (including $320 million in punitive damages) against Sterigenics U.S., LLC and Sotera Health LLC (the “Defendant Subsidiaries”). Two months later, the second trial resulted in a verdict for the Defendant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the Defendant Subsidiaries entered into binding term sheets that provided an agreed path to pay $408.0 million to settle over 880 claims related to our former facility in Willowbrook, Illinois, including the claim of the plaintiff in the first trial. The settlement was finalized in June 2023. Two plaintiffs opted out of the settlement and 23 more cases have since been brought relating to the Willowbrook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the Defendant Subsidiaries entered into binding term sheets to pay $35 million to resolve 79 claims related to the Atlanta, Georgia facility, including a case that was scheduled to begin trial in the State Court of Gwinnett County in late October 2023. The settlement was finalized with 100 percent participation by the 79 eligible claimants in January 2024. Approximately 245 consolidated personal injury claims, 2 unconsolidated personal injury lawsuits and 365 consolidated property devaluation claims related to the Atlanta facility remain pending in the State Court of Cobb County, Georgia.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face two lawsuits in New Mexico relating to emissions and releases of EO from our facility in Santa Teresa, New Mexico. New lawsuits relating to our use, emissions and releases of EO could be filed in Illinois, Georgia, New Mexico or other locations where we have facilities, and publicity about judgments or settlement agreements may increase interest in EO litigation and result in new claims being filed.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believe that the EO-related claims are without merit and intend to vigorously defend the remaining EO cases and any future EO cases. We do not believe the damages award in the first trial in Illinois is predictive of potential future damage awards in the other EO tort cases, or that the settlement amounts reflected in the Willowbrook or Atlanta settlements described above are predictive of potential future settlements, but there can be no assurance that any cases proceeding to trial will not result in significant judgments adverse to the Defendant Subsidiaries and future settlements of EO cases are reasonably possible. In the event the Defendant Subsidiaries receive one or more additional adverse judgments in any EO tort case(s), the Defendant Subsidiaries may be required to post security of a significant amount to stay those judgments through the appeals process, which would create uncertainty about whether and how the Defendant Subsidiaries could post such collateral without support from Sotera Health Company or other corporate affiliates and whether Sotera Health Company could and would provide parent credit support to stay enforcement of any future judgments.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Actions required to secure appellate bonds may create a substantial strain on the Defendant Subsidiaries’ and our liquidity and financial condition. There is no assurance that the Defendant Subsidiaries or we will meet the requirements to provide an appellate bond(s) for appeals of any future adverse judgments. If the Defendant Subsidiaries are unable to meet those requirements and are not able to secure an appellate bond when and in the form and amount required by the courts for the appeal to proceed, the judgment(s) will become enforceable and may exceed the Defendant Subsidiaries’ ability to pay in cash. If the Defendant Subsidiaries are unable to pay in cash, the Defendant Subsidiaries or we may be required to seek financing, sell assets or take other measures to address the judgments. There can be no assurance that the Defendant Subsidiaries or we will be able to secure such financing, and any sales of assets or other such actions taken to attempt to satisfy judgments may significantly limit our liquidity, harm our financial condition and increase our leverage.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Enforceable judgments in excess of $100.0 million that are not stayed or remain undischarged for a period of sixty consecutive days would constitute an event of default under our senior secured credit facilities. Thus, if the Defendant Subsidiaries are unable to meet collateral requirements to post an appellate bond to stay the enforceability of a judgment, absent judicial relief, we may be required to negotiate with our current lenders to avert a default under our senior secured credit facilities and the success of such negotiations cannot be assured.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Allegations of our failure to properly perform our services may expose us to potential product liability claims, recalls, penalties and reputational harm or could otherwise cause a material adverse effect on our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the risk of financial exposure to product and other liability claims alleging that our failure to adequately perform our services resulted in adverse effects, including product recalls or seizures, adverse publicity and safety alerts. In our Sterigenics business, for example, while our customers are generally responsible for determining the cycle parameters (the levels of temperature, humidity and EO concentration to which products are exposed during the sterilization process and the duration of such exposure) or dosage specifications (the amount of gamma or E-beam irradiation to which products are exposed) for their products, we are required to certify that such cycle or dosage parameters were achieved. If we fail to process a customer’s product in accordance with the cycle parameters, dosage specifications or testing requirements prescribed by the customer, our standard contract requires us to inform our customer of the nonconformance, to reprocess or retest the product if that is a feasible alternative and to reimburse the customer (subject to a maximum) for the cost of any products that are damaged as a result of the nonconformance. We could be held liable for personal injury, contractual or other damages that are alleged to result from improper or incorrect processing, cycle parameters or dosage specifications, testing or product damage. Even where processing occurred within cycle parameters, we have faced and may face future claims resulting from processing. In our Nelson Labs business, if we fail to perform our services in accordance with regulatory requirements for medical products, regulatory authorities may take action against us or our customers. Regulatory authorities may disqualify certain analyses from consideration in connection with marketing authorizations, which could result in our customers not being able to rely on our services in connection with their submissions, may subject our customers to additional studies or testing and delays in the development or authorization process, and may lead our customers to take actions such as terminating their contracts with us. We could also face claims that we performed erroneous or out-of-specification testing or data integrity complaints, any of which could require retesting and result in claims of economic or other loss or personal injury.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our Nelson Labs business, through the acquisition of BioScience in March 2021, we periodically engage in clinical trials or studies and are subject to additional regulatory requirements, including those relating to human subject protection, good clinical practices and data privacy. Any actual or perceived failure to meet such requirements may result in regulatory authorities taking action against us or our customers, and we may face claims, or be held liable or otherwise subject to unfavorable scrutiny, for harm allegedly caused to human subjects.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limited revenue from government customers. Our government contracts may contain additional requirements that may increase our costs of doing business, subject us to additional government scrutiny and expose us to liability for failure to comply with additional government requirements. In our Nordion business, our processing and sale of medical-grade Co-60 used for radiation therapy involves an inherent risk of exposure to product liability claims, product recalls and product seizures. In addition, our installation of irradiators for our customers could expose us to design defect product liability claims, whether or not such claims are valid. A product liability judgment against us could also result in substantial and unexpected costs, affect customer confidence in our products, damage our reputation and divert management’s attention from other responsibilities.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maintain product and professional liability insurance coverage in amounts we believe are customary for a company of our size, there can be no assurance that this level of coverage is adequate or that we will be able to continue to maintain our existing insurance or obtain comparable insurance at a reasonable cost, if at all. In addition, insurance coverage is subject to exclusions, which change from time to time based on industry developments. Our current product and professional liability insurance does not cover matters related to EO emissions, for example. A product recall or seizure or a partially or completely uninsured judgment against us could have a material adverse effect on our business, prospects, financial condition or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are subject 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hurt our revenues, profitability, financial condition or value. We face liability and reputational risks even if we comply with all laws and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industry is characterized by evolving regulations, and our operations are subject to extensive regulation in the United States and other countries where we do business. We are regulated by national and local agencies with jurisdiction over a number of areas directly or indirectly related to our businesses, including environmental, nuclear safety, homeland or national security, worker safety and health, food, drug and device manufacturing, fire protection, research, and marketing, transportation, drug enforcement (governing the handling of controlled substances), protection against infectious diseases and pathogens and agriculture, fish and wildlife. These laws and regulations regulate our use of potentially hazardous materials, such as EO, Co-60 and E-beam, and can require us to carefully manage, control emissions of and/or limit human exposure to, these materials. For example, OSHA regulations and similar laws in other jurisdictions limit worker exposure to EO. In addition, FDA and comparable foreign regulations dictate the acceptable amount of EO residue on different types of sterilized products. In most jurisdictions, we are required to maintain and operate pollution control equipment to minimize emissions and releases of EO. Regulations issued by OSHA, the NRC and other agencies also require that equipment used at our facilities be designed and operated in a manner that is safe.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the use of EO for medical device sterilization is regulated by the US EPA under the CAA and FIFRA. Our supplier maintains a FIFRA registration for the EO they sell in the United States that is used to sterilize or reduce the viable microorganisms on a listed group of products, including medical devices, pharmaceutical products, cosmetics and spice products. The US EPA is in the process of reviewing EO’s FIFRA re-registration eligibility in accordance with the provisions of FIFRA. In November 2020, the US EPA released a draft risk assessment for public comment regarding the re-registration review, stating that additional mitigation measures are necessary to protect the health of workers at facilities that use EO and surrounding communities. In April 2023, the US EPA proposed stricter EO regulations based on the 2016 IRIS Assessment through a proposed interim decision (“PID”) under FIFRA that sets forth measures designed to mitigate EO exposure for workers exposed to EO in occupational settings. The PID includes a number of proposed requirements that are inconsistent with existing industry practices and proposed implementation timelines that would be difficult for existing facilities to meet. The next step in the FIFRA re-registration process will be for the US EPA to issue an interim decision (“ID”), which is expected by the third quarter of 2024. We expect the ID to require significant enhancements to the processes and equipment used for the listed applications and the conditions ultimately required for continued use of EO may impose on us significant additional costs. Any future failure of the US EPA to allow the FIFRA re-registration of EO would have a material adverse effect on our business, prospects, financial condition or results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2023, the US EPA also proposed updated NESHAP regulations based on the 2016 IRIS Assessment that would govern EO sterilization facilities like ours and require these facilities to implement additional air pollution technologies, practices and procedures designed to further reduce EO emissions from EO facilities. Like those reflected in the PID, the proposed updates to NESHAP contain a number of requirements that are inconsistent with existing industry practices and an implementation timeline that may be difficult for existing facilities to meet. The public comment period for the NESHAP and PID proposals closed in June 2023, and the US EPA is required by a consent order to adopt final NESHAP requirements by March 2024.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been implementing enhancements at our EO sterilization facilities that we expect will facilitate our ability to meet many of the US EPA’s proposed NESHAP and PID requirements, certain aspects are untested or not widely adopted at existing EO sterilization facilities. Compliance with the proposals in the form proposed by the US EPA in April 2023 would require additional facility modifications as well as additional capital and operational costs. Some requirements (if adopted as proposed) could be unachievable at our EO facilities and existing EO facilities throughout the industry, particularly within the 18-month implementation period contemplated by the US EPA’s April 2023 proposals for existing facilities to come into compliance with many of the proposed requirements.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US EPA has engaged in additional regulatory activities relating to EO emissions that could trigger additional community concerns and litigation regarding EO that could cause us to incur material defense costs, could result in diversion of management resources, and potentially could cause us to incur material liability or settlement costs or have other adverse effects on our business, financial condition, or operations. For example, in 2021 the US EPA Office of the Inspector General published multiple reports critical of the US EPA’s communications about risks related to EO facilities, including Sterigenics former and current facilities in Willowbrook and elsewhere, and suggesting that the US EPA should conduct a new residual risk and technology review for EO emitting industrial source categories. In addition, in December 2021, the US EPA expanded the scope of reporting requirements to require most EO sterilization facilities in the U.S., including Sterigenics facilities, to report their EO emissions to a US EPA database starting in 2022. Since 2022, the US EPA has been conducting outreach sessions in communities located near commercial EO sterilization facilities. Such community outreach sessions have in the past, and may in the future, create community concerns and increase the risk of litigation near commercial EO sterilization facilities, including ours, notwithstanding facility compliance with applicable rules and control of emissions beyond the requirements of applicable rules.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authorities, including California and the South Coast Air Quality Management District (“SCAQMD”) in Southern California, are also conducting community outreach sessions relating to EO commercial sterilization facilities. SCAQMD adopted new regulations in December 2023 and is expected in 2024 to publish new health risk assessments and conduct community meetings about risks related to EO emissions from Sterigenics facilities in Los Angeles and Ontario, California. The European Union has also been reviewing current regulations for the use of EO in EO sterilization facilities and in 2023, decided that EO as a sterilizing agent for medical devices will fall under the scope of the European Union Medical Devices Regulation, which may impose new and different regulatory requirements for the use of EO in the European Union. We expect to incur capital costs for enhancements to our equipment and to implement process automation and emission control enhancements to comply with these and other evolving requirements. If future regulations differ from our current expectations, they may require additional modifications and capital costs beyond what we have budgeted for, which could be material. New standards for commercial EO sterilization, such as new US EPA standards based on the 2016 IRIS Assessment, could also make it more difficult and expensive to raise capital for future investments in EO sterilization facilities.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our gamma irradiation facilities are heavily regulated, including by the NRC and state regulations. These laws and regulations specify the requirements for, among other things, maximum radiation doses, system designs, safety features and alarms and employee monitoring, testing and reporting. While some specific requirements are different in the various jurisdictions other than the United States, the fundamental concepts are consistent inasmuch as all are signatories to the IAEA conventions and have adopted safety standards from the IAEA and recommendations from the ICRP. The design, construction and operation of sterilization and lab testing facilities are highly regulated and require government licenses, including environmental approvals and permits, and may be subject to the imposition of related conditions that vary by jurisdiction. In some cases, these approvals and permits entail periodic review. We cannot predict whether all licenses required for a new facility will be granted or whether the conditions associated with such licenses will be achievable. Changes in these laws and regulations have the potential to increase our costs.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operations in the United States and the majority of our facilities outside the United States (to the extent we are processing a product in that facility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From time to time, the FDA issues Form 483 findings related to our operations and may issue warning letters or take other administrative or enforcement actions for noncompliance with FDA laws and regulations. The issues raised by such warning letters and related administrative actions require significant resources and time to correct. Failure to comply with regulatory requirements could have a material adverse effect on our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Nordion in the future ceases to operate its facility in Kanata, Canada, Nordion will be responsible for the radiological decommissioning of such facility, including in respect of the portion leased by BWX Technologies, Inc. in connection with its 2018 acquisition of the Medical Isotopes business to the extent any contamination precedes such transaction. In addition, if Sterigenics in the future ceases to operate any of its irradiation facilities, it will be responsible for decommissioning costs in respect of such facilities. We currently provide financial assurance for approximately $48.2 million of such decommissioning liabilities in the aggregate in the form of letters of credit, surety bonds or other surety. Such potential decommissioning liabilities may be greater than currently estimated if additional irradiation facilities are licensed, unexpected radioactive contamination of those facilities occur, regulatory requirements change, waste volume increases, or decommissioning cost factors such as waste disposal costs increase. </w:t>
      </w:r>
    </w:p>
    <w:p>
      <w:pPr>
        <w:pStyle w:val="TextBody"/>
        <w:bidi w:val="0"/>
        <w:spacing w:lineRule="auto" w:line="288" w:before="240" w:after="283"/>
        <w:jc w:val="left"/>
        <w:rPr/>
      </w:pPr>
      <w:r>
        <w:rPr>
          <w:rFonts w:ascii="Times New Roman;sans-serif" w:hAnsi="Times New Roman;sans-serif"/>
          <w:b w:val="false"/>
          <w:color w:val="000000"/>
          <w:sz w:val="20"/>
        </w:rPr>
        <w:t>See Item 1,</w:t>
      </w:r>
      <w:r>
        <w:rPr>
          <w:color w:val="000000"/>
        </w:rPr>
        <w:t xml:space="preserve"> “</w:t>
      </w:r>
      <w:r>
        <w:rPr>
          <w:rFonts w:ascii="Times New Roman;sans-serif" w:hAnsi="Times New Roman;sans-serif"/>
          <w:b w:val="false"/>
          <w:color w:val="000000"/>
          <w:sz w:val="20"/>
        </w:rPr>
        <w:t xml:space="preserve">Business—Governmental Regulation and Environmental Matters” for more information on the regulatory requirements of our businesses. Compliance with these regulations, as well as our own voluntary programs that relate to maintaining the safety of our employees and facilities as well as the environment, and the safety and competitiveness of our equipment, systems and facilities, may be difficult, burdensome or expensive. Any changes in these regulations, the interpretation of such regulations or our customers’ perception of such changes will require us to make adaptations that may subject us to additional costs, and ultimate costs and the timing of such costs may be difficult to accurately predict and could be material. Regulatory agencies may refuse to grant approval or clearance or may require the provision of additional data, and regulatory processes may be time consuming and costly, and their outcome may be uncertain in certain of the countries in which we operate. Failure to secure renewal of permits or tightening of restrictions within our existing permits could have a material adverse effect on our business or cause us to incur material expenses. Regulatory agencies may also change policies, adopt additional regulations or revise existing regulations, each of which could impact our ability to provide our services or increase our costs. Additionally, local regulatory authorities may change the way in which they interpret and apply local regulations in response to negative public pressure about our facilities. For example, officials stopped operations at one of our facilities purportedly to review our fire and building code status and certificate of occupancy and we were required to initiate and prevail in litigation to establish that we were entitled to continue to operate our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failure to comply with the regulatory requirements of these agencies and officials may subject us to administratively or judicially imposed sanctions. These sanctions include, among others, warning letters, notices of violation, fines, civil penalties, criminal penalties, injunctions, debarment, product seizure or detention and total or partial suspension of operations, sale and/or promotion. While we strive to comply with these regulatory requirements, we have not always been and may not always be in compliance and, as a result, can be subject to significant civil and criminal fines and penalties, including the shutdown of our operations or the suspension of our licenses, permits or registrations. See Item 3, Legal Proceedings and Note 20, “Commitments and Contingencies” to our consolidated financial statements and related Risk Factor “—Potential health risks associated with the use of EO may subject us to future liability claims and associated adverse effects.” The failure to receive or maintain, or delays in the receipt of, relevant U.S. or international regulatory qualifications could have a material adverse effect on our business, prospects, financial condition or results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Safety risks associated with the transportation of potentially hazardous materials, such as EO and Co-60, may result in accidents or liabilities that materially affect our results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supplies and by-products are transported through a combination of ground, sea and air transport. Co-60 and EO are radioactive and potentially combustible, respectively, and must be handled carefully and in accordance with applicable laws and regulations. An incident in the transportation of our raw materials, products and by-products or our failure to comply with laws and regulations applicable to the transfer of such products could lead to injuries or significant property damage, regulatory repercussions or make it difficult to fulfill our obligations to our customers, any of which could have a material adverse effect on our business, prospects, financial condition or results of operations.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EO and Co-60 raw materials are potentially hazardous and we are therefore subject to stringent requirements to secure these materials from theft or other unauthorized uses. If our failure to adequately secure these materials leads to their being stolen or materially damaged, our licenses to operate could be suspended, resulting in a material adverse effect to our business, prospects, financial condition or results of operations. Any such incident could also have legal consequences, such as fines and penalties for violations of regulatory requirements and/or lawsuits for personal injuries, property damage or diminution or other claims that could result in substantial liability to us. Additionally, loss of control of Co-60 sources by a customer could result in contamination and significant public health consequences. </w:t>
      </w:r>
    </w:p>
    <w:p>
      <w:pPr>
        <w:pStyle w:val="TextBody"/>
        <w:bidi w:val="0"/>
        <w:spacing w:lineRule="auto" w:line="288" w:before="240" w:after="283"/>
        <w:jc w:val="left"/>
        <w:rPr>
          <w:rFonts w:ascii="Times New Roman;sans-serif" w:hAnsi="Times New Roman;sans-serif"/>
          <w:b/>
          <w:i/>
          <w:color w:val="000000"/>
          <w:sz w:val="20"/>
        </w:rPr>
      </w:pPr>
      <w:bookmarkStart w:id="0" w:name="idf0723b11b7e45eebf9ecefdccec0455_318663"/>
      <w:bookmarkEnd w:id="0"/>
      <w:r>
        <w:rPr>
          <w:rFonts w:ascii="Times New Roman;sans-serif" w:hAnsi="Times New Roman;sans-serif"/>
          <w:b/>
          <w:i/>
          <w:color w:val="000000"/>
          <w:sz w:val="20"/>
        </w:rPr>
        <w:t>Industry trends could impact the demand for our products and services and could have a material adverse effect on our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Industry trends that affect medical device, pharmaceutical or biotechnology companies could affect our business. The medical device industry is characterized by frequent product development and technological advances, which may reduce demand for our sterilizing and testing services if our existing services no longer meet our customers’ requirements. Any significant decrease in life science research and development expenditures by medical device, pharmaceutical and biotechnology companies, including as a result of a general economic slowdown, could in turn impact the volumes of medical products that require sterilization or lab testing services. Future demand for Co-60 or our sterilization services could also be adversely impacted by changes to preferred sterilization modalities. For example, while X-ray has yet to be widely adopted as a method of sterilization, x-ray could be adopted as an alternative to Co-60 gamma irradiation in the future because of potential concerns about the cost or availability of Co-60 or the perceived benefits of X-Ray. In addition, government agencies may encourage the development of X-ray to mitigate potential risks to the supply of Co-60 or to try to reduce access to radioactive material in particular areas, which could have an adverse impact on our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adapt our business to meet evolving customer needs depends upon the development and successful commercialization of new services, new or improved technologies and additional applications of our technology for our customers’ new products. We can give no assurance that any such new services will be successful or that they will be accepted in the marketplace. Any failure to develop or commercialize new services and technologies and any decrease in demand for our products or services could have a material adverse effect on our business, prospects, financial condition or results of operations. </w:t>
      </w:r>
    </w:p>
    <w:p>
      <w:pPr>
        <w:pStyle w:val="TextBody"/>
        <w:bidi w:val="0"/>
        <w:spacing w:lineRule="auto" w:line="288" w:before="240" w:after="283"/>
        <w:jc w:val="left"/>
        <w:rPr/>
      </w:pPr>
      <w:r>
        <w:rPr>
          <w:rFonts w:ascii="Times New Roman;sans-serif" w:hAnsi="Times New Roman;sans-serif"/>
          <w:b w:val="false"/>
          <w:color w:val="000000"/>
          <w:sz w:val="20"/>
        </w:rPr>
        <w:t>If changes in healthcare regulations or other developments in the healthcare industry, including concerns around single-use medical devices or the impact of the COVID-19 pandemic, were to lead to a material reduction in medical procedures or use of medical devices, demand for our services could be adversely affected. For example, during the pandemic, there was an increase in deferred elective procedures, which negatively impacts demand for some of our products and services as a result of a decrease in the need for sterilized single-use medical devices used in these procedures. For more information, see Risk Factor “— Severe health events or environmental events, including impacts from climate change, and natural disasters, could have adverse effects on our business, financial condition and results of operations, which could be material.” Demand for our products and services may also be affected by changes from time to time in the laws and regulations that govern our operations</w:t>
      </w:r>
      <w:r>
        <w:rPr>
          <w:color w:val="000000"/>
        </w:rPr>
        <w:t xml:space="preserve"> </w:t>
      </w:r>
      <w:r>
        <w:rPr>
          <w:rFonts w:ascii="Times New Roman;sans-serif" w:hAnsi="Times New Roman;sans-serif"/>
          <w:b w:val="false"/>
          <w:color w:val="000000"/>
          <w:sz w:val="20"/>
        </w:rPr>
        <w:t xml:space="preserve">and industry, including the Patient Protection and Affordable Care Act, as amended by the Health Care and Education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Reconciliation Act, which in turn may impact industry trends. New regulatory requirements could lead to changes in the medical device industry and the behavior of our customers that are difficult to predict but could have a material adverse effect on our business, prospects, financial condition or results of operations. Further, if any significant disposal restrictions or requirements are imposed that materially increase the cost or administrative burden of the disposal process for single-use medical devices, hospitals and other end-users of such devices might decrease their use of such devices in favor of reusable medical products, which would decrease the demand for our services, which could in turn have a material adverse effect on our business, prospects, financial condition or results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business is highly competitive, and if we fail to compete successfully, our business, prospects, financial condition or results of operations may be adversely affected.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competition from other providers of outsourced sterilization and lab services. In addition, some manufacturers have developed or are developing in-house sterilization and lab testing and related capabilities, and further consolidation within our industry and within our customers’ industries could impact our ability to compete. Further, our competitors and potential competitors are attempting to develop alternate technologies, in particular improved x-ray sterilization technologies, which would not rely on the availability of Co-60. If our competitors or manufacturers significantly expand their sterilization or lab testing capacities, including as a result of these alternative technologies, this could lead to price fluctuations and competitive pricing pressure, diminish our profitability or result in changes in our customer relationships across our business segments. We generally compete on the basis of quality, reputation, the cost of sterilization services, the cost of transportation to and from the sterilization facility and processing turnaround time. If our services, supply, support, distribution or cost structure do not enable us to compete successfully, including against alternative technologies, or we are unable to successfully develop and adopt alternative technologies ourselves, our business, prospects, financial condition or results of operations could be materially adversely affected. The expansion of alternative sterilization technologies may require us to build new facilities, which can be time-consuming and costly.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Co-60 source suppliers in other countries, including China, India, Argentina or Russia, significantly increase their involvement in the global Co-60 sources market, this could have a material adverse effect over the long-term on our business, prospects, financial condition or results of operations. Several customers of our Nordion business are themselves providers of sterilization services and therefore are competitors of our Sterigenics business. If these customers were to shift to a different supplier of Co-60 because they prefer to use a supplier not affiliated with us or for any other reason, this could materially adversely affect our business, prospects, financial condition or results of operations. Further, if a Nordion customer were to lose market share to a competitor using an alternative sterilization provider, we would similarly lose sales volumes, which may have a material adverse effect on our business, prospects, financial condition or results of operations.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Nelson Labs faces a wide variety of competitors, including small, specialized niche players, large, broad multinational corporations and internal laboratories that can perform the services that we provide. Shifts in the market that diminish our customers’ preference for outsourcing their testing and large, well-funded competitors entering more directly into the specialized lab services that we provide may adversely affect our business.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The price of our input costs, including labor, raw materials and energy, are subject to inflation and other market risks and our ability to pass through increases in our input costs is highly dependent on market conditions.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aggregate direct input costs, including labor, raw materials and energy, represent a significant portion of our cost of revenues. We have experienced and may continue to experience, volatility and increases in the price of certain of these costs as a result of global market and supply chain disruptions and the broader inflationary environment. Additionally, the cost of energy for some of our facilities is regulated, and we are required to work with the local utility provider, which prevents us from contracting for a lower rate or seeking an alternate supplier. Although we have attempted, and will continue to attempt, to match increases in the prices of direct materials or energy with corresponding increases in prices for our products and services, our ability to pass through increases in our input costs is highly dependent upon market conditions and we may not be able to immediately raise our prices, if at all. Most of our customer contracts for sterilization services allow us to pass through our direct material costs, but we may not be able to immediately or completely implement increases in the prices of our products and services. Specifically, there is a risk that raising prices charged to our customers could result in a loss of sales volume. Reactions or anticipated reactions by our customers and competitors to our price increases could cause us to reevaluate and possibly reverse or reduce such price increases. We also may not be able to accurately predict the volume impact of price increases, especially if our competitors are able to more successfully adjust to such input cost volatility. Material increases in the price of labor, raw materials, or energy could have a material adverse effect on our business, prospects, financial condition or results of operations, particularly if we are unable to increase the prices to our customers of our products or services to offset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inflationary cost trends or if we are unable to achieve cost savings to offset such cost increases, our profits and operating results could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operations are subject to a variety of business continuity hazards and risks, including supply chain disruptions due to geopolitical uncertainty, and our reliance on the use and sale of products and services from single locations, any of which could interrupt production or operations or otherwise adversely affect our performance, results or value.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and our supplier and customers’ operations are subject to business continuity hazards and risks that include explosions, fires, earthquakes, inclement weather and other natural disasters; utility, equipment or other mechanical failures; unscheduled downtime; labor difficulties; disruption of communications; security breaches or other workplace violence events; changes in regulations, including sanctions, export and import controls and other trade restrictions; changes in the use of government-owned reactors, including repurposing nuclear facilities; other governmental action; and pandemics or other public health crises.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can be costly to ship products long distances for the purpose of sterilization; therefore, our ability to offer a full range of sterilization services close to our customers’ manufacturing and distribution centers worldwide is critical for our business. An adverse occurrence at one of our facilities or the facilities of a supplier or customer could damage our business. While other facilities in our network may have the capacity to service our customers that had been served by an affected facility, we may not be able to transfer all interrupted services. The stringent regulations and requirements to which we are subject regarding the manufacture of our products and provision of services and the complexities involved with processing Co-60 may prevent or delay us from establishing additional or replacement sources for our production facilities. Any event, including those listed above, that results in a prolonged business disruption or shutdown to one or more of our facilities, or the facilities of a supplier or customer, could create conditions that prevent, or significantly and adversely affect, our receiving, processing, manufacturing or shipping products at existing levels, or at all. Such events could adversely affect our sales, increase our expenses, create potential liabilities and/or damage our reputation, any of which could have a material adverse effect on our business, prospects, financial condition or results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Supply chain disruptions, such as the ones related to geopolitical uncertainty and conflicts, severe health events or a natural disaster, may impair or delay our ability to obtain sufficient quantities of certain materials through our ordinary supply channels and cause us to incur higher costs by procuring raw materials from other sources in order to compensate for such delays or lack of availability. Supply chain disruptions such as these may impair or delay our customers’ ability to provide us work or products for processing or affect the availability, quality and pricing of materials used in the operation of our business or our customers’ businesses. If we are not able to successfully mitigate such supply chain related risks, we could experience disruptions in production or increased costs, which may result in decrease in our gross margin or reduced sales, and have a material adverse effect on our business, results of operations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Governmental action may disrupt the operations of our facilities that process potentially hazardous materials. For example, in June 2021, in a lawsuit related to Sterigenics’ facility in Santa Teresa, New Mexico, the court granted a motion by New Mexico’s Attorney General for a preliminary injunction prohibiting Sterigenics from allowing any uncontrolled emission or release of EO from that facility. In December 2021, the court further established protocols to monitor Sterigenics’ compliance with the preliminary injunction. Although operations at the Santa Teresa facility comply with these orders, operations at the facility may be negatively impacted if Sterigenics is unable to continue to comply. Similar actions in the future by local, state or federal officials might disrupt or shut down operations or otherwise adversely impact the production or profitability of our facilities or its operations as a whole.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obtain Co-60 from a limited number of suppliers. If any of the facilities or reactors from which we obtain Co-60 were to be seriously damaged or have their production materially decrease due to a natural disaster or other adverse occurrence, or if we become unable to transact with one of our suppliers of Co-60 due to expanded sanctions, our access to Co-60 would be materially affected and we may be unable to meet all the needs of our customers. See related Risk Factor “—We depend on a limited number of counterparties to provide the materials and resources we need to operate our business. Any disruption in the availability of, or increases in the price of, EO, Co-60 or our other direct materials, services and supplies, including as a result of geopolitical instability and sanctions against Russia by the United States, Canada, United Kingdom and European Union, may have a material adverse effect on our operating results.”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While we maintain insurance policies covering, among other things, physical damage, premises liability, business interruptions and liability resulting from our services in amounts that we believe are customary for our industries, our insurance coverage may be inadequate or unavailable and we could incur uninsured losses and liabilities arising from such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be adversely affected by global and regional economic and political instability.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adversely affected by global and regional economic and political conditions. The uncertainty or deterioration of the global economic and political environment could adversely affect us. Russia’s invasion of Ukraine has significantly elevated global geopolitical tensions and continues to cause instability and volatility in global markets. The United States, Canada, the United Kingdom and European Union have implemented broad sanctions targeting Russia, which have the potential to disrupt our supply of Co-60 from Russia. The conflict between Israel and Hamas and its potential ramifications for the Middle East have caused and may continue to cause instability and volatility in global markets and adversely impact global supply chains, including potentially disrupting shipping channels. Any such disruptions could have a material adverse effect on our business, prospects, financial condition or results of operations. See related Risk Factor “—We depend on a limited number of counterparties to provide the materials and resources we need to operate our business. Any disruption in the availability of, or increases in the price of, EO, Co-60 or our other direct materials, services and supplies, including as a result of current geopolitical instability against Russia by the United States, Canada, United Kingdom, and European Union, may have a material adverse effect on our operating results.”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potential worsening of macro-economic conditions, including slower growth or recession, the inflationary environment, tighter credit, higher interest rates and currency fluctuations, may cause customers to modify, delay or cancel plans to purchase our products and services and suppliers may significantly and rapidly increase their prices or reduce their output because of cash flow problems. Any inability of current or potential customers to purchase or pay for our products because of such declining economic conditions or changes in spending patterns at medical device, pharmaceutical and biotechnology companies may have a negative impact on our business, prospects, financial condition or results of operations. Overall demand for our products could be reduced as a result of a global economic recession or political unrest, especially in such areas as the medical device, pharmaceutical, food safety and other end markets that we 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increase capacity at existing facilities and build new facilities in a timely and cost-effective manner, we may not achieve our expected revenue growth or profitability or such revenue growth and profitability, if any, could be delayed.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growth strategy depends on expanding capacity in Europe, the Americas and Asia, which includes building new facilities and maintaining and expanding existing facilities. The construction or expansion of modern and safe sterilization facilities requires significant expenditures. Delay in the review and licensing process for a new facility could impair or delay our ability to develop that facility or increase the cost so substantially that the facility becomes unattractive to us. Any failure to procure and maintain the necessary licenses and equipment would adversely affect ongoing development, construction and continuing operation of our facilities. Additionally, even when we maintain the necessary licenses and equipment and comply with applicable regulations, we still may be unable to maintain or expand our operations at existing facilities, or otherwise execute on our growth strategy, because of negative publicity or community resistance. Suspensions and closures of our facilities have impacted and may continue to impact our results of operations, and the effects could be material. New facilities may not meet our return expectations due to schedule delays, diversion of management’s attention, cost overruns or revenue shortfalls, or they may not generate the capacity that we anticipate or result in the receipt of revenue in the originally anticipated time period or at all. We may not maintain revenue growth or profitability, or such growth, if any, could be delayed if we are not successful in continuing to expand capacity. Additionally, if future demand trends warrant capacity in geographic areas that we have not targeted for new growth, we may be unable to capitalize on opportunities in a timely manner.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depend upon our ability to attract and retain highly skilled employees. If we fail to attract and retain the talent required for our business, our operations could be adversely affected and our business could be materially harmed.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to a significant degree on our ability to hire and retain highly qualified personnel with expertise in our industries. The market for qualified employees in the industries in which we operate is competitive and our ability to operate, compete and grow our business depends on our ability to hire and retain qualified personnel in all areas of our organization. If our recruiting efforts are less successful, or if we cannot retain our key personnel, performance of our operations may suffer and we may be delayed or prevented from achieving our business objectives. If we are unable to attract and retain highly skilled employees, our inability to do so could have a material adverse effect on our business, prospects, financial condition or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occupy many of our facilities under long-term leases, and we may be unable to renew our leases at the end of their terms.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facilities are located on leased premises. These leases vary in length up through 2042, most with options to renew for specified periods of time. We expect to renew or buy out such leases, including all sterilization facility leases expiring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next five years, as they come due. At the end of the lease term and any renewal period for a facility, we may be unable to renew the lease without substantial additional cost, if at all. For example, in September 2019, we were unable to reach an agreement to renew the lease on our EO processing facility in Willowbrook, Illinois following community pressure resulting from negative publicity surrounding the facility. If we are unable to renew our facility leases, we may be required to relocate or close a facility. Relocating a facility involves significant expense in connection with the movement and installation of specialized equipment and any necessary recertification or licensing with regulatory authorities. Even briefly closing a facility to relocate would reduce the sales that the facility would have contributed to our revenues and could negatively impact our customer relations. Any such relocation or closure could have a material adverse effect on our business, prospects, financial condition or results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conduct sales and distribution operations on a worldwide basis and are subject to a variety of risks associated with doing business outside the United States.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significant international operations, including operations in China, Brazil, Canada, Mexico, Costa Rica and other countries in Europe and Asia. As a result, we are subject to a number of risks and complications associated with international sales, services and other operations, as well as risks associated with U.S. foreign policy. These include: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difficulties associated with compliance with numerous, potentially conflicting and frequently complex and changing laws in multiple jurisdictions relating to environmental matters, intellectual property, privacy and data protection, corrupt practices, embargoes, trade sanctions, competition, employment and licensing, among other things;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general economic, social and political conditions in countries where we operate, including international and U.S. trade and sanctions policies and currency exchange rate fluctuations;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tax and other laws that restrict our ability to use tax credits, offset gains or repatriate funds;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currency restrictions, transfer pricing regulations and adverse tax consequences, which may affect our ability to transfer capital and profits;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inflation, deflation and stagflation in any country in which we have a manufacturing facility;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foreign customers with longer payment cycles than customers in the United States;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imposition of or increases in customs duties and other tariffs.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number of countries whose governments and companies do not always share the depth or breadth of the commitment to anti-corruption and ethical behavior that is required by U.S. laws and our Code of Conduct and other corporate policies. Based on the nature of our products, our business activities involve interaction with government agencies, public officials and state-owned enterprises. We are subject to the risk that we, our U.S. employees, our employees located in other jurisdictions, or third parties we engage to do work on our behalf may take actions determined to be in violation of anti-corruption laws in the United States or the jurisdictions in which we conduct business. The U.S. Foreign Corrupt Practices Act (the “FCPA”) and the Canadian Corruption of Foreign Public Officials Act (the “CFPOA”) prohibit corruptly providing anything of value to foreign officials (including employees of state-owned enterprises) for the purposes of obtaining or retaining business or securing any improper business advantage. The provisions of the U.K. Bribery Act of 2010 (the “Bribery Act”) extend beyond bribery of foreign public officials and are more onerous than the FCPA in a number of other respects. Any violation of the FCPA, the CFPOA, the Bribery Act or any similar anti-corruption law or regulation could result in substantial fines, sanctions or civil and/or criminal penalties, debarment from business dealings with certain governments or government agencies or restrictions on the marketing of our products in certain countries, which could harm our business, financial condition or results of operations. Violations of anti-corruption laws or our related internal policies could also substantially harm our reputation and operations. Further, detecting, investigating and resolving actual or alleged violations is expensive and can consume significant time and attention of our senior management.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Compliance with multiple, and potentially conflicting, international laws and regulations, including anti-corruption laws and exchange controls, at times may be difficult, burdensome or expensive. While our employees and agents are required to comply with these laws, our internal policies and procedures may not always prevent violations. Further, in connection with past and future acquisitions by us, there is a risk of successor liability relating to such laws in connection with prior actions of an acquired company. Such matters or allegations related to such matters could adversely affect our reputation and the burden and cost associated with defending or resolving such matters could adversely affect our business, prospects, financial condition or results of operations. </w:t>
      </w:r>
    </w:p>
    <w:p>
      <w:pPr>
        <w:pStyle w:val="TextBody"/>
        <w:bidi w:val="0"/>
        <w:spacing w:lineRule="auto" w:line="288" w:before="240" w:after="283"/>
        <w:jc w:val="left"/>
        <w:rPr/>
      </w:pPr>
      <w:r>
        <w:rPr>
          <w:color w:val="000000"/>
        </w:rPr>
        <w:t> </w:t>
      </w:r>
      <w:r>
        <w:rPr>
          <w:rFonts w:ascii="Times New Roman;sans-serif" w:hAnsi="Times New Roman;sans-serif"/>
          <w:b w:val="false"/>
          <w:color w:val="000000"/>
          <w:sz w:val="20"/>
        </w:rPr>
        <w:t xml:space="preserve">Further, as a result of our global operations, we generate a significant portion of our revenue and incur a significant portion of our expenses in currencies other than the U.S. dollar, including the euro, the Brazilian real, the British pound sterling,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Chinese yuan, the Thai baht, the Mexican peso, the Danish krone, the Costa Rica colon and the Canadian dollar. Our results of operations are impacted by currency exchange rate fluctuations to the extent that we are unable to match net revenues received in foreign currencies with expenses incurred in the same currency. For example, where we have significantly more expenses than net revenues generated in a foreign currency, our profit from operations in that location would be adversely affected in the event that the U.S. dollar depreciates against that foreign currency.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are subject to significant regulatory oversight of our import and export operations due to the nature of some of our product offerings.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and materials needed to make our products are subject to U.S. and Canadian laws and regulations that may limit, restrict or require a license to import or export (or re-export from other countries). We are also subject to the export and import laws of other foreign jurisdictions in which we operate, into which we sell our products and from which we source our materials, including Co-60. In addition, if we introduce new products or would like to participate in new capital investment projects, we may need to obtain licenses or approvals from the United States, Canada and other governments to ship products to or share technology or intellectual property with third parties located in foreign countries. Because of increasing security controls and regulations regarding the shipment of materials including Co-60, we are likely to encounter additional regulations affecting the transportation, storage, sale and import/export of radioactive materials. Further, any delay or inability to obtain these permits and licenses could delay or prevent us from fulfilling our obligations to our customers or suppliers, which could harm our business, financial condition or results of operations.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U.S. Department of the Treasury’s Office of Foreign Assets Control and other relevant agencies of the U.S. government administer laws and regulations that restrict U.S. persons and, in some instances, non-U.S. persons, from conducting activities, transacting business with or making investments in certain countries, or with governments, entities and individuals subject to U.S. economic sanctions. Our international operations subject us to these laws and regulations, which are complex, restrict our business dealings with certain countries, governments, entities and individuals and are constantly changing. Penalties for non-compliance with these complex laws and regulations can be significant and include substantial fines, sanctions or civil and/or criminal penalties and violations can result in adverse publicity, which could harm our business, financial condition or results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Severe health events or environmental events, including impacts from climate change, and natural disasters, could have adverse effects on our business, financial condition and results of operations, which could be material.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COVID-19 pandemic continues to have effects on our business operations, including secondary and tertiary effects such as increased raw material prices, labor shortages, and supply chain disruptions. If similarly severe global health crises occur in the future, the impact and effects on our business, operations and results of operations also could be material.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Extreme environmental events, including impacts from climate change, could adversely affect our operating results and financial condition. Climate change has an adverse impact on global temperatures, weather and precipitation patterns, and increases the frequency and severity of significant weather events, such as flooding, hurricanes, wildfires, droughts and water scarcity. We have operations located in regions that have been, and may in the future be, exposed to extreme weather events and other natural disasters, including California, Florida, and Texas. A catastrophic earthquake, fire, flood, tsunami or other weather event, widespread power loss or telecommunications failure, war or other significant event could adversely affect our operations, particularly if such event were to destroy or disrupt any of our facilities. Any significant impact on our ability to conduct normal operations at our facilities could cause significant capacity constraints and, as a result, have a material adverse effect on our business, results of operations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severe health or environmental event may also affect our suppliers or customers, which could disrupt our access to raw materials and customer product processing and exacerbate supply-chain related risks. See related Risk Factor “—Our operations are subject to a variety of business continuity hazards and risks, including supply chain disruptions due to geopolitical uncertainty and our reliance on the use and sale of products and services from single locations, any of which could interrupt production or operations or otherwise adversely affect our performance, results or value.”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business may be subject to system interruptions, cyber security breaches and unauthorized data disclosures.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Like other companies, we increasingly rely on information technology (“IT”) systems and networks and related services to conduct business, some of which are managed, hosted and/or provided by third parties. Our IT systems and infrastructure are potentially vulnerable to breakdowns or other interruptions by fire, power loss, system malfunctions and other events. Our IT systems and infrastructure are also subject to breaches by our employees, both accidental and intentional, and to regular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persistent attacks by increasingly sophisticated actors seeking to interfere with the normal use of our systems. Our suppliers, contractors, service providers, and other third parties with whom we do business also experience cyber threats and attacks that are similar in frequency and sophistication. In many cases, the Company relies on controls put in place by our suppliers, contractors and service providers to defend against and otherwise respond to cyber threats and attacks, which may prove insufficient.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despite the Company’s security measures, data privacy breaches by employees and outside parties with both permitted and unauthorized access to our systems may expose sensitive data to unauthorized persons or to the public or data inaccessible on a temporary or permanent basis. We could also experience a business interruption, information theft or reputational damage from industrial espionage attacks, ransomware, other malware or other cyber incidents or data breaches, which may compromise our system infrastructure or lead to data breaches, either internally or at our third-party providers or other business partners. Such incidents could compromise our trade secrets or other confidential information and result in such information being disclosed to third parties and becoming less valuable. Breaches in security, system interruptions and unauthorized disclosures of data, whether perceived or actual, could adversely affect our businesses, assets, revenues, brands and reputation and result in fines, litigation, regulatory proceedings and investigations, increased insurance premiums, remediation efforts, indemnification expenditures, lost revenues and other potential liabilities. As detailed in Item 1C, “Cybersecurity”, we have taken steps to protect the security and integrity of the information we collect and have policies and procedures in place dealing with data privacy and security and have yet to experience any material cybersecurity incidents that have caused us to incur any material expenses or materially affected our business, results of operations or financial conditions. But there can be no assurance that our efforts will prevent material breakdowns, system failures, breaches in our systems or other cyber incidents or otherwise be fully effective. Any such breakdown, breach or incident could adversely affect our business, prospects, financial condition or results of operations, and our cyber insurance may not cover such risks or may be insufficient to compensate us for losses that may occur.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Part of our growth strategy is to pursue strategic transactions, including acquisitions, which subjects us to risks that could harm our business and we may not be able to find suitable acquisition targets or integrate strategic acquisitions successfully into our existing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strategy, we have in the past grown, and may in the future seek to grow our business through acquisitions, and any such acquisition may be significant. Any future growth through acquisitions will depend in part upon the continued availability of suitable acquisition candidates at favorable prices and upon advantageous terms and conditions, which may not be available to us, as well as sufficient funds to complete these acquisitions from our cash on hand, cash flow from operations, existing debt facilities and additional indebtedness.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only is the identification of such suitable acquisition candidates difficult and competitive, but these transactions, including the acquisitions completed in recent years also involve numerous risks, including the diversion of management’s attention and their ability to: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successfully integrate acquired facilities, companies, products, systems and personnel into our existing business, especially with respect to businesses or operations that are outside of the United States;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minimize any potential interruption to our ongoing business;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successfully enter categories and markets in which we may have limited or no prior experience, and ensure compliance with the regulatory requirements for such categories and markets;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achieve expected synergies and obtain the desired financial or strategic benefits;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detect and address any financial or control deficiencies of the acquired company;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retain key relationships with employees, customers, partners and suppliers of acquired companies as well as our own employees, customers, partners and suppliers;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maintain uniform compliance standards, controls, procedures and policies throughout acquired companies.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Companies, businesses or operations acquired or joint ventures created may not be profitable or may not achieve revenue and profitability levels sufficient to justify the investments made. Recent and future acquisitions could also result in the incurrence of additional indebtedness subject to the restrictions contained in the documents governing our then-existing indebtedness. See related Risk Factor “—Our significant leverage could adversely affect our ability to raise additional capital to fund our operations, limit our ability to react to challenges facing our Company or broader changes in our industry or the economy, expose us to interest rate risk and prevent us from meeting our obligations under our existing and future indebtedness.”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Recent and future acquisitions could also result in the assumption of contingent liabilities, material expenses related to certain intangible assets, increased operating expenses and compliance issues under international laws and regulations, including antitrust laws, anti-corruption laws, the FCPA and similar anti-bribery laws, which could adversely affect our business, prospects, financial condition or results of operations. In addition, to the extent that the economic benefits associated with any of our acquisitions diminish in the future, we may be required to record additional write-downs of goodwill, intangible assets or other assets associated with such acquisitions, which could adversely affect our business, prospects, financial condition or results of operations.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acquisition agreements by which we have acquired companies require the former owners to indemnify us against certain liabilities related to the operation of the companies before we acquired them. In most of these agreements, however, the liability of the former owners is limited, and certain former owners may be unable to meet their indemnification responsibilities. There is no assurance that these indemnification provisions will protect us fully or at all, and as a result we may face unexpected liabilities that adversely affect our business, prospects, financial condition or results of operations. Our ability to realize the benefits we anticipate from our strategic transactions, including acquisition activities, anticipated cost savings and additional sales opportunities, will depend in large part upon whether we are able to integrate such businesses efficiently and effectively. If we are unable to successfully integrate the operations of acquired businesses into our business or on the timeline we expect, we may be unable to realize the sales growth, cost synergies and other anticipated benefits we expect to achieve as a result of such transactions and our business, prospects, financial condition or results of operations could be adversely affected.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internal controls over financial reporting may not be effective and our independent registered public accounting firm may not be able to certify as to their effectiveness, which could have a significant and adverse effect on our business and reputation.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Sarbanes-Oxley Act, we furnished a report by our management on the effectiveness of our internal control over financial reporting as of December 31, 2023. This assessment is required to include disclosure of any material weaknesses identified by our management in our internal control over financial reporting. Our independent registered public accounting firm attested to the effectiveness of our internal controls as of December 31,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future periods, if we identify a material weakness in connection with our ongoing assessment and we fail to remediate the identified material weakness within the prescribed period, we will be unable to assert that our internal control over financial reporting is effective. We cannot be certain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In addition, we may be required to incur costs in improving our internal control system and hiring additional personnel.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shares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rely on intellectual property rights to maintain our competitive position and third parties may claim that we infringe or misappropriate their intellectual property rights.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proprietary technology and are dependent on our ability to protect such technology. We rely primarily on trade secrets and non-disclosure and confidentiality arrangements to protect our intellectual property rights, including such rights as related to our Nelson Labs business and its lab testing services. The efforts we have taken to protect our intellectual property and proprietary technology may not be sufficient or effective. Third parties, including current or former employees, consultants, contractors, customers or partners, who have access to our confidential information (including our trade secrets and know-how), may unintentionally or willfully disclose our confidential information to others, and there can be no assurance that our trade secret rights and non-disclosure and confidentiality arrangements will provide meaningful protection of our proprietary technology. There can also be no assurance that others will not independently develop similar or superior technologies or duplicate any technology developed by us. Effective protection of intellectual property rights may not be available in every jurisdiction in which our products and services are made available and monitoring unauthorized use and disclosures of our proprietary technology or confidential information can be difficult and expensive. Actions to enforce our intellectual property rights could lead to disputes with third parties, including our customers, and could impact our future ability to gain business. Furthermore, legal proceedings to protect or enforce our intellectual property rights could result in narrowing the scope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intellectual property rights or substantial cost to us, and they may be time consuming and divert resources and the attention of management and key personnel, and the outcomes of such actions may be unpredictable.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cannot be certain that the conduct of our business does not and will not infringe or misappropriate intellectual property rights of others. From time to time, we may become subject to claims, allegations and legal proceedings, including by means of counterclaims, that we infringe or misappropriate intellectual property or other proprietary rights of third parties. Such legal proceedings involving intellectual property rights are highly uncertain, can involve complex legal and scientific questions and may divert resources and the attention of management and key personnel. Our failure to prevail against infringement or misappropriation claims brought against us could also result in judgments awarding substantial damages against us, including possible treble damages and attorneys’ fees, and could result in reputational harm. Judgments that result in equitable or injunctive relief could cause us to delay or cease selling or providing certain products or services or otherwise harm our operations. We also may have to seek third party licenses to intellectual property, which may be unavailable, require payment of significant royalties or be available only at commercially unreasonable, unfavorable or otherwise unacceptable terms.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adequately protect, establish, maintain or enforce our intellectual property rights or if we are subject to any infringement or misappropriation claims, our business, prospects, financial condition or results of operations may be adversely affected.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are subject to complex and rapidly evolving data privacy and security laws and regulations and any ineffective compliance efforts with such laws and regulations may adversely impact our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comply with laws and regulations of federal and state governments in multiple jurisdictions governing the collection, dissemination, retention, access, use, protection, security and disposal of personal data, which mostly consists of our employees’ data. The interpretation and application of many existing or recently enacted privacy and data protection laws and regulations in the United States, the European Union and elsewhere are uncertain and fluid, and it is possible that such laws and regulations may be interpreted or applied in a manner that is inconsistent with our existing practices. Companies are under increased regulatory scrutiny relating to data privacy and security. Any actual or perceived breach of such laws or regulations may subject us to claims and may lead to administrative, civil or criminal liability, as well as reputational harm. Moreover, these laws are evolving and are generally becoming stricter. For example, activities conducted from our EU facilities or related to products and services that we may offer to EU users or customers are subject to the General Data Protection Regulation (Regulation (EU) 2016/679) (“GDPR”), which provides for enhanced data privacy obligations and fines of up to the higher of 4% of annual worldwide revenues or €20 million. The GDPR was transposed into United Kingdom domestic law following the United Kingdom’s exit from the EU, and the UK GDPR supplements the United Kingdom’s Data Protection Act of 2018. The UK GDPR mirrors the compliance requirements and fine structure of the GDPR. Outside of the United States, United Kingdom and the European Union, many jurisdictions have adopted or are adopting new data privacy laws that impose further onerous compliance requirements, such as data localization, which prohibit companies from storing outside the jurisdiction data relating to resident individuals. The proliferation of such laws may result in conflicting and contradictory requirements and there can be no assurance that the measures we have taken will be sufficient for compliance with such various laws and regulations. Complying with these various laws is an ongoing commitment and could cause us to incur substantial costs or require us to change our business practices in a manner adverse to our business. Privacy-related claims or lawsuits initiated by governmental bodies, employees, customers or third parties, whether meritorious or not, could adversely affect our businesses, assets, revenues, brands and reputation and result in fines, litigation, regulatory proceedings, regulatory investigations, increased insurance premiums, remediation efforts, indemnification expenditures, lost revenues and other potential liabilities. We take steps to comply with applicable data privacy and security laws, regulations and standards and applicable privacy policies, but there can be no assurance that our compliance efforts will be effective. Any such failure to comply could adversely affect our business, prospects, financial condition or results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have a history of net losses and may not maintain profitability in the future.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history of net operating losses, including a net loss attributable to Sotera Health Company of $233.6 million for the year ended December 31, 2022. Although we reported net income attributable to Sotera Health Company of $51.4 million for the year ended December 31, 2023, we may not be able to maintain profitability in future fiscal years. Our ability to maintain profitability depends on a number of factors, including the growth rate of the sterilization and lab services industries, the prices of our products and services, the costs to provide our products and services and the competitiveness of our products and services. We may incur significant losses in the future for a number of reasons, including principal and interest expense related to our indebtedness and the other risks described herein, and we may encounter unforeseen expenses, difficulties, complications and delays and other unknown events. As a result, our operations may not maintain or increase profitability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incur impairment charges on our goodwill and other intangible assets with indefinite lives as well as other long-lived assets and intangible assets with definite lives, which could negatively impact our business, financial condition or results of operations.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Accounting Standards Codification (“ASC”) Topic 350, Intangibles—Goodwill and Other, which requires that goodwill and other intangible assets that have an indefinite useful life be evaluated at least annually for impairment. Goodwill and other intangible assets with indefinite lives must also be evaluated for impairment between the annual tests if an event or change in circumstance occurs that would more likely than not reduce the fair value of the asset below its carrying amount. We have substantial goodwill and other intangible assets. If we were to determine in the future that there has been an impairment, our financial results for the relevant period would be reduced by the amount of the non-cash impairment charge, net of any income tax effects, which could have an adverse effect on our financial condition or results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Similarly, pursuant to ASC Topic 360—Property, Plant, and Equipment, long-lived assets, such as property, plant and equipment and intangible assets subject to amortization, must be reviewed for impairment whenever events or changes in circumstances indicate that the carrying amount of an asset or asset group may not be recoverable. If we were to determine in the future that there has been an impairment of long-lived assets or intangible assets subject to amortization, our financial results for the relevant period would be reduced by the amount of the non-cash impairment charge, net of any income tax effects, which could have an adverse effect on our financial condition or results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Unionization efforts and labor regulations could materially increase our costs or limit our flexibility.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Efforts have been made from time to time to unionize portions of our workforce and we are likely to experience similar efforts in the future. Certain of our employees are represented by labor unions or works councils and are negotiating or working under collective bargaining or similar agreements, some of which are subject to periodic renegotiation. For example, employees at a gamma irradiation facility in the United States voted to unionize in November 2023 and we may experience similar efforts to unionize portions of our workforce in the future. Unionization efforts, new collective bargaining agreements or work stoppages could materially increase our costs, reduce our net revenues or limit our flexibility. The collective bargaining agreements applicable to our employees in Brazil and Mexico expire annually. The collective bargaining agreement applicable to Nordion’s employees in Kanata, Canada expires on March 31, 2024. The process of negotiating or renegotiating these collective bargaining agreements could increase our labor costs or lead to labor disruptions, which could negatively affect our business and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legal obligations in the markets where we conduct business require us to contribute amounts to retirement funds and pension plans and restrict our ability to dismiss employees. Future regulations or court interpretations established in the countries in which we conduct our operations could increase our costs and materially adversely affect our business, financial condition or results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business is subject to a variety of laws involving the cannabis industry, many of which are unsettled and still developing and which could subject us to claims or otherwise harm our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bioburden reduction irradiation services for the processing of cannabis, primarily in Canada and certain European countries. The commercial recreational cannabis industry is a relatively new industry in Canada and Canada’s Cannabis Regulations have been in effect in their current form since only October 2018. Likewise, laws and regulations governing cannabis in European countries have evolved rapidly over recent years. In the United States, marijuana (all parts of the cannabis plant other than those parts that are exempt) presently remains a Schedule I controlled substance under federal law. In other countries in which the cultivation and use of marijuana is legalized, most notably in Canada, our operations include irradiation services for recreational and medical marijuana. As laws in the United States, Canada, Europe and other jurisdictions evolve, our activities in these spaces may face additional regulations with which it may be costly or burdensome to comply. </w:t>
      </w:r>
    </w:p>
    <w:p>
      <w:pPr>
        <w:pStyle w:val="TextBody"/>
        <w:bidi w:val="0"/>
        <w:spacing w:lineRule="auto" w:line="288" w:before="240" w:after="283"/>
        <w:jc w:val="left"/>
        <w:rPr/>
      </w:pPr>
      <w:r>
        <w:rPr>
          <w:color w:val="000000"/>
        </w:rPr>
        <w:t> </w:t>
      </w:r>
      <w:r>
        <w:rPr>
          <w:rFonts w:ascii="Times New Roman;sans-serif" w:hAnsi="Times New Roman;sans-serif"/>
          <w:b/>
          <w:i/>
          <w:color w:val="000000"/>
          <w:sz w:val="20"/>
        </w:rPr>
        <w:t xml:space="preserve">Government or private civil antitrust actions could harm our business, results of operations, financial condition and cash flows.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antitrust laws prohibit a wide variety of conduct that unlawfully suppresses competition, such as conspiracies among competitors not to reduce (or to “fix”) prices. Although our Code of Conduct requires our employees to comply with the antitrust laws and we believe that we are doing so, a governmental or private civil action alleging the improper exchange of information, unlawful participation in price maintenance or other unlawful or anticompetitive activity, even if unfounded, could be costly to defend and could harm our business, prospects, financial condition or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i/>
          <w:color w:val="000000"/>
          <w:sz w:val="20"/>
        </w:rPr>
        <w:t>We may have greater than anticipated tax liabilities, which could harm our business, revenue and financial results</w:t>
      </w:r>
      <w:r>
        <w:rPr>
          <w:rFonts w:ascii="Times New Roman;sans-serif" w:hAnsi="Times New Roman;sans-serif"/>
          <w:b w:val="false"/>
          <w:color w:val="000000"/>
          <w:sz w:val="24"/>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number of tax jurisdictions globally, including in the United States at the federal, state and local levels, and in many other countries, and we therefore are subject to review and potential audit by tax 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including in the context of our current or future corporate operating structure and third-party and intercompany arrangements, may increase our worldwide effective tax rate, result in additional taxes or other costs or have other material consequences, which could harm our business, revenue and financial results.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 For example, we have been unable to fully realize the benefit of interest expense as a result of recent tax law changes, and we recognized a valuation allowance on related deferred tax assets, which impacted our annual effective income tax rate.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changes in tax law may create uncertainty and our business and financial condition could be adversely affected. </w:t>
      </w:r>
    </w:p>
    <w:p>
      <w:pPr>
        <w:pStyle w:val="TextBody"/>
        <w:bidi w:val="0"/>
        <w:spacing w:lineRule="auto" w:line="288" w:before="240" w:after="283"/>
        <w:jc w:val="left"/>
        <w:rPr/>
      </w:pPr>
      <w:r>
        <w:rPr>
          <w:color w:val="000000"/>
        </w:rPr>
        <w:t> </w:t>
      </w:r>
      <w:r>
        <w:rPr>
          <w:rFonts w:ascii="Times New Roman;sans-serif" w:hAnsi="Times New Roman;sans-serif"/>
          <w:b/>
          <w:color w:val="000000"/>
          <w:sz w:val="20"/>
        </w:rPr>
        <w:t xml:space="preserve">Risks Related to Our Indebtedness and Liquidity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significant leverage could adversely affect our ability to raise additional capital to fund our operations, limit our ability to react to challenges facing our Company or broader changes in our industry or the economy, expose us to interest rate risk and prevent us from meeting our obligations under our existing and future indebtedness.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our total indebtedness was approximately $2,260.6 million, all of which is indebtedness of Sotera Health Holdings, LLC (“SHH”) that is guaranteed by the Company and certain of our other subsidiaries. We also had an additional $423.8 million of unutilized capacity under our Revolving Credit Facility (as defined herein) at that date (without giving effect to $23.7 million of letters of credit that were outstanding). On February 23, 2023, SHH entered into the First Lien Credit Agreement (the “2023 Credit Agreement”), which provides for, among other things, a new Term Loan B facility in an aggregate principal amount of $500.0 million and bears interest, at the Company’s option, at a variable per annum rate equal to either (x) the Term Secured Overnight Financing Rate (“Term SOFR”) (as defined in the 2023 Credit Agreement) plus an applicable margin of 3.75% or (y) an alternative base rate (“ABR”) plus an applicable margin of 2.75%. The 2023 Credit Agreement is secured on a first priority basis on substantially all of our assets and is guaranteed by us and certain of our subsidiaries. Please refer to Note 10, “Long-Term Debt” and “Item 7. Management’s Discussion and Analysis of Financial Condition and Results of Operations - Liquidity and Capital Resources” for further information. </w:t>
      </w:r>
    </w:p>
    <w:p>
      <w:pPr>
        <w:pStyle w:val="TextBody"/>
        <w:bidi w:val="0"/>
        <w:spacing w:lineRule="auto" w:line="27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indebtedness is variable interest rate debt. Our estimated debt service obligations for the next 12 months, which are comprised of principal and interest payments, are $176.6 million, based on Term SOFR benchmark interest rate and the outstanding principal amount of indebtedness of $2,260.6 million, each as of December 31, 2023. Debt service obligations under the 2023 Credit Agreement increased our total debt service obligations from and after February 23, 2023. For the year ended December 31, 2023, our cash flow used for debt service totaled $176.3 million, which was comprised of $2.5 million of principal payments on Term Loan B and interest payments of $173.8 million on all of our outstanding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high degree of leverage could have important consequences, including: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making it more difficult for us to satisfy our obligations;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increasing our vulnerability to general economic and industry conditions;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requiring a substantial portion of cash flow from operations to be used to pay off principal and interest on our indebtedness, thereby reducing our ability to use our cash flow to fund our operations, capital expenditures and future business opportunities;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exposing us to the risk of increased interest rates as our indebtedness is at variable interest rates;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restricting us from making strategic acquisitions or causing us to make non-strategic divestitures;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limiting our ability to obtain additional financing for working capital, capital expenditures, product development, debt service requirements, acquisitions, appellate litigation bonding expenses and general corporate or other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limiting our ability to adjust to changing market conditions and placing us at a disadvantage compared to our competitors that are less highly leveraged;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causing us to pay higher rates if we need to refinance our indebtedness at a time when prevailing market interest rates are unfavorable.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subsidiaries may obtain substantial additional indebtedness in the future, subject to the restrictions contained in the 2019 Credit Agreement and the 2023 Credit Agreement (together the “Combined Senior Secured Credit Facilities”). If new indebtedness is added to our current debt levels, the related risks that we now face could intensify. </w:t>
      </w:r>
    </w:p>
    <w:p>
      <w:pPr>
        <w:pStyle w:val="TextBody"/>
        <w:bidi w:val="0"/>
        <w:spacing w:lineRule="auto" w:line="288" w:before="240" w:after="283"/>
        <w:jc w:val="left"/>
        <w:rPr/>
      </w:pPr>
      <w:r>
        <w:rPr>
          <w:color w:val="000000"/>
        </w:rPr>
        <w:t> </w:t>
      </w:r>
      <w:r>
        <w:rPr>
          <w:rFonts w:ascii="Times New Roman;sans-serif" w:hAnsi="Times New Roman;sans-serif"/>
          <w:b w:val="false"/>
          <w:color w:val="000000"/>
          <w:sz w:val="20"/>
        </w:rPr>
        <w:t>Because we are exposed to interest rate risk through our variable-rate borrowings, we have entered into and may, in the future, enter into additional interest rate swaps that involve the exchange of floating for fixed rate interest payments to reduce interest rate volatility and interest rate cap agreements. We may not maintain interest rate swaps with respect to any of our variable rate indebtedness, and any swaps we enter into may not fully mitigate our interest rate risk. If interest rates increase, our debt service obligations on any variable rate indebtedness will increase even if the amount borrowed remains the same, and our earnings and cash flows, including cash available for servicing our indebtedness, will correspondingly decrease. Based on our indebtedness outstanding as of December 31, 2023 and the interest rate under our Term Loans that was in effect on December 31, 2023, a 1% increase in the Term SOFR benchmark interest rates would result in an increase of approximately $8.6 million in total annual interest expense under our outstanding debt obligations. Refer to Note 10, “Long-Term Debt” to our consolidated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debt agreements contain restrictions that limit our flexibility in operating our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Combined Senior Secured Credit Facilities contain various covenants that limit our ability to engage in specified types of transactions. These covenants limit our ability and our restricted subsidiaries’ ability to, among other things: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incur additional indebtedness or issue certain shares of preferred stock;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pay dividends on, repurchase or make distributions in respect of our capital stock or make other restricted payments;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make certain investments and acquisitions;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sell or transfer assets;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grant liens on our assets;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consolidate, merge, sell or otherwise dispose of all or substantially all of our assets;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enter into certain transactions with our affiliates.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under certain circumstances we are required to satisfy and maintain specified financial ratios and other financial condition tests under certain covenants in our Combined Senior Secured Credit Facilities. See Item 7, “Management’s Discussion and Analysis of Financial Condition and Results of Operations—Liquidity and Capital Resources.” Our ability to meet those financial ratios and tests can be affected by events beyond our control, including prevailing economic, financial market and industry conditions, and we cannot give assurance that we will be able to satisfy such ratios and tests when required.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breach of any of these covenants could result in a default under each of our Combined Senior Secured Credit Facilities. Upon the occurrence of an event of default, the lenders could elect to declare all amounts outstanding under the Combined Senior Secured Credit Facilities immediately due and payable and terminate all commitments to extend further credit. If we were unable to repay those amounts, the lenders under the Combined Senior Secured Credit Facilities could foreclose on the collateral granted to them to secure each such indebtedness. We have pledged substantially all of our assets as collateral under the Combined Senior Secured Credit Facilities.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cash flows may not be sufficient to service our indebtedness, and if we are unable to satisfy our obligations under our indebtedness, we may be required to seek other financing alternatives, which may not be successful.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make timely payments of principal and interest on our debt obligations, including our obligations under the Combined Senior Secured Credit Facilities, depends on our ability to generate positive cash flows from operations, which is subject to general economic conditions, competitive pressures and certain financial, business and other factors beyond our control. If our cash flows and capital resources are insufficient to make these payments, we may be required to seek additional financing sources, reduce or delay capital expenditures, sell assets or operations or refinance our indebtedness. These actions could have a material adverse effect on our business, financial conditions and results of operations. In addition, we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able to take any of these actions, and even if successful, these actions may not permit us to meet our scheduled debt service obligations. Our ability to restructure or refinance our existing indebtedness will depend on, among other things, the condition of the capital markets and our financial condition at the time. We may not be able to restructure or refinance any of our indebtedness on commercially reasonable terms or at all.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 lowering or withdrawal of the ratings assigned to our debt by rating agencies may increase our future borrowing costs and reduce our access to capital.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rating assigned to our debt by a rating agency could be lowered or withdrawn entirely if, in that rating agency’s judgment, future circumstances relating to the basis of the rating, such as adverse changes to our ability to service our debt obligations or our general financial condition, so warrant. Any future lowering of our ratings likely would make it more difficult or more expensive for us to obtain additional debt financing. Additionally, we enter into various forms of hedging arrangements against currency, interest rates or commodity price fluctuations. Financial strength and credit ratings are also important to the availability and pricing of any hedging activities we decide to undertake, and a downgrade of our credit ratings may make it more costly for us to engage in these activities.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Term SOFR and certain other interest “benchmarks” are subject to regulatory guidance and reform that will cause interest rates under our current or future debt agreements to perform differently than in the past or could cause other unanticipated consequences.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our Combined Senior Secured Credit Facilities bear interest at variable interest rates, based on the Term SOFR and certain other benchmarks, fluctuations in interest rates could have a material effect on our business. We currently utilize, and may in the future utilize, derivative financial instruments such as interest rate swaps or interest rate caps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Sotera Health Holdings, LLC is a holding company, and therefore its ability to make any required payment on our credit agreements depends upon the ability of its subsidiaries to pay it dividends or to advance it funds.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SHH, the borrower under our Combined Senior Secured Credit Facilities, has no direct operations and no significant assets other than the equity interests of its subsidiaries. Because it conducts its operations through its operating subsidiaries, SHH depends on those entities to generate the funds necessary to meet its financial obligations, including its required obligations under our Combined Senior Secured Credit Facilities. The ability of our subsidiaries to make transfers and other distributions to SHH will be subject to, among other things, the terms of any debt instruments of such subsidiaries then in effect and applicable law. If transfers or other distributions from our subsidiaries to SHH were eliminated, delayed, reduced or otherwise impaired, our ability to make payments on the obligations under our credit agreements would be substantially impaired.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Our Common Stock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market and trading volume of our common stock may be volatile, and you could lose all or part of your investment.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price of our common stock may fluctuate or decline significantly in the future. Some of the factors that could negatively affect our share price or result in fluctuations in the price or trading volume of our common stock include those listed in the related Risk Factor “—Risks Related to the Company,” “—Risks Related to Our Indebtedness and Liquidity” and the following, some of which are beyond our control: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volatility or economic downturns in the markets in which we, our suppliers or our customers are located caused by pandemics, including the COVID-19 pandemic, and related policies and restrictions undertaken to contain the spread of such pandemics or potential pandemics;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developments in our litigation matters and governmental investigations or additional significant lawsuits or governmental investigations relating to our services or facilities, including our susceptibility as a publicly-traded company to enforcement proceedings and civil litigation alleging that our disclosures have not complied with federal and state securities laws and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regulatory or legal developments in the jurisdictions in which we operate;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adverse publicity about us or the industries in which we participate;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variations in our quarterly or annual results of operations, or in those of our competitors or of companies in the medical device and pharmaceutical industries;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financial projections we may provide to the public, any changes in these projections or our failure to meet these projections;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sales of our common stock by us or our stockholders in the future or the perception that such sales may occur;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publication of research reports about the industries in which we participate;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changes in analysts’ estimates, investors’ perceptions, recommendations by securities analysts, our failure to achieve analysts’ estimates or failure of analysts to maintain coverage of us;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volatility in the trading prices and trading volumes of companies similar to us;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changes in operating performance and stock market valuations of companies in our industry;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changes in accounting principles, policies, guidance, interpretations or standards;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general market conditions and other factors unrelated to our operating performance or the operating performance of our competitors.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the market price of companies’ securities, securities class action litigation has often been instituted against these companies, and a putative class action of this kind is currently pending against us. See Note 20, “Commitments and Contingencies” to our consolidated financial statements under the heading “Stockholder Lawsuit.” Such litigation could result in substantial costs and a diversion of our management’s attention and resources.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future issuance of additional common stock in connection with our incentive plans, acquisitions or otherwise will dilute all other stockholdings.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20, 2024, we had an aggregate of 886,109,800 shares of common stock that are not currently reserved for issuance under our 2020 Omnibus Incentive Plan (“2020 Plan”), as well as 3,204,952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own our common stock.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Future offerings of debt or equity securities by us may adversely affect the market price of our common stock.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requiring substantial additional capital through a combination of additional issuances of equity, corporate indebtedness, asset-backed acquisition financing and/or cash from operations.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 sale of a substantial number of shares of our common stock, or the perception that such sales might occur, may cause the price of our common stock to decline.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sales of substantial amounts of our common stock in the public market,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initial public offering (“IPO”), we entered into a stockholders’ agreement with certain holders of our common stock, including investment funds and entities affiliated with either Warburg Pincus or GTCR and members of our management team, which we refer to as the “Stockholders’ Agreement.” Under the Stockholders’ Agreement, individual stockholders who were members of our management before the IPO, and other persons related to these individuals, are subject to contractual restrictions on transfer of shares of our common stock until November 19, 2026. These restrictions apply to approximately 26,130,422 shares as of February 20, 2024, but may be waived at any time by a majority of the members of the leadership development and compensation committee of the board of directors.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20, 2024, the Sponsors own approximately 62.1% of our outstanding common stock and have rights to require us to file registration statements covering their shares. The Sponsors and certain other stockholders could also require us to include their shares in registration statements that we may file for ourselves or our stockholders. Additionally, the Sponsors and our officers and directors may sell shares into the public markets in accordance with the requirements of Rule 144 under the Securities Act.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sales of securities by any of our stockholders described above could have a material adverse effect on the market price of our common stock.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Although we do not currently rely on the “controlled company” exemption, we are a “controlled company” within the meaning of the Nasdaq corporate governance standards and qualify for exemptions from certain corporate governance requirements.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Sponsors own a majority of our outstanding common stock, we are presently a “controlled company” as that term is set forth in the Nasdaq corporate governance standards. Under these rules, a company of which more than 50% of the voting power is held by another person or group of persons acting together is a “controlled company” and may elect not to comply with certain corporate governance requirements, including: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requirement that a majority of our board of directors consist of independent directors;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requirement that our director nominations be made, or recommended to the full board of directors, by our independent directors or by a nominations committee that is comprised entirely of independent directors with a written charter addressing the committee’s purpose and responsibilities;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requirement that our compensation committee be composed entirely of independent directors with a written charter addressing the committee’s purpose and responsibilities;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requirement that we conduct an annual performance evaluation of the nominating and corporate governance and compensation committees.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presently qualify as a “controlled company,” we are not currently relying on this exemption and intend to continue to comply fully with all corporate governance requirements for non-controlled companies under the Nasdaq corporate governance standards. If we were to elect at some point in the future to utilize some or all of these exemptions, however, our stockholders may not have the same protections afforded to stockholders of companies that are subject to all of the Nasdaq corporate governance requirements and investors’ perceptions of our corporate governance could be adversely affected by the Sponsors’ significant ownership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the ownership of our common stock continues to be highly concentrated, it may prevent minority stockholders from influencing significant corporate decisions and may result in conflicts of interest.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20, 2024, the Sponsors own approximately 62.1% of our outstanding common stock and retain the right to designate over a majority of our directors. As a result, the Sponsors own shares sufficient for the majority vote over all matters requiring a stockholder vote. Our Stockholders’ Agreement contains agreements with respect to certain other matters,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the termination of our chief executive officer or designation of a new chief executive officer; changes in the composition of committees of our board of directors; entry into or changes to certain compensation agreements; and the issuance of additional shares of our common stock. This concentration of ownership, together with the Sponsors’ rights under our Stockholders’ Agreement, may delay, deter or prevent acts that would be favored by our other stockholders. The interests of the Sponsors may not always coincide with our interests or the interests of our other stockholders. For example, because the Sponsors purchased their shares at prices substantially below the price at which shares were sold to the public in our IPO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 holders of the Sponsors, from losses arising out of any threatened or actual litigation by reason of the fact that the indemnified person is or was a holder of our common stock or of equity interests in Sotera Health Company. Public stockholders will not benefit from this indemnification provision.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concentration of ownership, together with the Sponsors’ rights under our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 Sponsors’ rights under our Stockholders’ Agreement, may adversely affect the trading price of our common stock because investors may perceive disadvantages in owning shares in a company with significant stockholders with correspondingly significant voting rights.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Certain of our stockholders have the right to engage or invest in the same or similar businesses as us.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that any of our directors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and such person acts in good faith.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Anti-takeover provisions in our amended and restated certificate of incorporation, amended and restated bylaws and our Stockholders’ Agreement, as well as Delaware law, could discourage a change in control of our company or a change in our management.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and amended and restated bylaws, our Stockholders’ Agreement and Delaware law contain provisions that might discourage, delay or prevent a merger, acquisition, or other change in control that stockholders may consider favorable, including transactions in which our stockholders might otherwise receive a premium for shares of our common stock. These provisions may also prevent or frustrate attempts by our stockholders to replace or remove our management. These provisions include: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limiting the liability of, and providing indemnification to, our directors and officers;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establishing a classified board of directors with three-year staggered terms, which could delay the ability of stockholders to change the membership of a majority of our board of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providing that directors may be removed only for cause by the affirmative vote of the holders of at least 75% of the voting power of our outstanding common stock; provided that so long as investment funds and entities affiliated with either Warburg Pincus or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 Stockholders’ Agreement and (ii) the number of directors shall not exceed eleven without the consent of Warburg Pincus or GTCR;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requiring the affirmative vote of at least 66 2/3% of the voting power of our outstanding common stock to amend certain provisions of our amended and restated certificate of incorporation and amended and restated bylaws; provided that so long as investment funds and entities affiliated with either Warburg Pincus or GTCR, collectively, hold at least a majority of our outstanding capital stock, only a majority stockholder vote requirement would apply to such matters;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providing that for so long as investment funds and entities affiliated with either Warburg Pincus or GTCR have the right (individually) to designate at least three directors for election to our board of directors, certain board approvals, including amendments to our amended and restated certificate of incorporation or amended and restated bylaws and certain specified corporate transactions, including certain acquisitions, mergers, other business combination transactions and dispositions, may be effected only with the affirmative vote of 75% of our board of directors, in addition to any other vote required by applicable law;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right to issue blank check preferred stock without stockholder approval, which could be used to dilute the stock ownership of a potential hostile acquirer or adopt a stockholder rights plan;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 requirement that our stockholders may only take action at annual or special meetings of our stockholders and may not act by written consent; provided that, for so long as investment funds and entities affiliated with either Warburg Pincus or GTCR, collectively, beneficially own a majority of our outstanding capital stock,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limiting the ability of stockholders to call and bring business before special meetings; provided that for so long as investment funds and entities affiliated with either Warburg Pincus or GTCR, collectively, beneficially own a majority of our outstanding capital stock, special meetings of our stockholders may be called by the affirmative vote of the holders of a majority of our outstanding voting stock; and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limiting the forum to the Delaware Court of Chancery or Federal Court for certain types of actions and proceedings that may be initiated against us by stockholders.</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persons are a party) who acquires at least 15% of our common stock for a period of three years from the date such person acquired such common stock, unless board or stockholder approval is obtained prior to the acquisition.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provisions might discourage, delay or prevent a change in control of our company or a change in our management. For example, because investment funds and entities affiliated with either Warburg Pincus or GTCR together own a majority of the voting power of our common stock, they could prevent a third party from acquiring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Exchange Act. Section 27 of the Exchange Act creates exclusive federal jurisdiction over all suits brought to enforce any duty or liability created by the Exchange Act or the rules and regulations thereunder. Our amended and restated certificate of incorporation further provides that unless we consent in writing to the selection of an alternative forum, the federal district courts of the United States of America shall, to the fullest extent permitted by law, be the sole and exclusive forum for resolving any complaint asserting a cause of action arising under the Securities Act (the “Federal Forum Provision”).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Delaware Forum Provision and the Federal Forum Provision may limit a stockholder’s ability to bring a claim in a judicial forum that the stockholder believes might be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do not anticipate paying any dividends on our common stock in the foreseeable future, and, consequently, stockholders’ ability to achieve a return on their investment will depend on appreciation in the price of our common stock.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expect to declare or pay dividends on our common stock in the foreseeable future. We currently expect to use any cash flow generated by operations to pay for our operations, repay existing indebtedness and grow our business.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the Combined Senior Secured Credit Facilities. As a result, capital appreciation, if any, of our common stock will be the sole source of potential gain for the foreseeable future, and stockholders will have to sell some or all of their common stock holdings to generate cash flow from their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40" w:after="283"/>
        <w:jc w:val="left"/>
        <w:rPr/>
      </w:pPr>
      <w:r>
        <w:rPr>
          <w:rFonts w:ascii="Times New Roman;sans-serif" w:hAnsi="Times New Roman;sans-serif"/>
          <w:b w:val="false"/>
          <w:color w:val="000000"/>
          <w:sz w:val="20"/>
        </w:rPr>
        <w:t>We rely on information technology (“IT”) systems to conduct business, including but not limited to, interacting with customers and suppliers, fulfilling orders, generating invoices, collecting and making payments, fulfilling contractual obligations, communicating with internal and external stakeholders, and maintaining our business and financial records. In addition, we rely on networks and services, including internet sites, cloud and software-as-a-service solutions, data hosting and processing facilities and tools and other hardware, software and technical applications and platforms, some of which are managed, hosted, provided and/or used by third-parties or their vendors. As a result, the Company is subject to various risks related to vulnerabilities, threats and attacks on these IT systems. See Item 1A, “Risks Related to the Company – “Our business may be subject to system interruptions, cyber security breaches and unauthorized data disclosures.”</w:t>
      </w:r>
      <w:r>
        <w:rPr>
          <w:color w:val="000000"/>
        </w:rPr>
        <w:t xml:space="preserve"> </w:t>
      </w:r>
      <w:r>
        <w:rPr>
          <w:rFonts w:ascii="Times New Roman;sans-serif" w:hAnsi="Times New Roman;sans-serif"/>
          <w:b w:val="false"/>
          <w:color w:val="000000"/>
          <w:sz w:val="20"/>
        </w:rPr>
        <w:t>under Item 1A. Risk Factors for additional discussion of these risks.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Cybersecurity Risk Management and Strategy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Identifying and assessing cybersecurity risk is fully integrated into our overall risk management systems and processes. The Company is committed to developing and maintaining cybersecurity processes that protect the confidentiality, integrity and availability of Company, employee, customer and partner information against a growing number of increasingly sophisticated cybersecurity threats and threat actors. Our cybersecurity program is designed to protect our infrastructure from potential threats, to allow us to assess, identify and manage material risks from cybersecurity threats and to endeavor to secure the integrity of our data systems using techniques, hardware, and software typical of companies of our size and scope, which are described further below. For example, we leverage the National Institute of Standards and Technology Cybersecurity Framework’s (“NIST CSF”) principles in developing our cybersecurity program to monitor our security environment and manage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adopted a risk-based strategy designed to achieve a targeted and cost-effective approach to managing cybersecurity risks that strengthens our abilities to prevent, detect, and respond to cyber-attacks, breaches, or threats. The Company has configured its IT environment, where possible, to restrict access using a least privileged methodology. We use various technologies and monitoring capabilities to detect anomalies and track information and assets. We have implemented a cybersecurity awareness program consisting of frequent training, phishing exercises, and bulletins regarding pertinent cybersecurity developments. We maintain and regularly update incident response, disaster recovery and business continuity plans and procedures. Our IT specialists subscribe to threat intelligence feeds and are members of cybersecurity-related associations such as the Information Systems Audit and Control Association , the Computing Technology Industry Association and the Cloud Security Alliance. We also retain independent experts to assess our cybersecurity programs and the potential vulnerabilities of our IT systems to unauthorized access and other intrusions. We also maintain insurance coverage for cyber and data security risks of an amount and subject to conditions and exceptions that we believe are customary for companies like ours, but there can be no assurance that our levels of coverage are adequate or that we will be able to continue to maintain our existing insurance or obtain comparable insurance at a reasonable cost.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Material risks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our resiliency planning and security controls are appropriate to our exposures to system outages, service interruptions, security incidents and breaches, our information technology systems remain vulnerable to attacks by increasingly sophisticated actors who attempt to cause harm to, or otherwise interfere with, the normal use of our systems. Like other companies with international operations, we have been subjected to targeted and non-targeted attacks and other cyber incidents and continue to face numerous cybersecurity threats on a regular basis, including regular attempts to penetrate our information technology infrastructure and breaches of our security systems by our employees, both accidental and intentional. Our suppliers, contractors, service providers, and other third parties with whom we do business also experience cyber threats and attacks that are similar in frequency and sophistication. Moreover, in many cases, the Company relies on controls put in place by our suppliers, contractors, service providers, and other third parties to defend against and otherwise respond to cyber threats and attacks, which may prove insufficient.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technology systems and infrastructure are also potentially vulnerable to computer viruses, breakdowns or other interruptions caused by fires, natural disasters, losses of power, system malfunctions or other disruptions. IT security breaches by third parties who are able to penetrate our systems without authorization or data privacy breaches by employees or others with authorized access pose the risk that sensitive data may be exposed to unauthorized persons or the public, rendered inaccessible or permanently lost. The increasing use and evolution of technology creates additional opportunities for the intentional or unintentional dissemination or destruction of confidential or proprietary information stored in our systems or portable media or storage devices. We may also experience business interruptions (including, but not limited to, the partial or complete shutdown of one or more of our facilities), thefts of information or reputational damage from industrial or nation-state espionage attacks, ransomware, other malware or other cyber incidents or data breaches, which may compromise our system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or lead to data breaches, either internally or at our third-party providers or other business partners. Such incidents could compromise our trade secrets or other confidential information and result in such information being disclosed to third parties and becoming less valuable. Additionally, many of our employees continue to work remotely either part-time or full-time, which may increase the risk of data breaches or other types of cyber incidents.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not experienced any material cybersecurity incidents that caused us to incur any material expenses or materially affected our business, results of operations or financial condition, but we cannot assure that our business, results of operations and financial condition will not be materially affected in the future by cybersecurity risks or future incidents. Breaches in IT security, system interruptions and unauthorized disclosures of data, whether perceived or actual, could adversely affect our business, assets, revenues, results of operations, brands and reputation and result in fines, litigation, regulatory proceedings and investigations, increased insurance premiums, remediation efforts, indemnification expenditures, lost revenues and other potential liabilities. Although we have taken and will continue to take significant steps to protect the security and integrity of our information and although we have implemented policies and procedures to enhance data privacy and security, there can be no assurance that our efforts will prevent breakdowns, system failures, breaches of our systems or other cyber incidents or otherwise be fully effective. Any such breakdown, breach or incident could adversely affect our business, prospects, financial condition or results of operations, and any insurance that we may have for cyber incidents may not cover such risks or be sufficient to compensate us for losses that may occur.</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Cybersecurity Governance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Chief Information Officer (“CIO”) is responsible for assessing and managing cybersecurity risks in collaboration with the Senior Director of IT Governance, Service Delivery and the Senior Director of Global Infrastructure, and Senior Information Security Architect, who manage our day-to-day cybersecurity-related matters and keep abreast of cybersecurity news, events and incidents through regular course monitoring and updates. These individuals average over 25 years of professional experience in various roles across multiple industries involving managing information security, developing cyber security strategy, implementing cybersecurity programs, and managing multiple industry and regulatory compliance environments (including over 15 years of collective experience working for public companies in similar roles prior to joining the Company). Our Senior Information Security Architect has several information technology-related certifications, including as a Certified Information Systems Security Professional (“CISSP”).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detected, suspected cybersecurity threats are escalated to the CIO and incident response team. The CIO then creates a Cybersecurity Incident Response Team (“CSIRT”) which, depending on the incident, comprises the incident coordinator, cybersecurity staff, legal counsel and other stakeholders as appropriate. The CSIRT investigates and manages the impact of cybersecurity incidents in accordance with our security incident response procedures. The incident response plan provides for our CIO and our CIO’s team to work closely with our Chief Financial Officer, General Counsel and other key stakeholders, as appropriate, to assess the materiality of the incident and any impact to the Company’s operations or financial position. Pursuant to the incident response plan and the Company’s Disclosure Controls and Procedures, potentially material cyber incidents are escalated to the Company’s Disclosure Committee to evaluate, in consultation with the Chair of the Audit Committee of our Board of Directors as needed, whether an incident is required to be reported on a Form 8-K.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Board and the Board’s Audit Committee oversee the Company’s enterprise risk management (“ERM”) program, including the Company’s assessments of cybersecurity risks and exposures and the Company’s processes to safeguard assets and manage material cybersecurity risks. On an annual basis, the Board reviews the Company’s principal current and future risk exposures, including cybersecurity risks and exposures. The Audit Committee bears principal responsibility for overseeing the Company’s major financial risk and enterprise exposures and the steps management has taken to monitor and control such exposures, including an annual session with our CIO on the Company’s procedures and policies for assessing and managing cybersecurity risks and disclosing any material cybersecurity incidents. In performing these oversight functions, the Board and Audit Committee rely on advice, reports and opinions of management, counsel and our internal and external auditors, including mid-year and year-end cyber inquiries by our external auditors on various aspects of the Company’s cybersecurity program, processes and training.</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Independent Experts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engaged an independent expert to conduct annual external and internal penetration tests beginning in the fourth quarter of 2021 and to assess our cybersecurity program against the NIST CSF in late 2022. We plan to continue to engage independent experts to periodically test our cybersecurity policies for their effectiveness.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333" w:before="0" w:after="0"/>
        <w:jc w:val="left"/>
        <w:rPr/>
      </w:pPr>
      <w:hyperlink w:anchor="ifcb9a1dd2c5241fc889f8362a6f7e549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headquarters is in Broadview Heights, Ohio, our Sterigenics headquarters is in Oakbrook, Illinois, our Nordion headquarters is in Kanata, Ontario and our Nelson Labs headquarters is in Taylorsville, Utah. As of December 31, 2023, we operated 63 facilities in North America, South America, Europe and Asia. The following table identified the number of owned and leased facilities, other than our headquarters listed above. We believe that our facilities are adequate for our current needs and that suitable additional or substitute space will be available as needed to accommodate planned expansion of our operations. </w:t>
      </w:r>
    </w:p>
    <w:tbl>
      <w:tblPr>
        <w:tblW w:w="5661" w:type="dxa"/>
        <w:jc w:val="left"/>
        <w:tblInd w:w="0" w:type="dxa"/>
        <w:tblLayout w:type="fixed"/>
        <w:tblCellMar>
          <w:top w:w="28" w:type="dxa"/>
          <w:left w:w="28" w:type="dxa"/>
          <w:bottom w:w="28" w:type="dxa"/>
          <w:right w:w="28" w:type="dxa"/>
        </w:tblCellMar>
      </w:tblPr>
      <w:tblGrid>
        <w:gridCol w:w="406"/>
        <w:gridCol w:w="358"/>
        <w:gridCol w:w="360"/>
        <w:gridCol w:w="449"/>
        <w:gridCol w:w="449"/>
        <w:gridCol w:w="451"/>
        <w:gridCol w:w="109"/>
        <w:gridCol w:w="109"/>
        <w:gridCol w:w="109"/>
        <w:gridCol w:w="384"/>
        <w:gridCol w:w="384"/>
        <w:gridCol w:w="386"/>
        <w:gridCol w:w="109"/>
        <w:gridCol w:w="109"/>
        <w:gridCol w:w="109"/>
        <w:gridCol w:w="404"/>
        <w:gridCol w:w="404"/>
        <w:gridCol w:w="572"/>
      </w:tblGrid>
      <w:tr>
        <w:trPr/>
        <w:tc>
          <w:tcPr>
            <w:tcW w:w="40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6"/>
                <w:u w:val="single"/>
              </w:rPr>
              <w:t>Segment</w:t>
            </w:r>
            <w:r>
              <w:rPr>
                <w:rFonts w:ascii="Times New Roman;sans-serif" w:hAnsi="Times New Roman;sans-serif"/>
                <w:b/>
                <w:color w:val="000000"/>
                <w:sz w:val="9"/>
              </w:rPr>
              <w:t>(1)</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Owned Facilities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Owned/Leased</w:t>
            </w:r>
          </w:p>
          <w:p>
            <w:pPr>
              <w:pStyle w:val="TableContents"/>
              <w:bidi w:val="0"/>
              <w:spacing w:lineRule="auto" w:line="288" w:before="0" w:after="0"/>
              <w:jc w:val="center"/>
              <w:rPr/>
            </w:pPr>
            <w:r>
              <w:rPr>
                <w:rFonts w:ascii="Times New Roman;sans-serif" w:hAnsi="Times New Roman;sans-serif"/>
                <w:b/>
                <w:color w:val="000000"/>
                <w:sz w:val="16"/>
              </w:rPr>
              <w:t>Facilities</w:t>
            </w:r>
            <w:r>
              <w:rPr>
                <w:rFonts w:ascii="Times New Roman;sans-serif" w:hAnsi="Times New Roman;sans-serif"/>
                <w:b/>
                <w:color w:val="000000"/>
                <w:sz w:val="10"/>
              </w:rPr>
              <w:t>(2)</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Leased Facilities </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lineRule="auto" w:line="288" w:before="2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(1)Seven of our Sterigenics and Nelson Labs facilities are located at the same address but are considered separate facilities because they require separate infrastructure. Two of our Sterigenics facilities are located at the same address but are considered separate facilities because they provide different sterilization modalities and require separate infrastructure. </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(2)Owned/leased facilities are comprised of multiple buildings, with some leased and some owned.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subject to various legal proceedings arising in the ordinary course of our business, including claims relating to personal injury, property damage, workers’ compensation, employee safety and our disclosures as a Nasdaq-listed, publicly-traded company. In addition, from time to time, we receive communications from government or regulatory agencies concerning investigations or allegations of noncompliance with laws or regulations in jurisdictions in which we operate. At this time, and except as is noted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legal proceedings is included below. </w:t>
      </w:r>
    </w:p>
    <w:p>
      <w:pPr>
        <w:pStyle w:val="TextBody"/>
        <w:bidi w:val="0"/>
        <w:spacing w:lineRule="auto" w:line="288" w:before="240" w:after="283"/>
        <w:jc w:val="left"/>
        <w:rPr/>
      </w:pPr>
      <w:r>
        <w:rPr>
          <w:rFonts w:ascii="Times New Roman;sans-serif" w:hAnsi="Times New Roman;sans-serif"/>
          <w:b/>
          <w:color w:val="000000"/>
          <w:sz w:val="20"/>
        </w:rPr>
        <w:t>Legal Proceedings Described in Note</w:t>
      </w:r>
      <w:r>
        <w:rPr>
          <w:color w:val="000000"/>
        </w:rPr>
        <w:t xml:space="preserve"> </w:t>
      </w:r>
      <w:r>
        <w:rPr>
          <w:rFonts w:ascii="Times New Roman;sans-serif" w:hAnsi="Times New Roman;sans-serif"/>
          <w:b/>
          <w:color w:val="000000"/>
          <w:sz w:val="20"/>
        </w:rPr>
        <w:t xml:space="preserve">20, “Commitments and Contingencies” of Our Consolidated Financial Statements </w:t>
      </w:r>
    </w:p>
    <w:p>
      <w:pPr>
        <w:pStyle w:val="TextBody"/>
        <w:bidi w:val="0"/>
        <w:spacing w:lineRule="auto" w:line="288" w:before="240" w:after="240"/>
        <w:jc w:val="left"/>
        <w:rPr/>
      </w:pPr>
      <w:r>
        <w:rPr>
          <w:rFonts w:ascii="Times New Roman;sans-serif" w:hAnsi="Times New Roman;sans-serif"/>
          <w:b w:val="false"/>
          <w:color w:val="000000"/>
          <w:sz w:val="20"/>
        </w:rPr>
        <w:t>Note</w:t>
      </w:r>
      <w:r>
        <w:rPr>
          <w:color w:val="000000"/>
        </w:rPr>
        <w:t xml:space="preserve"> </w:t>
      </w:r>
      <w:r>
        <w:rPr>
          <w:rFonts w:ascii="Times New Roman;sans-serif" w:hAnsi="Times New Roman;sans-serif"/>
          <w:b w:val="false"/>
          <w:color w:val="000000"/>
          <w:sz w:val="20"/>
        </w:rPr>
        <w:t>20, “Commitments and Contingencies”</w:t>
      </w:r>
      <w:r>
        <w:rPr>
          <w:color w:val="000000"/>
        </w:rPr>
        <w:t xml:space="preserve"> </w:t>
      </w:r>
      <w:r>
        <w:rPr>
          <w:rFonts w:ascii="Times New Roman;sans-serif" w:hAnsi="Times New Roman;sans-serif"/>
          <w:b w:val="false"/>
          <w:color w:val="000000"/>
          <w:sz w:val="22"/>
        </w:rPr>
        <w:t>t</w:t>
      </w:r>
      <w:r>
        <w:rPr>
          <w:rFonts w:ascii="Times New Roman;sans-serif" w:hAnsi="Times New Roman;sans-serif"/>
          <w:b w:val="false"/>
          <w:color w:val="000000"/>
          <w:sz w:val="20"/>
        </w:rPr>
        <w:t>o our consolidated financial statements for the year ended December 31, 2023 contained in this Annual Report on Form 10-K includes information on legal proceedings that constitute material contingencies for financial reporting purposes that could have a material effect on our financial condition or results of operations. This item should be read in conjunction with Note 20, “Commitments and Contingencies”</w:t>
      </w:r>
      <w:r>
        <w:rPr>
          <w:color w:val="000000"/>
        </w:rPr>
        <w:t xml:space="preserve"> </w:t>
      </w:r>
      <w:r>
        <w:rPr>
          <w:rFonts w:ascii="Times New Roman;sans-serif" w:hAnsi="Times New Roman;sans-serif"/>
          <w:b w:val="false"/>
          <w:color w:val="000000"/>
          <w:sz w:val="20"/>
        </w:rPr>
        <w:t>for information regarding the following legal proceedings, which information is incorporated into this item by reference: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Ethylene Oxide Tort Litigation – Illinois, Georgia and New Mexico;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Insurance Coverage for Environmental Liabilities;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Sotera Health Company Securities Litigation and Related Matters.</w:t>
      </w:r>
    </w:p>
    <w:p>
      <w:pPr>
        <w:pStyle w:val="TextBody"/>
        <w:bidi w:val="0"/>
        <w:spacing w:lineRule="auto" w:line="288" w:before="240" w:after="283"/>
        <w:jc w:val="left"/>
        <w:rPr/>
      </w:pPr>
      <w:r>
        <w:rPr>
          <w:rFonts w:ascii="Times New Roman;sans-serif" w:hAnsi="Times New Roman;sans-serif"/>
          <w:b/>
          <w:color w:val="000000"/>
          <w:sz w:val="20"/>
        </w:rPr>
        <w:t>Legal Proceedings That Are Not Described in Note</w:t>
      </w:r>
      <w:r>
        <w:rPr>
          <w:color w:val="000000"/>
        </w:rPr>
        <w:t xml:space="preserve"> </w:t>
      </w:r>
      <w:r>
        <w:rPr>
          <w:rFonts w:ascii="Times New Roman;sans-serif" w:hAnsi="Times New Roman;sans-serif"/>
          <w:b/>
          <w:color w:val="000000"/>
          <w:sz w:val="20"/>
        </w:rPr>
        <w:t>20, “Commitments and Contingencies” to Our Consolidated Financial Statements</w:t>
      </w:r>
    </w:p>
    <w:p>
      <w:pPr>
        <w:pStyle w:val="TextBody"/>
        <w:bidi w:val="0"/>
        <w:spacing w:lineRule="auto" w:line="288" w:before="240" w:after="283"/>
        <w:jc w:val="left"/>
        <w:rPr/>
      </w:pPr>
      <w:r>
        <w:rPr>
          <w:rFonts w:ascii="Times New Roman;sans-serif" w:hAnsi="Times New Roman;sans-serif"/>
          <w:b w:val="false"/>
          <w:color w:val="000000"/>
          <w:sz w:val="20"/>
        </w:rPr>
        <w:t>In addition to the matters identified in Note</w:t>
      </w:r>
      <w:r>
        <w:rPr>
          <w:color w:val="000000"/>
        </w:rPr>
        <w:t xml:space="preserve"> </w:t>
      </w:r>
      <w:r>
        <w:rPr>
          <w:rFonts w:ascii="Times New Roman;sans-serif" w:hAnsi="Times New Roman;sans-serif"/>
          <w:b w:val="false"/>
          <w:color w:val="000000"/>
          <w:sz w:val="20"/>
        </w:rPr>
        <w:t>20, “Commitments and Contingencies” to our consolidated financial statements for the year ended December 31, 2023 contained in this Annual Report on Form 10-K, and incorporated into this item by reference, the following matters also constitute material pending legal proceedings, other than ordinary course litigation incidental to our business, to which we are or any of our subsidiaries is a party.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Zoetermeer, Holland Criminal Proceedings and Criminal Financial Investigation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2010, the Dutch Public Prosecution Service started criminal proceedings against our subsidiary DEROSS Holding B.V. (“DEROSS”), in relation to alleged environmental permit violations for EO emissions in the period from 2004 to 2009 at its Zoetermeer processing facility. We agreed to defend and indemnify the two individuals overseeing environmental compliance during the time period of the alleged claims by the Public Prosecutor. In November 2010, the Public Prosecution Service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333" w:before="0" w:after="0"/>
        <w:jc w:val="left"/>
        <w:rPr/>
      </w:pPr>
      <w:hyperlink w:anchor="ifcb9a1dd2c5241fc889f8362a6f7e549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started a criminal financial investigation against DEROSS to determine whether it obtained illegal advantages by committing the alleged criminal offenses noted above.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2018, DEROSS and the two individuals received favorable judgments from the trial court, which did not hold any of them responsible for the alleged criminal offenses. In March 2018, the Public Prosecutor filed an appeal. In May 2023, the Public Prosecutor agreed to a resolution of the proceedings against DEROSS and the two individuals. The resolution was completed in December 2023, with the Public Prosecutor not appealing further against the 2018 favorable judgments of the trial court, and DEROSS making a contribution of €990,000 to a charity, which was funded from an escrow established in 2011 to satisfy indemnity claims for losses related to this matter.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received letters in past years from a small number of individuals claiming to live or work in the vicinity of the Zoetermeer facility, no civil claims have been filed against DEROSS or us. There can be no assurance that individuals living in the vicinity of the Zoetermeer facility will not file civil claims at some time in the future. </w:t>
      </w:r>
    </w:p>
    <w:p>
      <w:pPr>
        <w:pStyle w:val="TextBody"/>
        <w:bidi w:val="0"/>
        <w:spacing w:lineRule="auto" w:line="26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Notice of Violation at Queensbury, New York Ethylene Oxide Sterilization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late May 2023, Sterigenics’ Queensbury, New York facility experienced a power outage that resulted in a failure to restart the facility’s scrubber system (part of the facility’s emission control systems). The disruption of the facility’s scrubber lasted for approximately 48 hours. Upon discovering the disruption, the facility restarted the scrubber to control emissions within the system and then ceased operations. Operating without the scrubber resulted in nine intermittent releases of EO over a period of 48 hours from the 78-foot stack at the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promptly notified the New York State Department of Environmental Conservation (“DEC”) and US EPA about the failure of the scrubber system and resulting releases of EO. Sterigenics implemented remedial measures to prevent a recurrence in the event of future power outages and, with the DEC’s approval, resumed operations at the Queensbury facility 12 days after ceasing operations. In May 2023, Sterigenics received a Notice of Violation (“NOV”) from the DEC. In September 2023, the DEC offered to settle the NOV for an immaterial amount plus proposed requirements to implement additional emissions monitoring and back-up power capabilities at the facility. Settlement negotiations are continuing.</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Notices of Violation at Vernon and Ontario, California Ethylene Oxide Sterilization Facilities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2022, the South Coast Air Quality Management District (“SCAQMD”) in Southern California initiated an investigation into EO sterilization facilities located in the SCAQMD region, including Sterigenics’ facilities in Vernon and Ontario, California. In connection with this investigation, SCAQMD issued NOVs to the Vernon and Ontario facilities alleging violations of SCAQMD operational, maintenance, permitting and reporting requirements and that levels of ambient EO detected by SCAQMD during 2022 caused a public nuisance for off-site workers around the facilities in violation of general prohibitions on emissions. Sterigenics disputes the allegations. In December 2023, Sterigenics offered to settle the NOVs for an immaterial amount. Settlement negotiations are continuing.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5.</w:t>
      </w:r>
      <w:r>
        <w:rPr>
          <w:color w:val="000000"/>
        </w:rPr>
        <w:t xml:space="preserve"> </w:t>
      </w:r>
      <w:r>
        <w:rPr>
          <w:rFonts w:ascii="Times New Roman;sans-serif" w:hAnsi="Times New Roman;sans-serif"/>
          <w:b/>
          <w:color w:val="000000"/>
          <w:sz w:val="20"/>
        </w:rPr>
        <w:t>Market for Registrant’s Common Equity, Related Stockholder Matters and Issuer Purchases of Equity Securities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Market Information for Common Stock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common stock is listed on the Nasdaq under the ticker symbol “SHC.”</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20, 2024, we had approximately 83 holders of record of our common stock. This number does not include the beneficial owners of our common stock who hold their shares through banks, brokers or other financial institutions.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currently expect to pay any dividends on our common stock. Instead, we intend to use any future earnings for the operation and growth of our business and the repayment of indebtedness.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cash dividends,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may deem relevant. The timing and amount of future dividend payments will be at the discretion of our board of directors.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imposes requirements that may restrict our ability to pay dividends.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cumulative total return to stockholders on our common stock relative to the cumulative total returns of the Nasdaq Composite Index and the Standard and Poors (“S&amp;P”) 500 Global Health Care Index. An investment of $100 (with reinvestment of all dividends) is assumed to have been made in our common stock and in each index on November 20, 2020, the date our common stock began trading on the Nasdaq, and its relative performance is tracked through December 31, 2023. The returns shown are based on historical results and are not intended to suggest future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240" w:after="283"/>
        <w:jc w:val="center"/>
        <w:rPr/>
      </w:pPr>
      <w:r>
        <w:rPr/>
        <w:drawing>
          <wp:inline distT="0" distB="0" distL="0" distR="0">
            <wp:extent cx="6515100" cy="4724400"/>
            <wp:effectExtent l="0" t="0" r="0" b="0"/>
            <wp:docPr id="5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 descr=""/>
                    <pic:cNvPicPr>
                      <a:picLocks noChangeAspect="1" noChangeArrowheads="1"/>
                    </pic:cNvPicPr>
                  </pic:nvPicPr>
                  <pic:blipFill>
                    <a:blip r:embed="rId5"/>
                    <a:stretch>
                      <a:fillRect/>
                    </a:stretch>
                  </pic:blipFill>
                  <pic:spPr bwMode="auto">
                    <a:xfrm>
                      <a:off x="0" y="0"/>
                      <a:ext cx="6515100" cy="4724400"/>
                    </a:xfrm>
                    <a:prstGeom prst="rect">
                      <a:avLst/>
                    </a:prstGeom>
                  </pic:spPr>
                </pic:pic>
              </a:graphicData>
            </a:graphic>
          </wp:inline>
        </w:drawing>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graph and other information furnished under this Part II Item 5 of this annual report on Form 10-K shall not be deemed to be “soliciting material” or to be “filed” with the SEC or subject to Regulation 14A or 14C under, or to the liabilities of Section 18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76" w:before="240" w:after="283"/>
        <w:jc w:val="left"/>
        <w:rPr/>
      </w:pPr>
      <w:r>
        <w:rPr>
          <w:rFonts w:ascii="Times New Roman;sans-serif" w:hAnsi="Times New Roman;sans-serif"/>
          <w:b w:val="false"/>
          <w:i/>
          <w:color w:val="000000"/>
          <w:sz w:val="20"/>
        </w:rPr>
        <w:t xml:space="preserve">You should read the following discussion and analysis in conjunction with our consolidated financial statements and related notes included elsewhere in this Annual Report on Form 10-K.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Item 1A,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and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00" w:after="283"/>
        <w:jc w:val="left"/>
        <w:rPr/>
      </w:pPr>
      <w:r>
        <w:rPr>
          <w:rFonts w:ascii="Times New Roman;sans-serif" w:hAnsi="Times New Roman;sans-serif"/>
          <w:b w:val="false"/>
          <w:color w:val="000000"/>
          <w:sz w:val="20"/>
        </w:rPr>
        <w:t>We are a leading global provider of mission-critical end-to-end sterilization solutions, lab testing and advisory services for the healthcare industry. We are driven by our mission: Safeguarding Global Health</w:t>
      </w:r>
      <w:r>
        <w:rPr>
          <w:rFonts w:ascii="Times New Roman;sans-serif" w:hAnsi="Times New Roman;sans-serif"/>
          <w:b w:val="false"/>
          <w:color w:val="000000"/>
          <w:sz w:val="10"/>
        </w:rPr>
        <w:t>®</w:t>
      </w:r>
      <w:r>
        <w:rPr>
          <w:rFonts w:ascii="Times New Roman;sans-serif" w:hAnsi="Times New Roman;sans-serif"/>
          <w:b w:val="false"/>
          <w:color w:val="000000"/>
          <w:sz w:val="20"/>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over 40 of the top 50 medical device companies and nine of the top ten global pharmaceutical companies (based on revenue). Our services are an essential aspect of our customers’ manufacturing processes and supply chains, helping to ensure sterilized medical products reach healthcare practitioners and patients. Most of these services are necessary for our customers to satisfy applicable government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 trusted partner to approximately 5,000 customers in over 50 countries. We give our customers confidence that their products meet regulatory, safety and effectiveness requirements. With our industry-recognized scientific and technological expertise, we help to ensure the safety of millions of patients and healthcare practitioners around the world every year. Across our 63 facilities worldwide, we have over 3,000 employees who are dedicated to safety and quality.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 For financial reporting purposes, our sterilization services business breaks out into two reportable segments, Sterigenics and Nordion, and our lab services business constitutes a third reportable segment, Nelson Labs. </w:t>
      </w:r>
    </w:p>
    <w:p>
      <w:pPr>
        <w:pStyle w:val="TextBody"/>
        <w:bidi w:val="0"/>
        <w:spacing w:lineRule="auto" w:line="288" w:before="240" w:after="283"/>
        <w:jc w:val="left"/>
        <w:rPr/>
      </w:pPr>
      <w:r>
        <w:rPr>
          <w:rFonts w:ascii="Times New Roman;sans-serif" w:hAnsi="Times New Roman;sans-serif"/>
          <w:b w:val="false"/>
          <w:color w:val="000000"/>
          <w:sz w:val="20"/>
        </w:rPr>
        <w:t xml:space="preserve">For the year ended December 31, 2023, we recorded net revenues of $1,049.3 million, net income of $51.4 million, Adjusted Net Income of $230.1 million and Adjusted EBITDA of $528.0 million. Adjusted Net Income and Adjusted EBITDA are financial measures </w:t>
      </w:r>
      <w:r>
        <w:rPr>
          <w:rFonts w:ascii="Times New Roman;sans-serif" w:hAnsi="Times New Roman;sans-serif"/>
          <w:b w:val="false"/>
          <w:color w:val="231F20"/>
          <w:sz w:val="20"/>
        </w:rPr>
        <w:t xml:space="preserve">not based on any standardized methodology prescribed by U.S. Generally Accepted Accounting Principles (“GAAP”). </w:t>
      </w:r>
      <w:r>
        <w:rPr>
          <w:rFonts w:ascii="Times New Roman;sans-serif" w:hAnsi="Times New Roman;sans-serif"/>
          <w:b w:val="false"/>
          <w:color w:val="000000"/>
          <w:sz w:val="20"/>
        </w:rPr>
        <w:t xml:space="preserve">For the definition of Adjusted Net Income and Adjusted EBITDA and the reconciliation of these non-GAAP measures from net income (loss), please see “Non-GAAP Financial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TRENDS AND KEY FACTORS AFFECTING OUR RESULTS OF OPERATIONS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our performance and financial condition will continue to be driven by the key trends impacting our industries, customers and their end markets as outlined in Item 1, “Business”. In addition, we believe the following trends and key factors have underpinned our recent operating results and may continue to affect our performance and financial condition in future periods.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Business and market conditions.</w:t>
      </w:r>
      <w:r>
        <w:rPr>
          <w:color w:val="000000"/>
        </w:rPr>
        <w:t xml:space="preserve"> </w:t>
      </w:r>
      <w:r>
        <w:rPr>
          <w:rFonts w:ascii="Times New Roman;sans-serif" w:hAnsi="Times New Roman;sans-serif"/>
          <w:b w:val="false"/>
          <w:color w:val="000000"/>
          <w:sz w:val="20"/>
        </w:rPr>
        <w:t>Consolidated revenue and total segment income for the year ended December 31, 2023 increased from the year ended December 31, 2022, which was primarily a result of favorable pricing across all three segments, partially offset by volume decline and an unfavorable business mix.</w:t>
      </w:r>
    </w:p>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As discussed in </w:t>
      </w:r>
      <w:r>
        <w:rPr>
          <w:rFonts w:ascii="Times New Roman;sans-serif" w:hAnsi="Times New Roman;sans-serif"/>
          <w:b w:val="false"/>
          <w:color w:val="000000"/>
          <w:sz w:val="20"/>
        </w:rPr>
        <w:t xml:space="preserve">Item 1A, </w:t>
      </w:r>
      <w:r>
        <w:rPr>
          <w:color w:val="000000"/>
        </w:rPr>
        <w:t>“</w:t>
      </w:r>
      <w:r>
        <w:rPr>
          <w:rFonts w:ascii="Times New Roman;sans-serif" w:hAnsi="Times New Roman;sans-serif"/>
          <w:b w:val="false"/>
          <w:color w:val="000000"/>
          <w:sz w:val="20"/>
        </w:rPr>
        <w:t>Risk Factors</w:t>
      </w:r>
      <w:r>
        <w:rPr>
          <w:color w:val="000000"/>
        </w:rPr>
        <w:t>”</w:t>
      </w:r>
      <w:r>
        <w:rPr>
          <w:rFonts w:ascii="Times New Roman;sans-serif" w:hAnsi="Times New Roman;sans-serif"/>
          <w:b w:val="false"/>
          <w:color w:val="000000"/>
          <w:sz w:val="20"/>
          <w:shd w:fill="FFFFFF" w:val="clear"/>
        </w:rPr>
        <w:t xml:space="preserve">, a portion of our supply of Co-60 is generated by Russian nuclear reactors. We continue to monitor the potential for disruption in the supply of Co-60 from Russian nuclear reactors. There was no impact to our supply or revenue in the </w:t>
      </w:r>
      <w:r>
        <w:rPr>
          <w:rFonts w:ascii="Times New Roman;sans-serif" w:hAnsi="Times New Roman;sans-serif"/>
          <w:b w:val="false"/>
          <w:color w:val="000000"/>
          <w:sz w:val="20"/>
        </w:rPr>
        <w:t>year ended December 31, 2023.</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Investment initiatives.</w:t>
      </w:r>
      <w:r>
        <w:rPr>
          <w:color w:val="000000"/>
        </w:rPr>
        <w:t xml:space="preserve"> </w:t>
      </w:r>
      <w:r>
        <w:rPr>
          <w:rFonts w:ascii="Times New Roman;sans-serif" w:hAnsi="Times New Roman;sans-serif"/>
          <w:b w:val="false"/>
          <w:color w:val="000000"/>
          <w:sz w:val="20"/>
        </w:rPr>
        <w:t>We continue to advance our growth-related investments, including our three active capacity expansion projects within the Sterigenics segment and Co-60 development projects in the Nordion segment. In addition, Nelson Labs has progressed with expansion efforts to support pharma testing services alongside enhancements to its lab information management system. For the year ended December 31, 2023, capital expenditures increased by $32.6 million compared to the year ended December 31, 2022.</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Disciplined and strategic M&amp;A activity</w:t>
      </w:r>
      <w:r>
        <w:rPr>
          <w:rFonts w:ascii="Times New Roman;sans-serif" w:hAnsi="Times New Roman;sans-serif"/>
          <w:b w:val="false"/>
          <w:color w:val="000000"/>
          <w:sz w:val="20"/>
        </w:rPr>
        <w:t>. We remain committed to our highly disciplined acquisition strategy and continue to seek suitable acquisition targets.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Litigation costs</w:t>
      </w:r>
      <w:r>
        <w:rPr>
          <w:rFonts w:ascii="Times New Roman;sans-serif" w:hAnsi="Times New Roman;sans-serif"/>
          <w:b w:val="false"/>
          <w:color w:val="000000"/>
          <w:sz w:val="20"/>
        </w:rPr>
        <w:t xml:space="preserve">. We are currently the subject of tort lawsuits alleging personal injury by purported exposure to EO used, emitted or released by current facilities in Atlanta, Georgia and Santa Teresa, New Mexico and our former facility in Willowbrook, Illinois. In addition, we are defendants in a lawsuit brought by the State of New Mexico Attorney General alleging that emissions of EO from our Santa Teresa facility have deteriorated the air quality in Santa Teresa and surrounding communities and materially contributed to increased health risks suffered by residents of those communities. We maintain that these facilities did not pose and do not pose any safety risk to their surrounding communities. We deny the allegations in these lawsuits and are vigorously defending against these claims. See Item 3, “Legal Proceedings” and Note 20, “Commitments and Contingencies” to our consolidated financial statements. </w:t>
      </w:r>
    </w:p>
    <w:p>
      <w:pPr>
        <w:pStyle w:val="TextBody"/>
        <w:bidi w:val="0"/>
        <w:spacing w:lineRule="auto" w:line="288" w:before="120" w:after="283"/>
        <w:jc w:val="left"/>
        <w:rPr/>
      </w:pPr>
      <w:r>
        <w:rPr>
          <w:rFonts w:ascii="Times New Roman;sans-serif" w:hAnsi="Times New Roman;sans-serif"/>
          <w:b w:val="false"/>
          <w:color w:val="000000"/>
          <w:sz w:val="20"/>
        </w:rPr>
        <w:t xml:space="preserve">For the years ended December 31, 2023 and 2022 and 2021, we recorded costs of $72.1 million, $72.6 million and $45.7 million, respectively, representing professional fees and other expenses related to litigation associated with our EO sterilization facilities (including $26.8 million of </w:t>
      </w:r>
      <w:r>
        <w:rPr>
          <w:rFonts w:ascii="Times New Roman;sans-serif" w:hAnsi="Times New Roman;sans-serif"/>
          <w:b w:val="false"/>
          <w:color w:val="000000"/>
          <w:sz w:val="20"/>
          <w:shd w:fill="FFFFFF" w:val="clear"/>
        </w:rPr>
        <w:t xml:space="preserve">interest expense, net on Term Loan B for the year ended </w:t>
      </w:r>
      <w:r>
        <w:rPr>
          <w:rFonts w:ascii="Times New Roman;sans-serif" w:hAnsi="Times New Roman;sans-serif"/>
          <w:b w:val="false"/>
          <w:color w:val="000000"/>
          <w:sz w:val="20"/>
        </w:rPr>
        <w:t xml:space="preserve">December 31, 2023 </w:t>
      </w:r>
      <w:r>
        <w:rPr>
          <w:rFonts w:ascii="Times New Roman;sans-serif" w:hAnsi="Times New Roman;sans-serif"/>
          <w:b w:val="false"/>
          <w:color w:val="000000"/>
          <w:sz w:val="20"/>
          <w:shd w:fill="FFFFFF" w:val="clear"/>
        </w:rPr>
        <w:t>attributable to the loan proceeds that were used to fund the $408.0 million Illinois EO litigation settlement)</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the litigation related to our Atlanta, Georgia facility, in October 2023, two subsidiaries of Sotera Health Company, Sotera Health LLC and Sterigenics U.S., LLC (together with Sotera Health LLC, the “Settling Defendants”), agreed to pay $35.0 million to settle 79 of the Atlanta Cases, including a personal injury case that was scheduled to begin trial in the State Court of Gwinnett County that month, and 78 other cases being pursued by the same Plaintiff’s counsel in the personal injury case that was scheduled to begin trial in October 2023 (the “Atlanta Settlement”). The Atlanta Settlement was completed in January 2024, with the settling plaintiffs agreeing to file the necessary dismissals and, where required, motions for court approval.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denies any liability and the Atlanta Settlement explicitly provides that the settlement is not to be construed as an admission of any liability or that emissions from Sterigenics’ Atlanta facility have ever</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posed any safety hazard to the surrounding communities.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the litigation related to our former Willowbrook, Illinois facility, in 2023, the Settling Defendants completed a settlement resolving 880 Willowbrook Cases for $408.0 million, including the two cases in which there were jury trials during 2022 (the “Willowbrook Settlement”). On July 6, 2023, the settled claims were dismissed with prejudice, with the Circuit Court of Cook County retaining jurisdiction to adjudicate disputes over liens on settlement proceeds to be paid to settling plaintiffs and to oversee the administration of the settlements of wrongful death cases.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Willowbrook Settlement Agreements provided a pathway to comprehensively resolve the claims pending and threatened against the Company in Illinois and thereby enabled the Company to focus its attention on operating the business. The Company denies any liability and maintains that its Willowbrook, Illinois operations did not pose a safety risk to the community in which it operated and believes the evidence ultimately would have compelled the rejection of the plaintiffs’ claims.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20, “Commitments and Contingencies” to our consolidated financial statements for additional information on EO tort litigation.</w:t>
      </w:r>
    </w:p>
    <w:p>
      <w:pPr>
        <w:pStyle w:val="TextBody"/>
        <w:bidi w:val="0"/>
        <w:spacing w:lineRule="auto" w:line="288" w:before="90" w:after="283"/>
        <w:jc w:val="left"/>
        <w:rPr>
          <w:color w:val="000000"/>
        </w:rPr>
      </w:pPr>
      <w:r>
        <w:rPr>
          <w:color w:val="000000"/>
        </w:rPr>
        <w: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color w:val="000000"/>
          <w:sz w:val="20"/>
        </w:rPr>
        <w:t>Borrowings, financing costs and financial leverage</w:t>
      </w:r>
      <w:r>
        <w:rPr>
          <w:rFonts w:ascii="Times New Roman;sans-serif" w:hAnsi="Times New Roman;sans-serif"/>
          <w:b w:val="false"/>
          <w:color w:val="000000"/>
          <w:sz w:val="20"/>
        </w:rPr>
        <w:t>. On February 23, 2023 the Company successfully closed on a new senior secured Term Loan B facility in an aggregate principal amount of $500.0 million. The Company used the proceeds of this debt to pay down existing borrowings under the Company’s Revolving Credit Facility, to fund the $408.0 million EO litigation settlement in Cook County, Illinois and for other general corporate purposes.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21, 2023, the Company also entered into an Incremental Facility Amendment to the First Lien Credit Agreement (“Revolving Credit Facility Amendment”), which provides for an increase in the commitments under the existing revolving credit facility in an aggregate principal amount of $76.3 million. The Revolving Credit Facility Amendment also provides additional commitments for the issuance of letters of credit under the Revolving Credit Facility Amendment, and the aggregate amount of the revolving commitments under the Revolving Credit Facility is $423.8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COMPONENTS OF OUR RESULTS OF OPERATIONS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revenues consist of revenue generated from contract sterilization and lab testing and advisory services within our Sterigenics and Nelson Labs segments, respectively. Service revenues also consist of Co-60 installation and disposal revenues and gamma irradiation system refurbishments and installation services within our Nordion segment. Product revenues consist of revenues generated from sales of Co-60 radiation sources and gamma irradiation systems. Provisions for discounts, rebates to customers, and other adjustments are provided for as reductions in net revenues. Refunds, returns, warranties and other related obligations are not material to any of our business units, nor do we incur material incremental costs to secure customer contracts.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Cost of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cost of revenues consists primarily of direct materials, utilities, labor and related benefit costs, and depreciation and amortization. Although the cost of utilities and direct materials can fluctuate, the remaining components of cost of revenues are generally more stable. Direct material costs relating to service revenues primarily includes EO gas, nitrogen gas and Co-60. The physical decay of Co-60 assets is included within depreciation expense as a cost of revenue. Direct material costs relating to product revenues also include the costs associated with acquiring Co-60 in finished or semi-finished form, acquiring Co-59 in a form ready for insertion into reactors for conversion into Co-60, the reactor time and associated services to convert Co-59 into Co-60, and parts and equipment associated with building and maintaining gamma irradiation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Operating Expenses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SG&amp;A Expenses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SG&amp;A primarily consists of compensation and benefits costs and general operating and administrative expenses, including professional service fees (which include finance and legal costs), travel and entertainment expenses, and other general and administrative expenses. Share-based compensation expense is also included in SG&amp;A. </w:t>
      </w:r>
    </w:p>
    <w:p>
      <w:pPr>
        <w:pStyle w:val="TextBody"/>
        <w:bidi w:val="0"/>
        <w:spacing w:lineRule="auto" w:line="288" w:before="240" w:after="283"/>
        <w:jc w:val="left"/>
        <w:rPr/>
      </w:pPr>
      <w:r>
        <w:rPr>
          <w:color w:val="000000"/>
        </w:rPr>
        <w:t> </w:t>
      </w:r>
      <w:r>
        <w:rPr>
          <w:rFonts w:ascii="Times New Roman;sans-serif" w:hAnsi="Times New Roman;sans-serif"/>
          <w:b/>
          <w:i/>
          <w:color w:val="000000"/>
          <w:sz w:val="20"/>
        </w:rPr>
        <w:t xml:space="preserve">Amortization of Intangible Assets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intangible assets primarily consists of expense associated with customer relationship intangibles, the majority of which relate to the fair values attributed to these assets upon the recapitalization of the Company in connection with the acquisition by the Sponsors in 2015. These customer relationship intangibles were initially assigned a weighted average useful life of ten years and have a remaining useful life of approximately two years. These customer relationship intangible assets account for $49.0 million of our current annual amortization expense and are expected to be fully amortized in 2025. Amortization expense fluctuates when we have an acquisition, disposition, impairment charge, or as their useful lives expire. We expect intangible assets related to future acquisitions and the associated amortization expense to increase over time as we execute on our strategy to pursue acquisition targets that are complementary to our businesses.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Impairment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review tangible and intangible assets for impairment on a regular basis.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Operating Income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represents gross profit, less SG&amp;A, amortization of intangible assets and impairment charges.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Interest Expense, Net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represents interest paid or accruing on our outstanding indebtedness and the amortization of debt discount and debt issuance costs. Interest expense is affected by changes in average outstanding indebtedness (including finance lease obligations) and variable interest rates. We present interest expense net of interest income, which primarily consists of interest earned on cash on hand.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Illinois EO litigation settlement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9, 2023, the Company reached agreements to settle approximately 880 pending and threatened EO claims against the Settling Defendants in the Circuit Court of Cook County, Illinois, and US District Court for the Northern District of Illinois. Under the terms of the agreements, the Company paid $407.7 million to settle the claims.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Georgia EO litigation settlement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16, 2023, the Company reached an agreement to resolve 79 EO claims against the Settling Defendant in the State of Georgia. Under the terms of the agreements, the Company paid $35.0 million to settle the claims.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Impairment of investment in unconsolidated affiliate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recorded an impairment charge of $9.6 million related to a joint venture investment, which was acquired as part of the 2020 acquisition of Iotron Industries Canada, Inc. (“Iotron”). Due to a shift in business strategy, the joint venture will not proceed, and our joint venture partner will continue to rely on our other existing operating facilities. Based on these facts and circumstances, we concluded that the investment was impaired.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Income, Net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primarily consists of changes in the fair value of the embedded derivatives in Nordion’s contracts, the net impact of pension related benefits and income related to deferred income on a lease associated with the 2018 divestiture of the Medical Isotopes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Provision (Benefit) for Income Taxes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(benefit) for income taxes consists primarily of income taxes in foreign jurisdictions and U.S. federal and state income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 (Loss) Attributable to Noncontrolling Interests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our operations through our subsidiaries. As of December 31, 2023, our consolidated subsidiaries were wholly owned by us. In the second quarter of 2021, we purchased the outstanding noncontrolling interests of 15% and 33% in our two China subsidiaries. Prior to our acquisition of these noncontrolling interests, we consolidated the results of operations of these subsidiaries with our results of operations and reflected the noncontrolling interests on our Consolidated Statements of Operations and Comprehensive Income (Loss) as net income (loss) attributable to noncontrolling interests.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11, 2021, we purchased the 15% noncontrolling interest that remained from the August 2018 acquisition of Gibraltar Laboratories, Inc. (known as Nelson Laboratories Fairfield, Inc.) (“Nelson Labs Fairfield”). As the purchase of this noncontrolling interest was mandatorily redeemable, no earnings were allocated to this noncontrolling interest.</w:t>
      </w:r>
    </w:p>
    <w:p>
      <w:pPr>
        <w:pStyle w:val="TextBody"/>
        <w:bidi w:val="0"/>
        <w:spacing w:lineRule="auto" w:line="288" w:before="240" w:after="283"/>
        <w:jc w:val="left"/>
        <w:rPr/>
      </w:pPr>
      <w:r>
        <w:rPr>
          <w:rFonts w:ascii="Times New Roman;sans-serif" w:hAnsi="Times New Roman;sans-serif"/>
          <w:b w:val="false"/>
          <w:color w:val="000000"/>
          <w:sz w:val="20"/>
        </w:rPr>
        <w:t>In July 2020, we acquired a 60% equity ownership interest in a joint venture to construct an E-beam facility in Alberta, Canada in connection with our acquisition of Iotron. Refer to Note 4,</w:t>
      </w:r>
      <w:r>
        <w:rPr>
          <w:color w:val="000000"/>
        </w:rPr>
        <w:t xml:space="preserve"> “</w:t>
      </w:r>
      <w:r>
        <w:rPr>
          <w:rFonts w:ascii="Times New Roman;sans-serif" w:hAnsi="Times New Roman;sans-serif"/>
          <w:b w:val="false"/>
          <w:color w:val="000000"/>
          <w:sz w:val="20"/>
        </w:rPr>
        <w:t>Acquisitions” of our consolidated financial statements for additional information. We have determined this to be an investment in a variable interest entity (“VIE”). The investment is not consolidated as the Company has concluded that we are not the primary beneficiary of the VIE. The Company accounts for the joint venture using the equity method. The investment is reflected within “Investment in unconsolidated affiliate” on the Consolidated Balance Sheets within our consolidated financial statements. During the year ended December 31, 2022, we recorded an impairment charge of $9.6 million related to this joint venture investment as described in “Consolidated Results of Operations” below. In February 2023, we entered into a Share Purchase Agreement to transfer our equity ownership interest to the joint venture partner, thereby terminating our equity ownership interest.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Constant Currency Sales Growth (Non-GAAP) </w:t>
      </w:r>
    </w:p>
    <w:p>
      <w:pPr>
        <w:pStyle w:val="TextBody"/>
        <w:bidi w:val="0"/>
        <w:spacing w:lineRule="auto" w:line="288" w:before="120" w:after="283"/>
        <w:jc w:val="left"/>
        <w:rPr>
          <w:color w:val="000000"/>
        </w:rPr>
      </w:pPr>
      <w:r>
        <w:rPr>
          <w:color w:val="000000"/>
        </w:rPr>
        <w:t>“</w:t>
      </w:r>
      <w:r>
        <w:rPr>
          <w:rFonts w:ascii="Times New Roman;sans-serif" w:hAnsi="Times New Roman;sans-serif"/>
          <w:b w:val="false"/>
          <w:color w:val="000000"/>
          <w:sz w:val="20"/>
        </w:rPr>
        <w:t xml:space="preserve">Constant currency” is a non-GAAP financial measure we use to assess performance excluding the impact of foreign currency exchange rate changes. Constant currency sales growth is calculated by translating prior year sales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U.S. GAAP.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Adjusted Net Income and Adjusted EBITDA (Non-GAAP)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metric for attainment of our primary annual incentive program. Adjusted Net Income and Adjusted EBITDA may be calculated differently from, and therefore may not be comparable to, a similarly titled measure used by other companies.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more information regarding our definition and calculation of Adjusted Net Income and Adjusted EBITDA, including information about its limitations as a tool for analysis and reconciliation to the most directly comparable financial measures calculated in accordance with GAAP, please see “Non-GAAP Financial Measures” within this Item.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Segment Income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income is the primary earnings measure we use to evaluate the performance of our reportable segments, as disclosed in Note 22, “Segment and Geographic Information” to our consolidated financial statements. Costs associated with support functions that are not directly associated with one of the three reportable segments, such as corporate operating expenses for executive management, accounting, information technology, legal, human resources, treasury, investor relations, corporate development, tax, purchasing, and marketing, are allocated to the segments based on net revenue. Corporate operating expenses that are directly incurred by a segment are reflected in each segment’s income. Segment income excludes certain items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are included in “Income (loss) before taxes” as determined in our Consolidated Statements of Operations and Comprehensive Income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section summarizes the consolidated results of operations for the years ended December 31, 2023 and 2022. The discussion of the consolidated results of operation for the years ended December 31, 2022 and 2021 are presented within our Annual Report on Form 10-K for the year ended December 31, 2022 under “Item 7. Management’s Discussion and Analysis of Financial Condition and Results of Operations - Consolidated 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Year Ended December 31, 2023 as compared to Year Ended December 31, 2022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components of our results of operations for the years ended December 31, 2023 and 2022. </w:t>
      </w:r>
    </w:p>
    <w:tbl>
      <w:tblPr>
        <w:tblW w:w="7987" w:type="dxa"/>
        <w:jc w:val="left"/>
        <w:tblInd w:w="0" w:type="dxa"/>
        <w:tblLayout w:type="fixed"/>
        <w:tblCellMar>
          <w:top w:w="28" w:type="dxa"/>
          <w:left w:w="28" w:type="dxa"/>
          <w:bottom w:w="28" w:type="dxa"/>
          <w:right w:w="28" w:type="dxa"/>
        </w:tblCellMar>
      </w:tblPr>
      <w:tblGrid>
        <w:gridCol w:w="810"/>
        <w:gridCol w:w="711"/>
        <w:gridCol w:w="713"/>
        <w:gridCol w:w="211"/>
        <w:gridCol w:w="991"/>
        <w:gridCol w:w="109"/>
        <w:gridCol w:w="109"/>
        <w:gridCol w:w="109"/>
        <w:gridCol w:w="109"/>
        <w:gridCol w:w="211"/>
        <w:gridCol w:w="976"/>
        <w:gridCol w:w="109"/>
        <w:gridCol w:w="109"/>
        <w:gridCol w:w="109"/>
        <w:gridCol w:w="109"/>
        <w:gridCol w:w="211"/>
        <w:gridCol w:w="721"/>
        <w:gridCol w:w="109"/>
        <w:gridCol w:w="109"/>
        <w:gridCol w:w="109"/>
        <w:gridCol w:w="109"/>
        <w:gridCol w:w="307"/>
        <w:gridCol w:w="309"/>
        <w:gridCol w:w="508"/>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1,049,288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Total cost of revenues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472,130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300,466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276,692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51,376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color w:val="000000"/>
                <w:sz w:val="20"/>
              </w:rPr>
              <w:t>Adjusted Net Income</w:t>
            </w:r>
            <w:r>
              <w:rPr>
                <w:rFonts w:ascii="Times New Roman;sans-serif" w:hAnsi="Times New Roman;sans-serif"/>
                <w:b/>
                <w:color w:val="000000"/>
                <w:sz w:val="10"/>
              </w:rPr>
              <w:t>(1)</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230,116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color w:val="000000"/>
                <w:sz w:val="20"/>
              </w:rPr>
              <w:t>Adjusted EBITDA</w:t>
            </w:r>
            <w:r>
              <w:rPr>
                <w:rFonts w:ascii="Times New Roman;sans-serif" w:hAnsi="Times New Roman;sans-serif"/>
                <w:b/>
                <w:color w:val="000000"/>
                <w:sz w:val="10"/>
              </w:rPr>
              <w:t>(1)</w:t>
            </w:r>
          </w:p>
        </w:tc>
        <w:tc>
          <w:tcPr>
            <w:tcW w:w="120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528,029</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506,249 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0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hanging="45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Adjusted Net Income and Adjusted EBITDA are non-GAAP financial measures. For more information regarding our calculation of Adjusted Net Income and Adjusted EBITDA, including information about their limitations as tools for analysis and a reconciliation of net income (loss), the most directly comparable financial measure calculated and presented in accordance with GAAP, to Adjusted Net Income and Adjusted EBITDA, please see the reconciliation included below in “Non-GAAP Financial Measures.” </w:t>
      </w:r>
    </w:p>
    <w:p>
      <w:pPr>
        <w:pStyle w:val="TextBody"/>
        <w:bidi w:val="0"/>
        <w:spacing w:lineRule="auto" w:line="288" w:before="270" w:after="283"/>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Total Net Revenues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compares our revenues by type for the year ended December 31, 2023 to the year ended December 31, 2022. </w:t>
      </w:r>
    </w:p>
    <w:tbl>
      <w:tblPr>
        <w:tblW w:w="9008" w:type="dxa"/>
        <w:jc w:val="left"/>
        <w:tblInd w:w="0" w:type="dxa"/>
        <w:tblLayout w:type="fixed"/>
        <w:tblCellMar>
          <w:top w:w="28" w:type="dxa"/>
          <w:left w:w="28" w:type="dxa"/>
          <w:bottom w:w="28" w:type="dxa"/>
          <w:right w:w="28" w:type="dxa"/>
        </w:tblCellMar>
      </w:tblPr>
      <w:tblGrid>
        <w:gridCol w:w="1255"/>
        <w:gridCol w:w="1102"/>
        <w:gridCol w:w="1108"/>
        <w:gridCol w:w="211"/>
        <w:gridCol w:w="991"/>
        <w:gridCol w:w="109"/>
        <w:gridCol w:w="109"/>
        <w:gridCol w:w="109"/>
        <w:gridCol w:w="109"/>
        <w:gridCol w:w="211"/>
        <w:gridCol w:w="976"/>
        <w:gridCol w:w="109"/>
        <w:gridCol w:w="109"/>
        <w:gridCol w:w="109"/>
        <w:gridCol w:w="109"/>
        <w:gridCol w:w="211"/>
        <w:gridCol w:w="721"/>
        <w:gridCol w:w="109"/>
        <w:gridCol w:w="109"/>
        <w:gridCol w:w="109"/>
        <w:gridCol w:w="109"/>
        <w:gridCol w:w="203"/>
        <w:gridCol w:w="203"/>
        <w:gridCol w:w="508"/>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p>
            <w:pPr>
              <w:pStyle w:val="TableContents"/>
              <w:bidi w:val="0"/>
              <w:spacing w:lineRule="auto" w:line="288"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Net revenues for the year ended December 31,</w:t>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905,598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143,690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1,049,288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1,003,687 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revenues were $1,049.3 million in the year ended December 31, 2023, an increase of $45.6 million, or 4.5%, as compared with the prior year. Net revenues in the year ended December 31, 2023 increased approximately 4.2% compared with the same period in 2022 on a constant currency basis.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Service revenues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revenues increased $40.8 million, or 4.7%, to $905.6 million in 2023 as compared to $864.8 million in 2022. The increase in net service revenue was driven by favorable pricing of $39.0 million and $8.5 million in the Sterigenics and Nelson Labs segments, respectively, a $6.7 million favorable impact from changes in foreign currency exchange rates across all segments and an increase in service revenue of $2.4 million in the Nordion segment. These growth factors were partially offset by unfavorable service revenue volume and mix of $15.8 million in the Nelson Labs and Sterigenics segments.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Product revenues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revenues increased $4.8 million, or 3.5%, to $143.7 million in the year ended December 31, 2023 as compared to $138.9 million in the year ended December 31, 2022. The increase in product revenues was attributable to favorable pricing of $16.4 million, partially offset by a decline in overall sales volumes of $8.1 million and an unfavorable change in foreign currency exchange rates of $3.5 million. The volume decline stemmed mainly from a decline in demand for industrial-use Co-60 compared to the prior year.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Total Cost of Revenues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compares our cost of revenues by type for the year ended December 31, 2023 to the year ended December 31, 2022.</w:t>
      </w:r>
    </w:p>
    <w:tbl>
      <w:tblPr>
        <w:tblW w:w="9052" w:type="dxa"/>
        <w:jc w:val="left"/>
        <w:tblInd w:w="0" w:type="dxa"/>
        <w:tblLayout w:type="fixed"/>
        <w:tblCellMar>
          <w:top w:w="28" w:type="dxa"/>
          <w:left w:w="28" w:type="dxa"/>
          <w:bottom w:w="28" w:type="dxa"/>
          <w:right w:w="28" w:type="dxa"/>
        </w:tblCellMar>
      </w:tblPr>
      <w:tblGrid>
        <w:gridCol w:w="1352"/>
        <w:gridCol w:w="1188"/>
        <w:gridCol w:w="1195"/>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239"/>
        <w:gridCol w:w="241"/>
        <w:gridCol w:w="508"/>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p>
            <w:pPr>
              <w:pStyle w:val="TableContents"/>
              <w:bidi w:val="0"/>
              <w:spacing w:lineRule="auto" w:line="288"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Cost of revenues for the year ended December 31,</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418,611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53,519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472,130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 of revenues accounted for approximately 45.0% and 44.5% of our consolidated net revenues for the year ended December 31, 2023 and 2022, respectively.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service revenues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 revenues increased $27.8 million for the year ended December 31, 2023 as compared to the prior year. The growth in cost of service revenues was partially driven by higher employee compensation costs of $12.2 million. In addition, cost of services revenues was impacted by an increase of $12.0 million of depreciation related to capital assets recently placed in service and a $2.5 million unfavorable impact from changes in foreign currency exchange rates.</w:t>
      </w:r>
    </w:p>
    <w:p>
      <w:pPr>
        <w:pStyle w:val="TextBody"/>
        <w:bidi w:val="0"/>
        <w:spacing w:lineRule="auto" w:line="288" w:before="240" w:after="283"/>
        <w:jc w:val="left"/>
        <w:rPr/>
      </w:pPr>
      <w:r>
        <w:rPr>
          <w:color w:val="000000"/>
        </w:rPr>
        <w:t> </w:t>
      </w:r>
      <w:r>
        <w:rPr>
          <w:rFonts w:ascii="Times New Roman;sans-serif" w:hAnsi="Times New Roman;sans-serif"/>
          <w:b w:val="false"/>
          <w:i/>
          <w:color w:val="000000"/>
          <w:sz w:val="20"/>
        </w:rPr>
        <w:t xml:space="preserve">Cost of product revenues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revenues decreased $2.3 million, or 4.1%, for the year ended December 31, 2023 as compared to the prior year. The decrease was primarily driven by a favorable impact from foreign currency exchange rates coupled with lower direct costs attributable to the decline in industrial-use Co-60 volumes as described above in “Product revenues.”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compares our operating expenses for the year ended December 31, 2023 to the year ended December 31, 2022: </w:t>
      </w:r>
    </w:p>
    <w:tbl>
      <w:tblPr>
        <w:tblW w:w="9291" w:type="dxa"/>
        <w:jc w:val="left"/>
        <w:tblInd w:w="0" w:type="dxa"/>
        <w:tblLayout w:type="fixed"/>
        <w:tblCellMar>
          <w:top w:w="28" w:type="dxa"/>
          <w:left w:w="28" w:type="dxa"/>
          <w:bottom w:w="28" w:type="dxa"/>
          <w:right w:w="28" w:type="dxa"/>
        </w:tblCellMar>
      </w:tblPr>
      <w:tblGrid>
        <w:gridCol w:w="1450"/>
        <w:gridCol w:w="1273"/>
        <w:gridCol w:w="1281"/>
        <w:gridCol w:w="211"/>
        <w:gridCol w:w="841"/>
        <w:gridCol w:w="109"/>
        <w:gridCol w:w="109"/>
        <w:gridCol w:w="109"/>
        <w:gridCol w:w="109"/>
        <w:gridCol w:w="211"/>
        <w:gridCol w:w="826"/>
        <w:gridCol w:w="109"/>
        <w:gridCol w:w="109"/>
        <w:gridCol w:w="109"/>
        <w:gridCol w:w="109"/>
        <w:gridCol w:w="211"/>
        <w:gridCol w:w="691"/>
        <w:gridCol w:w="109"/>
        <w:gridCol w:w="109"/>
        <w:gridCol w:w="109"/>
        <w:gridCol w:w="109"/>
        <w:gridCol w:w="239"/>
        <w:gridCol w:w="241"/>
        <w:gridCol w:w="508"/>
      </w:tblGrid>
      <w:tr>
        <w:trPr/>
        <w:tc>
          <w:tcPr>
            <w:tcW w:w="145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p>
            <w:pPr>
              <w:pStyle w:val="TableContents"/>
              <w:bidi w:val="0"/>
              <w:spacing w:lineRule="auto" w:line="288"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Operating expenses for the Year Ended December 31,</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236,667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63,799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300,466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accounted for approximately 28.6% and 30.8% of our consolidated net revenues for the year ended December 31, 2023 and 2022, respectively.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SG&amp;A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SG&amp;A decreased $9.0 million, or 3.7%, for the year ended December 31, 2023 as compared to the prior year. The decrease stemmed from a $27.0 million decline in litigation and other professional services expenses associated with EO sterilization facilities, partially offset by an $11.2 million increase in share-based compensation expense, a $3.3 million increase in selling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administrative compensation-related costs and a $2.0 million increase in professional services fees in support of various business enhancement and compliance efforts.</w:t>
      </w:r>
    </w:p>
    <w:p>
      <w:pPr>
        <w:pStyle w:val="TextBody"/>
        <w:bidi w:val="0"/>
        <w:spacing w:lineRule="auto" w:line="288" w:before="240" w:after="283"/>
        <w:jc w:val="left"/>
        <w:rPr/>
      </w:pPr>
      <w:r>
        <w:rPr>
          <w:color w:val="000000"/>
        </w:rPr>
        <w:t xml:space="preserve">  </w:t>
      </w:r>
      <w:r>
        <w:rPr>
          <w:rFonts w:ascii="Times New Roman;sans-serif" w:hAnsi="Times New Roman;sans-serif"/>
          <w:b w:val="false"/>
          <w:i/>
          <w:color w:val="000000"/>
          <w:sz w:val="20"/>
        </w:rPr>
        <w:t>Amortization of intangible assets</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increased $0.9 million or 1.4% for the year ended December 31, 2023, compared to the prior year, due mainly to changes in foreign currency exchange rates.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Expense, Net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increased $62.7 million, or 78.3%, for the year ended December 31, 2023 as compared to the prior year. The increase was driven by a higher variable interest rate on borrowings previously outstanding in the same period of the prior year, resulting in $59.0 million of incremental interest expense coupled with interest expense of $38.7 million on incremental borrowings. In addition, amortization of debt issuance costs and debt discounts increased by $3.3 million. Partially offsetting the increase was a $16.1 million reduction to interest expense arising from a net favorable change in interest rate derivative activity, an $8.5 million reduction to interest expense for interest capitalized on fixed assets and a $13.7 million increase in interest income on cash and cash equivalents on deposit at financial institutions. The weighted average interest rate on our outstanding debt was 8.55% and 7.16% at December 31, 2023 and 2022, respectively.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Illinois EO litigation settlement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9, 2023, the Company reached agreements to settle approximately 880 pending and threatened EO claims against the Settling Defendants in the Circuit Court of Cook County, Illinois, and US District Court for the Northern District of Illinois. Under the binding Term Sheets, the Company paid $407.7 million to settle the claims. As this event provided additional evidence of conditions that existed as of December 31, 2022, we recorded a $407.7 million charge to expense on December 31,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Georgia EO litigation settlement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16, 2023, the Company reached an agreement to resolve 79 EO claims against the Settling Defendants in the State of Georgia. Under the terms of the agreement, the Company paid $35.0 million in January 2024 to settle the claims.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Impairment of investment in unconsolidated affiliate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recorded an impairment charge of $9.6 million related to a joint venture investment, which was acquired as part of the 2020 Iotron acquisition. Due to a shift in business strategy, the joint venture did not proceed. Based on these facts and circumstances, we concluded that the investment was impaired as of June 30,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Foreign Exchange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 was $0.2 million for the year ended December 31, 2023 as compared to $0.1 million in the prior year. The change in foreign exchange loss in our Consolidated Statements of Operations and Comprehensive Income (Loss) mainly relates to short-term gains and losses on transactions denominated in currencies other than the functional currency of our operating entities. As described in Note 21, “Financial Instruments and Financial Risk”, we enter into monthly U.S. dollar-denominated foreign currency forward contracts to manage foreign currency exchange rate risk related to our international subsidiaries.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Income, Net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was $7.4 million for the year ended December 31, 2023, an increase of $0.9 million or 14.5% as compared to the prior year. The fluctuation was primarily driven by $3.0 million of favorable changes in the fair value of embedded derivatives in Nordion’s purchase contracts, partially offset by a $1.5 million decline in pension income at Nordion.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Provision (Benefit) for Income Taxes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 was $54.7 million for the year ended December 31, 2023 as compared to a benefit of $9.5 million in the prior year. The change was primarily attributable to the recognition of pre-tax income of $106.0 million in the year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2023 compared to pretax loss of $243.1 million for the year ended December 31, 2022, which was driven by the $408.0 million Illinois EO litigation settlement accrual.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for the year ended December 31, 2023 differed from the statutory rate of 21% primarily due to an increase in the partial valuation allowance against our excess interest expense as well as federal and state net operating loss carryforward balances, the impact of the foreign rate differential and nondeductible equity compensation, partially offset by state taxes (net of federal benefit). The provision for income taxes for the year ended December 31, 2022 differed from the statutory rate of 21% primarily due to an increase in the partial valuation allowance against our excess interest expense carryforward balance, $8.0 million of state tax attributes, the impact of the foreign rate differential, partially offset by state taxes (net of federal benefit).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Income (Loss), Adjusted Net Income and Adjusted EBITDA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for the year ended December 31, 2023 was $51.4 million, as compared to net loss of $233.6 million for the year ended December 31, 2022 driven largely by the Illinois EO litigation settlement reserve. Adjusted Net Income was $230.1 million for the year ended December 31, 2023, as compared to $270.2 million for the year ended December 31, 2022, due to the factors described above. Adjusted EBITDA was $528.0 million for the year ended December 31, 2023, as compared to $506.2 million for the year ended December 31, 2022, due to the factors described above. Please see “Non-GAAP Financial Measures” below for a reconciliation of Adjusted Net Income and Adjusted EBITDA to their most directly comparable financial measure calculated and presented in accordance with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 supplement our consolidated financial statements presented in accordance with GAAP, we consider Adjusted Net Income and Adjusted EBITDA, financial measures that are not based on any standardized methodology prescribed by GAAP. </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primarily exclude: </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certain recurring non-cash charges such as depreciation of fixed assets, although these assets may have to be replaced in the future, as well as amortization of acquired intangible assets and asset retirement obligations;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costs of acquiring and integrating businesses, which will continue to be a part of our growth strategy;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non-cash gains or losses from fluctuations in foreign currency exchange rates, and the mark-to-fair value of derivatives not designated as hedging instruments, which includes embedded derivatives relating to certain customer and supply contracts at Nordion;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impairment charges on long-lived assets, intangible assets and investments accounted for under the equity method;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loss on extinguishment of debt incurred in connection with refinancing or early extinguishment of long-term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expenses and charges related to the litigation, settlement agreements, and other activities associated with our EO sterilization facilities, including those in Willowbrook, Illinois, Atlanta, Georgia and Santa Teresa, New Mexico, even though that litigation remains ongoing;</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 the case of Adjusted EBITDA, interest expense or the cash requirements necessary to service interest or principal payments on our indebtedness;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share-based compensation expense, which has been, and will continue to be for the foreseeable future, a significant recurring expense and an important part of our compensation strategy.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following table presents a reconciliation of net income (loss), the most directly comparable financial measure calculated and presented in accordance with GAAP to Adjusted Net Income and Adjusted EBITDA, for each of the periods indicated:</w:t>
      </w:r>
    </w:p>
    <w:tbl>
      <w:tblPr>
        <w:tblW w:w="9764" w:type="dxa"/>
        <w:jc w:val="left"/>
        <w:tblInd w:w="0" w:type="dxa"/>
        <w:tblLayout w:type="fixed"/>
        <w:tblCellMar>
          <w:top w:w="28" w:type="dxa"/>
          <w:left w:w="28" w:type="dxa"/>
          <w:bottom w:w="28" w:type="dxa"/>
          <w:right w:w="28" w:type="dxa"/>
        </w:tblCellMar>
      </w:tblPr>
      <w:tblGrid>
        <w:gridCol w:w="2418"/>
        <w:gridCol w:w="2127"/>
        <w:gridCol w:w="2130"/>
        <w:gridCol w:w="109"/>
        <w:gridCol w:w="109"/>
        <w:gridCol w:w="109"/>
        <w:gridCol w:w="196"/>
        <w:gridCol w:w="751"/>
        <w:gridCol w:w="109"/>
        <w:gridCol w:w="109"/>
        <w:gridCol w:w="109"/>
        <w:gridCol w:w="109"/>
        <w:gridCol w:w="196"/>
        <w:gridCol w:w="811"/>
        <w:gridCol w:w="109"/>
        <w:gridCol w:w="109"/>
        <w:gridCol w:w="154"/>
      </w:tblGrid>
      <w:tr>
        <w:trPr/>
        <w:tc>
          <w:tcPr>
            <w:tcW w:w="2418"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51,376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81,348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Share-based compensation</w:t>
            </w:r>
            <w:r>
              <w:rPr>
                <w:rFonts w:ascii="Times New Roman;sans-serif" w:hAnsi="Times New Roman;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32,364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Loss (gain) on foreign currency and derivatives not designated as hedging instruments, net</w:t>
            </w:r>
            <w:r>
              <w:rPr>
                <w:rFonts w:ascii="Times New Roman;sans-serif" w:hAnsi="Times New Roman;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Acquisition and divestiture related charges, net</w:t>
            </w:r>
            <w:r>
              <w:rPr>
                <w:rFonts w:ascii="Times New Roman;sans-serif" w:hAnsi="Times New Roman;sans-serif"/>
                <w:b w:val="false"/>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Business optimization project expenses</w:t>
            </w:r>
            <w:r>
              <w:rPr>
                <w:rFonts w:ascii="Times New Roman;sans-serif" w:hAnsi="Times New Roman;sans-serif"/>
                <w:b w:val="false"/>
                <w:color w:val="000000"/>
                <w:sz w:val="12"/>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7,310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Plant closure expenses</w:t>
            </w:r>
            <w:r>
              <w:rPr>
                <w:rFonts w:ascii="Times New Roman;sans-serif" w:hAnsi="Times New Roman;sans-serif"/>
                <w:b w:val="false"/>
                <w:color w:val="000000"/>
                <w:sz w:val="12"/>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Impairment of investment in unconsolidated affiliate</w:t>
            </w:r>
            <w:r>
              <w:rPr>
                <w:rFonts w:ascii="Times New Roman;sans-serif" w:hAnsi="Times New Roman;sans-serif"/>
                <w:b w:val="false"/>
                <w:color w:val="000000"/>
                <w:sz w:val="12"/>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Professional services relating to EO sterilization facilities</w:t>
            </w:r>
            <w:r>
              <w:rPr>
                <w:rFonts w:ascii="Times New Roman;sans-serif" w:hAnsi="Times New Roman;sans-serif"/>
                <w:b w:val="false"/>
                <w:color w:val="000000"/>
                <w:sz w:val="12"/>
              </w:rPr>
              <w:t>(g)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72,122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Illinois EO litigation settlement</w:t>
            </w:r>
            <w:r>
              <w:rPr>
                <w:rFonts w:ascii="Times New Roman;sans-serif" w:hAnsi="Times New Roman;sans-serif"/>
                <w:b w:val="false"/>
                <w:color w:val="000000"/>
                <w:sz w:val="12"/>
              </w:rPr>
              <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Georgia EO litigation settlement</w:t>
            </w:r>
            <w:r>
              <w:rPr>
                <w:rFonts w:ascii="Times New Roman;sans-serif" w:hAnsi="Times New Roman;sans-serif"/>
                <w:b w:val="false"/>
                <w:color w:val="000000"/>
                <w:sz w:val="12"/>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35,000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Accretion of asset retirement obligations</w:t>
            </w:r>
            <w:r>
              <w:rPr>
                <w:rFonts w:ascii="Times New Roman;sans-serif" w:hAnsi="Times New Roman;sans-serif"/>
                <w:b w:val="false"/>
                <w:color w:val="000000"/>
                <w:sz w:val="12"/>
              </w:rPr>
              <w:t>(j)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COVID-19 expenses</w:t>
            </w:r>
            <w:r>
              <w:rPr>
                <w:rFonts w:ascii="Times New Roman;sans-serif" w:hAnsi="Times New Roman;sans-serif"/>
                <w:b w:val="false"/>
                <w:color w:val="000000"/>
                <w:sz w:val="12"/>
              </w:rPr>
              <w:t>(k)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Income tax benefit associated with pre-tax adjustments</w:t>
            </w:r>
            <w:r>
              <w:rPr>
                <w:rFonts w:ascii="Times New Roman;sans-serif" w:hAnsi="Times New Roman;sans-serif"/>
                <w:b w:val="false"/>
                <w:color w:val="000000"/>
                <w:sz w:val="12"/>
              </w:rPr>
              <w: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(50,617)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230,116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Interest expense, net</w:t>
            </w:r>
            <w:r>
              <w:rPr>
                <w:rFonts w:ascii="Times New Roman;sans-serif" w:hAnsi="Times New Roman;sans-serif"/>
                <w:b w:val="false"/>
                <w:color w:val="000000"/>
                <w:sz w:val="12"/>
              </w:rPr>
              <w:t>(m)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116,068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Depreciation</w:t>
            </w:r>
            <w:r>
              <w:rPr>
                <w:rFonts w:ascii="Times New Roman;sans-serif" w:hAnsi="Times New Roman;sans-serif"/>
                <w:b w:val="false"/>
                <w:color w:val="000000"/>
                <w:sz w:val="12"/>
              </w:rPr>
              <w: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76,577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Income tax provision applicable to Adjusted Net Income</w:t>
            </w:r>
            <w:r>
              <w:rPr>
                <w:rFonts w:ascii="Times New Roman;sans-serif" w:hAnsi="Times New Roman;sans-serif"/>
                <w:b w:val="false"/>
                <w:color w:val="000000"/>
                <w:sz w:val="12"/>
              </w:rPr>
              <w: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105,268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Adjusted EBITDA</w:t>
            </w:r>
            <w:r>
              <w:rPr>
                <w:rFonts w:ascii="Times New Roman;sans-serif" w:hAnsi="Times New Roman;sans-serif"/>
                <w:b/>
                <w:color w:val="000000"/>
                <w:sz w:val="12"/>
              </w:rPr>
              <w:t>(p)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528,029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pPr>
      <w:r>
        <w:rPr>
          <w:rFonts w:ascii="Times New Roman;sans-serif" w:hAnsi="Times New Roman;sans-serif"/>
          <w:b w:val="false"/>
          <w:color w:val="231F20"/>
          <w:sz w:val="20"/>
          <w:shd w:fill="FFFFFF" w:val="clear"/>
        </w:rPr>
        <w:t>(a)</w:t>
      </w:r>
      <w:r>
        <w:rPr>
          <w:rFonts w:ascii="Times New Roman;sans-serif" w:hAnsi="Times New Roman;sans-serif"/>
          <w:b w:val="false"/>
          <w:color w:val="000000"/>
          <w:sz w:val="20"/>
          <w:shd w:fill="FFFFFF" w:val="clear"/>
        </w:rPr>
        <w:t xml:space="preserve">Represents share-based compensation expense to employees and non-employee directors. See Note </w:t>
      </w:r>
      <w:r>
        <w:rPr>
          <w:rFonts w:ascii="Times New Roman;sans-serif" w:hAnsi="Times New Roman;sans-serif"/>
          <w:b w:val="false"/>
          <w:color w:val="000000"/>
          <w:sz w:val="20"/>
        </w:rPr>
        <w:t>16,</w:t>
      </w:r>
      <w:r>
        <w:rPr>
          <w:color w:val="000000"/>
          <w:shd w:fill="FFFFFF" w:val="clear"/>
        </w:rPr>
        <w:t xml:space="preserve"> </w:t>
      </w:r>
      <w:r>
        <w:rPr>
          <w:color w:val="000000"/>
        </w:rPr>
        <w:t>“</w:t>
      </w:r>
      <w:r>
        <w:rPr>
          <w:rFonts w:ascii="Times New Roman;sans-serif" w:hAnsi="Times New Roman;sans-serif"/>
          <w:b w:val="false"/>
          <w:color w:val="000000"/>
          <w:sz w:val="20"/>
        </w:rPr>
        <w:t>Share-Based Compensation”</w:t>
      </w:r>
      <w:r>
        <w:rPr>
          <w:color w:val="000000"/>
          <w:shd w:fill="FFFFFF" w:val="clear"/>
        </w:rPr>
        <w:t xml:space="preserve"> </w:t>
      </w:r>
      <w:r>
        <w:rPr>
          <w:rFonts w:ascii="Times New Roman;sans-serif" w:hAnsi="Times New Roman;sans-serif"/>
          <w:b w:val="false"/>
          <w:color w:val="000000"/>
          <w:sz w:val="20"/>
          <w:shd w:fill="FFFFFF" w:val="clear"/>
        </w:rPr>
        <w:t>for further information.</w:t>
      </w:r>
    </w:p>
    <w:p>
      <w:pPr>
        <w:pStyle w:val="TextBody"/>
        <w:bidi w:val="0"/>
        <w:spacing w:lineRule="auto" w:line="288" w:before="40" w:after="283"/>
        <w:ind w:left="0" w:right="0" w:hanging="360"/>
        <w:jc w:val="left"/>
        <w:rPr/>
      </w:pPr>
      <w:r>
        <w:rPr>
          <w:rFonts w:ascii="Times New Roman;sans-serif" w:hAnsi="Times New Roman;sans-serif"/>
          <w:b w:val="false"/>
          <w:color w:val="231F20"/>
          <w:sz w:val="20"/>
          <w:shd w:fill="FFFFFF" w:val="clear"/>
        </w:rPr>
        <w:t>(b)</w:t>
      </w:r>
      <w:r>
        <w:rPr>
          <w:rFonts w:ascii="Times New Roman;sans-serif" w:hAnsi="Times New Roman;sans-serif"/>
          <w:b w:val="false"/>
          <w:color w:val="000000"/>
          <w:sz w:val="20"/>
          <w:shd w:fill="FFFFFF" w:val="clear"/>
        </w:rPr>
        <w:t>Represents the effects of (i) fluctuations in foreign currency exchange rates, (ii) non-cash mark-to-fair value of embedded derivatives relating to certain customer and supply contracts at Nordion, and (iii) unrealized gains and losses on interest rate derivatives not designated as hedging instruments.</w:t>
      </w:r>
      <w:r>
        <w:rPr>
          <w:color w:val="000000"/>
        </w:rPr>
        <w:t xml:space="preserve"> </w:t>
      </w:r>
    </w:p>
    <w:p>
      <w:pPr>
        <w:pStyle w:val="TextBody"/>
        <w:bidi w:val="0"/>
        <w:spacing w:lineRule="auto" w:line="288" w:before="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(c)Represents (i) certain direct and incremental costs related to the acquisitions of RCA and BioSciences Labs and certain related integration efforts as a result of those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w:t>
      </w:r>
    </w:p>
    <w:p>
      <w:pPr>
        <w:pStyle w:val="TextBody"/>
        <w:bidi w:val="0"/>
        <w:spacing w:lineRule="auto" w:line="276" w:before="40" w:after="283"/>
        <w:ind w:left="0" w:right="0" w:hanging="360"/>
        <w:jc w:val="left"/>
        <w:rPr/>
      </w:pPr>
      <w:r>
        <w:rPr>
          <w:rFonts w:ascii="Times New Roman;sans-serif" w:hAnsi="Times New Roman;sans-serif"/>
          <w:b w:val="false"/>
          <w:color w:val="231F20"/>
          <w:sz w:val="20"/>
        </w:rPr>
        <w:t>(d)</w:t>
      </w:r>
      <w:r>
        <w:rPr>
          <w:rFonts w:ascii="Times New Roman;sans-serif" w:hAnsi="Times New Roman;sans-serif"/>
          <w:b w:val="false"/>
          <w:color w:val="000000"/>
          <w:sz w:val="20"/>
        </w:rPr>
        <w:t>Represents professional fees exit costs, severance and other payroll costs, and other costs associated with business optimization and cost savings projects, operating structure realignment and other process enhancement projects.</w:t>
      </w:r>
    </w:p>
    <w:p>
      <w:pPr>
        <w:pStyle w:val="TextBody"/>
        <w:bidi w:val="0"/>
        <w:spacing w:lineRule="auto" w:line="288" w:before="40" w:after="283"/>
        <w:ind w:left="0" w:right="0" w:hanging="360"/>
        <w:jc w:val="left"/>
        <w:rPr/>
      </w:pPr>
      <w:r>
        <w:rPr>
          <w:rFonts w:ascii="Times New Roman;sans-serif" w:hAnsi="Times New Roman;sans-serif"/>
          <w:b w:val="false"/>
          <w:color w:val="231F20"/>
          <w:sz w:val="20"/>
          <w:shd w:fill="FFFFFF" w:val="clear"/>
        </w:rPr>
        <w:t>(e)</w:t>
      </w:r>
      <w:r>
        <w:rPr>
          <w:rFonts w:ascii="Times New Roman;sans-serif" w:hAnsi="Times New Roman;sans-serif"/>
          <w:b w:val="false"/>
          <w:color w:val="000000"/>
          <w:sz w:val="20"/>
          <w:shd w:fill="FFFFFF" w:val="clear"/>
        </w:rPr>
        <w:t xml:space="preserve">Represents professional fees, severance and other payroll costs, and other costs including ongoing lease and utility expenses associated with the closure of the Willowbrook, Illinois facility. The </w:t>
      </w:r>
      <w:r>
        <w:rPr>
          <w:rFonts w:ascii="Times New Roman;sans-serif" w:hAnsi="Times New Roman;sans-serif"/>
          <w:b w:val="false"/>
          <w:color w:val="000000"/>
          <w:sz w:val="20"/>
        </w:rPr>
        <w:t>year ended December 31, 2023</w:t>
      </w:r>
      <w:r>
        <w:rPr>
          <w:color w:val="000000"/>
          <w:shd w:fill="FFFFFF" w:val="clear"/>
        </w:rPr>
        <w:t xml:space="preserve"> </w:t>
      </w:r>
      <w:r>
        <w:rPr>
          <w:rFonts w:ascii="Times New Roman;sans-serif" w:hAnsi="Times New Roman;sans-serif"/>
          <w:b w:val="false"/>
          <w:color w:val="000000"/>
          <w:sz w:val="20"/>
          <w:shd w:fill="FFFFFF" w:val="clear"/>
        </w:rPr>
        <w:t>also includes a $1.0 million cancellation fee received from a tenant in connection with the termination of an office space lease at the Nordion facility.</w:t>
      </w:r>
    </w:p>
    <w:p>
      <w:pPr>
        <w:pStyle w:val="TextBody"/>
        <w:bidi w:val="0"/>
        <w:spacing w:lineRule="auto" w:line="288" w:before="40" w:after="283"/>
        <w:ind w:left="0" w:right="0" w:hanging="360"/>
        <w:jc w:val="left"/>
        <w:rPr/>
      </w:pPr>
      <w:r>
        <w:rPr>
          <w:rFonts w:ascii="Times New Roman;sans-serif" w:hAnsi="Times New Roman;sans-serif"/>
          <w:b w:val="false"/>
          <w:color w:val="231F20"/>
          <w:sz w:val="20"/>
          <w:shd w:fill="FFFFFF" w:val="clear"/>
        </w:rPr>
        <w:t>(f)</w:t>
      </w:r>
      <w:r>
        <w:rPr>
          <w:rFonts w:ascii="Times New Roman;sans-serif" w:hAnsi="Times New Roman;sans-serif"/>
          <w:b w:val="false"/>
          <w:color w:val="000000"/>
          <w:sz w:val="20"/>
          <w:shd w:fill="FFFFFF" w:val="clear"/>
        </w:rPr>
        <w:t>Represents an impairment charge on an equity method investment in a joint venture.</w:t>
      </w:r>
      <w:r>
        <w:rPr>
          <w:color w:val="000000"/>
        </w:rPr>
        <w:t xml:space="preserve"> </w:t>
      </w:r>
      <w:r>
        <w:rPr>
          <w:rFonts w:ascii="Times New Roman;sans-serif" w:hAnsi="Times New Roman;sans-serif"/>
          <w:b w:val="false"/>
          <w:color w:val="000000"/>
          <w:sz w:val="20"/>
          <w:shd w:fill="FFFFFF" w:val="clear"/>
        </w:rPr>
        <w:t xml:space="preserve">Refer to Note </w:t>
      </w:r>
      <w:r>
        <w:rPr>
          <w:rFonts w:ascii="Times New Roman;sans-serif" w:hAnsi="Times New Roman;sans-serif"/>
          <w:b w:val="false"/>
          <w:color w:val="000000"/>
          <w:sz w:val="20"/>
        </w:rPr>
        <w:t>1,</w:t>
      </w:r>
      <w:r>
        <w:rPr>
          <w:color w:val="000000"/>
          <w:shd w:fill="FFFFFF" w:val="clear"/>
        </w:rPr>
        <w:t xml:space="preserve"> </w:t>
      </w:r>
      <w:r>
        <w:rPr>
          <w:color w:val="000000"/>
        </w:rPr>
        <w:t>“</w:t>
      </w:r>
      <w:r>
        <w:rPr>
          <w:rFonts w:ascii="Times New Roman;sans-serif" w:hAnsi="Times New Roman;sans-serif"/>
          <w:b w:val="false"/>
          <w:color w:val="000000"/>
          <w:sz w:val="20"/>
        </w:rPr>
        <w:t>Significant Accounting Policies”</w:t>
      </w:r>
      <w:r>
        <w:rPr>
          <w:color w:val="000000"/>
          <w:shd w:fill="FFFFFF" w:val="clear"/>
        </w:rPr>
        <w:t xml:space="preserve"> </w:t>
      </w:r>
      <w:r>
        <w:rPr>
          <w:rFonts w:ascii="Times New Roman;sans-serif" w:hAnsi="Times New Roman;sans-serif"/>
          <w:b w:val="false"/>
          <w:color w:val="000000"/>
          <w:sz w:val="20"/>
          <w:shd w:fill="FFFFFF" w:val="clear"/>
        </w:rPr>
        <w:t>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 w:after="283"/>
        <w:ind w:left="0" w:right="0" w:hanging="360"/>
        <w:jc w:val="left"/>
        <w:rPr/>
      </w:pPr>
      <w:r>
        <w:rPr>
          <w:rFonts w:ascii="Times New Roman;sans-serif" w:hAnsi="Times New Roman;sans-serif"/>
          <w:b w:val="false"/>
          <w:color w:val="231F20"/>
          <w:sz w:val="20"/>
          <w:shd w:fill="FFFFFF" w:val="clear"/>
        </w:rPr>
        <w:t>(g)</w:t>
      </w:r>
      <w:r>
        <w:rPr>
          <w:rFonts w:ascii="Times New Roman;sans-serif" w:hAnsi="Times New Roman;sans-serif"/>
          <w:b w:val="false"/>
          <w:color w:val="000000"/>
          <w:sz w:val="20"/>
          <w:shd w:fill="FFFFFF" w:val="clear"/>
        </w:rPr>
        <w:t>Represents litigation and other professional fees associated with our EO sterilization facilities. This includes $26.8 million of interest expense, net for the year ended December 31, 2023 associated with Term Loan B that was issued to finance the $408.0 million settlement of 880 pending and threatened EO claims against the Defendant Subsidiaries in Illinois under Settlement Agreements entered into on March 28, 2023. See Note 20, “Commitments and Contingencies”.</w:t>
      </w:r>
    </w:p>
    <w:p>
      <w:pPr>
        <w:pStyle w:val="TextBody"/>
        <w:bidi w:val="0"/>
        <w:spacing w:lineRule="auto" w:line="288" w:before="40" w:after="283"/>
        <w:ind w:left="0" w:right="0" w:hanging="360"/>
        <w:jc w:val="left"/>
        <w:rPr/>
      </w:pPr>
      <w:r>
        <w:rPr>
          <w:rFonts w:ascii="Times New Roman;sans-serif" w:hAnsi="Times New Roman;sans-serif"/>
          <w:b w:val="false"/>
          <w:color w:val="231F20"/>
          <w:sz w:val="20"/>
        </w:rPr>
        <w:t>(h)</w:t>
      </w:r>
      <w:r>
        <w:rPr>
          <w:rFonts w:ascii="Times New Roman;sans-serif" w:hAnsi="Times New Roman;sans-serif"/>
          <w:b w:val="false"/>
          <w:color w:val="000000"/>
          <w:sz w:val="20"/>
        </w:rPr>
        <w:t>Represents the cost to settle 880 pending and threatened EO claims against the Defendant Subsidiaries in Illinois pursuant to Settlement Agreements entered into on March 28, 2023. See Note 20, “Commitments and Contingencies”.</w:t>
      </w:r>
    </w:p>
    <w:p>
      <w:pPr>
        <w:pStyle w:val="TextBody"/>
        <w:bidi w:val="0"/>
        <w:spacing w:lineRule="auto" w:line="288" w:before="40" w:after="283"/>
        <w:ind w:left="0" w:right="0" w:hanging="360"/>
        <w:jc w:val="left"/>
        <w:rPr/>
      </w:pPr>
      <w:r>
        <w:rPr>
          <w:rFonts w:ascii="Times New Roman;sans-serif" w:hAnsi="Times New Roman;sans-serif"/>
          <w:b w:val="false"/>
          <w:color w:val="231F20"/>
          <w:sz w:val="20"/>
        </w:rPr>
        <w:t>(i)</w:t>
      </w:r>
      <w:r>
        <w:rPr>
          <w:rFonts w:ascii="Times New Roman;sans-serif" w:hAnsi="Times New Roman;sans-serif"/>
          <w:b w:val="false"/>
          <w:color w:val="000000"/>
          <w:sz w:val="20"/>
        </w:rPr>
        <w:t>Represents the cost to settle 79 pending EO claims against the Settling Defendants in Georgia under a settlement term sheet entered into on December 21, 2023. See Note 20, “Commitments and Contingencies”.</w:t>
      </w:r>
    </w:p>
    <w:p>
      <w:pPr>
        <w:pStyle w:val="TextBody"/>
        <w:bidi w:val="0"/>
        <w:spacing w:lineRule="auto" w:line="288" w:before="40" w:after="283"/>
        <w:ind w:left="0" w:right="0" w:hanging="360"/>
        <w:jc w:val="left"/>
        <w:rPr/>
      </w:pPr>
      <w:r>
        <w:rPr>
          <w:rFonts w:ascii="Times New Roman;sans-serif" w:hAnsi="Times New Roman;sans-serif"/>
          <w:b w:val="false"/>
          <w:color w:val="231F20"/>
          <w:sz w:val="20"/>
        </w:rPr>
        <w:t>(j)</w:t>
      </w:r>
      <w:r>
        <w:rPr>
          <w:rFonts w:ascii="Times New Roman;sans-serif" w:hAnsi="Times New Roman;sans-serif"/>
          <w:b w:val="false"/>
          <w:color w:val="000000"/>
          <w:sz w:val="20"/>
        </w:rPr>
        <w:t>Represents non-cash accretion of asset retirement obligations related to Co-60 gamma and EO processing facilities, which are based on estimated site remediation costs for any future decommissioning of these facilities and are accreted over the life of the asset.</w:t>
      </w:r>
    </w:p>
    <w:p>
      <w:pPr>
        <w:pStyle w:val="TextBody"/>
        <w:bidi w:val="0"/>
        <w:spacing w:lineRule="auto" w:line="288" w:before="40" w:after="283"/>
        <w:ind w:left="0" w:right="0" w:hanging="360"/>
        <w:jc w:val="left"/>
        <w:rPr/>
      </w:pPr>
      <w:r>
        <w:rPr>
          <w:rFonts w:ascii="Times New Roman;sans-serif" w:hAnsi="Times New Roman;sans-serif"/>
          <w:b w:val="false"/>
          <w:color w:val="231F20"/>
          <w:sz w:val="20"/>
        </w:rPr>
        <w:t>(k)</w:t>
      </w:r>
      <w:r>
        <w:rPr>
          <w:rFonts w:ascii="Times New Roman;sans-serif" w:hAnsi="Times New Roman;sans-serif"/>
          <w:b w:val="false"/>
          <w:color w:val="000000"/>
          <w:sz w:val="20"/>
        </w:rPr>
        <w:t>Represents non-recurring costs associated with the COVID-19 pandemic, including incremental costs to implement workplace health and safety measures.</w:t>
      </w:r>
    </w:p>
    <w:p>
      <w:pPr>
        <w:pStyle w:val="TextBody"/>
        <w:bidi w:val="0"/>
        <w:spacing w:lineRule="auto" w:line="288" w:before="40" w:after="283"/>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(l)Represents the income tax impact of adjustments calculated based on the tax rate applicable to each item. We eliminate the effect of tax rate changes as applied to tax assets and liabilities, and unusual items from our presentation of adjusted net income.</w:t>
      </w:r>
    </w:p>
    <w:p>
      <w:pPr>
        <w:pStyle w:val="TextBody"/>
        <w:bidi w:val="0"/>
        <w:spacing w:lineRule="auto" w:line="288" w:before="40" w:after="283"/>
        <w:ind w:left="0" w:right="0" w:hanging="360"/>
        <w:jc w:val="left"/>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(m)The year ended December 31, 2023 excludes $26.8 million of interest expense, net, on Term Loan B attributable to the loan proceeds that were used to fund the $408.0 million cost of the Illinois EO litigation settlement. The year ended December 31, 2022 excludes $1.7 million of unrealized loss on interest rate derivatives not designated as hedging instruments.</w:t>
      </w:r>
    </w:p>
    <w:p>
      <w:pPr>
        <w:pStyle w:val="TextBody"/>
        <w:bidi w:val="0"/>
        <w:spacing w:lineRule="auto" w:line="288" w:before="40" w:after="283"/>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(n)Includes depreciation of Co-60 held at gamma irradiation sites.</w:t>
      </w:r>
    </w:p>
    <w:p>
      <w:pPr>
        <w:pStyle w:val="TextBody"/>
        <w:bidi w:val="0"/>
        <w:spacing w:lineRule="auto" w:line="288" w:before="40" w:after="283"/>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(o)Represents the difference between the income tax provision/benefit as determined under U.S. GAAP and the income tax benefit associated with pre-tax adjustments described in footnote (l).</w:t>
      </w:r>
    </w:p>
    <w:p>
      <w:pPr>
        <w:pStyle w:val="TextBody"/>
        <w:bidi w:val="0"/>
        <w:spacing w:lineRule="auto" w:line="288" w:before="40" w:after="283"/>
        <w:ind w:left="0" w:right="0" w:hanging="360"/>
        <w:jc w:val="left"/>
        <w:rPr/>
      </w:pPr>
      <w:r>
        <w:rPr>
          <w:rFonts w:ascii="Times New Roman;sans-serif" w:hAnsi="Times New Roman;sans-serif"/>
          <w:b w:val="false"/>
          <w:color w:val="231F20"/>
          <w:sz w:val="20"/>
        </w:rPr>
        <w:t xml:space="preserve">(p)$94.1 million and $83.6 million of the adjustments for the </w:t>
      </w:r>
      <w:r>
        <w:rPr>
          <w:rFonts w:ascii="Times New Roman;sans-serif" w:hAnsi="Times New Roman;sans-serif"/>
          <w:b w:val="false"/>
          <w:color w:val="000000"/>
          <w:sz w:val="20"/>
        </w:rPr>
        <w:t xml:space="preserve">year ended December 31, 2023 and </w:t>
      </w:r>
      <w:r>
        <w:rPr>
          <w:rFonts w:ascii="Times New Roman;sans-serif" w:hAnsi="Times New Roman;sans-serif"/>
          <w:b w:val="false"/>
          <w:color w:val="231F20"/>
          <w:sz w:val="20"/>
        </w:rPr>
        <w:t>2022, respectively, are included in cost of revenues, primarily consisting of amortization of intangible assets, depreciation, and accretion of asset retirement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SEGMENT RESULTS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three reportable segments: Sterigenics, Nordion and Nelson Labs. Our chief operating decision maker evaluates performance and allocates resources within our business based on segment income, which excludes certain items which are included in income (loss) before tax as determined in our Consolidated Statements of Operations and Comprehensive Income (Loss). The accounting policies for our reportable segments are the same as those for the consolidated Company.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Our Segments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Sterigenics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Sterigenics business provides outsourced terminal sterilization and irradiation services for the medical device, pharmaceutical, food safety and advanced applications markets using three major technologies: gamma irradiation, EO processing and E-beam irradiation.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Nordion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Nordion business is a leading global provider of Co-60 used in the sterilization and irradiation processes for the medical device, pharmaceutical, food safety, and high-performance materials industries and for the treatment of cancer. In addition, Nordion is a leading global provider of gamma irradiation systems.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time required to meet regulatory and logistics requirements for delivery of radioactive products, combined with accommodations that we make to our customers to minimize disruptions to their operations during the installation of Co-60, Nordion sales patterns can often vary significantly from one quarter to the next. In most cases, however, timing-related impacts on our sales performance tend to be resolved within several quarters, resulting in more consistent performance over longer periods of time. In addition, sales of gamma irradiation systems occur infrequently and tend to be for larger amounts.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Results for our Nordion segment are impacted by Co-60 mix, harvest schedules, and customer, product and service mix.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Nelson Labs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Nelson Labs business provides outsourced microbiological and analytical chemistry testing and advisory services for the medical device and pharmaceutical industries.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more information regarding our reportable segments please refer to Item 1. “Business” and Note 22, “Segment and Geographic Information” to our consolidated financial statements. </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Segment Results for the Years Ended December 31, 2023 and 2022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section summarizes the segment results for the years ended December 31, 2023 and 2022. The discussion of the segment results for the years ended December 31, 2022 and 2021 are presented within our Annual Report on Form 10-K for the year ended December 31, 2022 under “Item 7. Management’s Discussion and Analysis of Financial Condition and Results of Operations - Segment Results for the years ended December 31, 2022 and 2021.”</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compare segment net revenue and segment income for the year ended December 31, 2023 to the year ended December 31, 2022: </w:t>
      </w:r>
    </w:p>
    <w:tbl>
      <w:tblPr>
        <w:tblW w:w="8028" w:type="dxa"/>
        <w:jc w:val="left"/>
        <w:tblInd w:w="0" w:type="dxa"/>
        <w:tblLayout w:type="fixed"/>
        <w:tblCellMar>
          <w:top w:w="28" w:type="dxa"/>
          <w:left w:w="28" w:type="dxa"/>
          <w:bottom w:w="28" w:type="dxa"/>
          <w:right w:w="28" w:type="dxa"/>
        </w:tblCellMar>
      </w:tblPr>
      <w:tblGrid>
        <w:gridCol w:w="799"/>
        <w:gridCol w:w="702"/>
        <w:gridCol w:w="703"/>
        <w:gridCol w:w="211"/>
        <w:gridCol w:w="841"/>
        <w:gridCol w:w="301"/>
        <w:gridCol w:w="109"/>
        <w:gridCol w:w="109"/>
        <w:gridCol w:w="109"/>
        <w:gridCol w:w="211"/>
        <w:gridCol w:w="826"/>
        <w:gridCol w:w="271"/>
        <w:gridCol w:w="109"/>
        <w:gridCol w:w="109"/>
        <w:gridCol w:w="109"/>
        <w:gridCol w:w="211"/>
        <w:gridCol w:w="721"/>
        <w:gridCol w:w="109"/>
        <w:gridCol w:w="109"/>
        <w:gridCol w:w="109"/>
        <w:gridCol w:w="109"/>
        <w:gridCol w:w="285"/>
        <w:gridCol w:w="286"/>
        <w:gridCol w:w="570"/>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Sterigenics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667,130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626,646 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Nordion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160,459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Nelson Labs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221,699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Sterigenics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362,212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Nordion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96,678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Nelson Labs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69,139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 Margin</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Sterigenics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Nordion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Nelson Labs</w:t>
            </w:r>
          </w:p>
        </w:tc>
        <w:tc>
          <w:tcPr>
            <w:tcW w:w="10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31.2</w:t>
            </w:r>
            <w:r>
              <w:rPr>
                <w:color w:val="000000"/>
              </w:rPr>
              <w:t> </w:t>
            </w:r>
          </w:p>
        </w:tc>
        <w:tc>
          <w:tcPr>
            <w:tcW w:w="3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Net Revenues </w:t>
      </w:r>
    </w:p>
    <w:p>
      <w:pPr>
        <w:pStyle w:val="TextBody"/>
        <w:bidi w:val="0"/>
        <w:spacing w:lineRule="auto" w:line="288" w:before="240" w:after="283"/>
        <w:jc w:val="left"/>
        <w:rPr/>
      </w:pPr>
      <w:r>
        <w:rPr>
          <w:rFonts w:ascii="Times New Roman;sans-serif" w:hAnsi="Times New Roman;sans-serif"/>
          <w:b w:val="false"/>
          <w:color w:val="000000"/>
          <w:sz w:val="20"/>
        </w:rPr>
        <w:t xml:space="preserve">Sterigenics net revenues were $667.1 million for the year ended December 31, 2023, an increase of $40.5 million, or 6.5%, as compared to the prior year. The </w:t>
      </w:r>
      <w:r>
        <w:rPr>
          <w:rFonts w:ascii="Times New Roman;sans-serif" w:hAnsi="Times New Roman;sans-serif"/>
          <w:b w:val="false"/>
          <w:color w:val="000000"/>
          <w:sz w:val="20"/>
          <w:shd w:fill="FFFFFF" w:val="clear"/>
        </w:rPr>
        <w:t>increase was attributable to favorable</w:t>
      </w:r>
      <w:r>
        <w:rPr>
          <w:color w:val="000000"/>
        </w:rPr>
        <w:t xml:space="preserve"> </w:t>
      </w:r>
      <w:r>
        <w:rPr>
          <w:rFonts w:ascii="Times New Roman;sans-serif" w:hAnsi="Times New Roman;sans-serif"/>
          <w:b w:val="false"/>
          <w:color w:val="000000"/>
          <w:sz w:val="20"/>
        </w:rPr>
        <w:t>pricing and changes in foreign currency exchange rates of 6.2% and 0.9%, respectively, partially offset by unfavorable sales volume and mix of 0.6%.</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 net revenues were $160.5 million for the year ended December 31, 2023, an increase of $6.8 million, or 4.4%, as compared to the prior year. The increase was driven by a favorable impact from pricing of 10.8%, partially offset by unfavorable impacts to volume and mix and changes in foreign currency exchange rates of 3.9% and 2.5%,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 net revenues were $221.7 million for the year ended December 31, 2023, a decrease of $1.7 million, or 0.8%, as compared to the prior year. The decrease was attributable to unfavorable volume and mix of 5.3%, partially offset by favorable impacts from pricing and changes in foreign currency exchange rates of 3.8% and 0.7%, respectively.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Segment Income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segment income was $362.2 million for the year ended December 31, 2023, an increase of $23.1 million, or 6.8%, as compared to the prior year. The increase in segment income was fueled mainly by favorable pricing, as referenced above, partially offset by higher costs and unfavorable volume and mix.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color w:val="000000"/>
        </w:rPr>
        <w:t> </w:t>
      </w:r>
      <w:r>
        <w:rPr>
          <w:rFonts w:ascii="Times New Roman;sans-serif" w:hAnsi="Times New Roman;sans-serif"/>
          <w:b w:val="false"/>
          <w:color w:val="000000"/>
          <w:sz w:val="20"/>
        </w:rPr>
        <w:t>Nordion segment income was $96.7 million for the year ended December 31, 2023, an increase of $7.2 million, or 8.0%, as compared to the prior year. The increase in segment income and segment income margin was driven mainly by favorable pricing and higher volumes of medical-use Co-60, partially offset by lower volumes of industrial-use Co-60.</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 segment income was $69.1 million for the year ended December 31, 2023, a decrease of $8.5 million, or 10.9%, as compared to the prior year. The decrease in segment income and segment income margin was primarily a result of unfavorable volume and mix coupled with the ongoing impact of inflation, partially offset by favorable pricing.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Sources of Cash</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sources of liquidity for our business are cash flows from operations and borrowings under our credit facilities. As of December 31, 2023, we had $301.7 million of cash and cash equivalents. This is a decrease of $94.6 million from the balance at December 31, 2022. The decrease in cash and cash equivalents was mainly attributable to the release of approximately $407.7 million to settle the EO claims against the Settling Defendants in Cook County, Illinois and a $200.0 million paydown of the outstanding balance on the Revolving Credit Facility. Partially offsetting this decrease was $500.0 million in proceeds from the issuance of Term Loan B on February 23, 2023 (as detailed below). Our foreign subsidiaries held cash of approximately $224.1 million at December 31, 2023 and $158.3 million at December 31, 2022. No material restrictions exist to accessing cash held by our foreign subsidiaries notwithstanding any potential tax consequences.</w:t>
      </w:r>
    </w:p>
    <w:p>
      <w:pPr>
        <w:pStyle w:val="TextBody"/>
        <w:bidi w:val="0"/>
        <w:spacing w:lineRule="auto" w:line="288" w:before="240" w:after="283"/>
        <w:jc w:val="left"/>
        <w:rPr/>
      </w:pPr>
      <w:r>
        <w:rPr>
          <w:rFonts w:ascii="Times New Roman;sans-serif" w:hAnsi="Times New Roman;sans-serif"/>
          <w:b w:val="false"/>
          <w:color w:val="000000"/>
          <w:sz w:val="20"/>
        </w:rPr>
        <w:t xml:space="preserve">On February 23, 2023 we entered into the First Lien Credit Agreement (the “2023 Credit Agreement”), which provides for, among other things, a new Term Loan B facility (the “2023 Term Loan”) in an aggregate principal amount of $500.0 million and bears interest, at the Company’s option, at a variable rate per annum equal to either (x) Term SOFR (as defined in the 2023 Credit Agreement) plus an applicable margin of 3.75% or (y) an alternative base rate (“ABR”) plus an applicable margin of 2.75%. The 2023 Credit Agreement is secured on a first priority basis by substantially all of our assets and is guaranteed by certain of our subsidiaries. It is prepayable without premium or penalty at any time six months after the closing date. The principal balance shall be paid at 1% of the aggregate principal amount ($5.0 million per year), with the balance due at the end of 2026. The Company used the proceeds of this debt to fund a previously announced $408.0 million EO litigation settlement in Cook County, Illinois on May 1, 2023 and pay down existing borrowings under the Company’s revolving credit facility. The Company used the remaining proceeds to further enhance liquidity and for general corporate purposes. Refer to “Debt Facilities” below within this Item, Note 10, “Long-Term Debt”, and Item 1A, </w:t>
      </w:r>
      <w:r>
        <w:rPr>
          <w:color w:val="000000"/>
        </w:rPr>
        <w:t>“</w:t>
      </w:r>
      <w:r>
        <w:rPr>
          <w:rFonts w:ascii="Times New Roman;sans-serif" w:hAnsi="Times New Roman;sans-serif"/>
          <w:b w:val="false"/>
          <w:color w:val="000000"/>
          <w:sz w:val="20"/>
        </w:rPr>
        <w:t>Risk Factors</w:t>
      </w:r>
      <w:r>
        <w:rPr>
          <w:color w:val="000000"/>
        </w:rPr>
        <w:t xml:space="preserve">” </w:t>
      </w:r>
      <w:r>
        <w:rPr>
          <w:rFonts w:ascii="Times New Roman;sans-serif" w:hAnsi="Times New Roman;sans-serif"/>
          <w:b w:val="false"/>
          <w:color w:val="000000"/>
          <w:sz w:val="20"/>
        </w:rPr>
        <w:t xml:space="preserve">- “Risks Related to Our Indebtedness and Liquidity.” for additional information.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Uses of Cash</w:t>
      </w:r>
    </w:p>
    <w:p>
      <w:pPr>
        <w:pStyle w:val="TextBody"/>
        <w:bidi w:val="0"/>
        <w:spacing w:lineRule="auto" w:line="288" w:before="240" w:after="283"/>
        <w:jc w:val="left"/>
        <w:rPr/>
      </w:pPr>
      <w:r>
        <w:rPr>
          <w:rFonts w:ascii="Times New Roman;sans-serif" w:hAnsi="Times New Roman;sans-serif"/>
          <w:b w:val="false"/>
          <w:color w:val="000000"/>
          <w:sz w:val="20"/>
        </w:rPr>
        <w:t>We expect that cash on hand, operating cash flows and amounts available under our credit facilities will provide sufficient working capital to operate our business, meet foreseeable liquidity requirements (inclusive of debt service on our long-term debt) make expected capital expenditures including investments in fixed assets to build and/or expand existing facilities, and meet litigation costs that we expect to continue to incur for at least the next twelve months. Our primary long-term liquidity requirements beyond the next 12 months will be to service our debt, make capital expenditures, and fund suitable business acquisitions. As of December 31, 2023, there were no outstanding borrowings on the Revolving Credit Facility. We expect any excess cash provided by operations will be allocated to fund capital expenditures, potential acquisitions, or for other general corporate purposes. Our ability to meet future working capital, capital expenditure and debt service requirements will depend on our future financial performance, which will be affected by a range of macroeconomic, competitive and business factors, including interest rate changes and changes in our industry, many of which are outside of our control. As of December 31, 2023, our interest rate derivatives limit the cash flow exposure of our variable rate borrowings under the Term Loans. Refer to Note 21, “Financial Instruments and Financial Risk”, “</w:t>
      </w:r>
      <w:r>
        <w:rPr>
          <w:rFonts w:ascii="Times New Roman;sans-serif" w:hAnsi="Times New Roman;sans-serif"/>
          <w:b w:val="false"/>
          <w:i/>
          <w:color w:val="000000"/>
          <w:sz w:val="20"/>
        </w:rPr>
        <w:t>Derivative Instruments</w:t>
      </w:r>
      <w:r>
        <w:rPr>
          <w:color w:val="000000"/>
        </w:rPr>
        <w:t xml:space="preserve">” </w:t>
      </w:r>
      <w:r>
        <w:rPr>
          <w:rFonts w:ascii="Times New Roman;sans-serif" w:hAnsi="Times New Roman;sans-serif"/>
          <w:b w:val="false"/>
          <w:color w:val="000000"/>
          <w:sz w:val="20"/>
        </w:rPr>
        <w:t>for additional information regarding the interest rate caps used to manage economic risks associated with our variable rate borrowings. Refer to Item 7A., "Quantitative and Qualitative Disclosures About Market Risk" for additional information about changes in interest rate risk.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capital expenditure program is a component of our long-term strategy. This program includes, among other things, investments in new and existing facilities, business expansion projects, Co-60 used by Sterigenics at its gamma irradiation facilities, cobalt development projects and information technology enhancements. During the year ended December 31, 2023, our capital expenditures amounted to $215.0 million, compared to $182.4 million in the year ended December 31, 2022. This amount includes approximately $35.5 million related to environmental facility enhancements.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2024, we expect to continue to invest in facility expansions, ongoing routine maintenance for existing facilities, and acquisition of Co-60 for use by our Sterigenics segment in its gamma irradiation facilities. In addition, we expect to invest in special projects related to development of new Co-60 supply sources and facility enhancements at our EO sterilization facilities. We currently expect the amount of capital expenditures in 2024 to be similar to 2023 as we execute on those special projects in addition to our normal growth and maintenance related investments. For 2024, it is estimated that approximately $40.0 million and $47.0 million of capital expenditures will relate to environmental facility enhancements and cobalt development projects, respectively. We expect a gradual decline in capital expenditures beginning in 2025.</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Debt Facilities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Secured Credit Facilities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Revolving Credit Facility and Term Loan mature on June 13, 2026, and December 13, 2026, respectively. After giving effect to the Revolving Credit Facility Amendment (defined below), the total borrowing capacity under the Revolving Credit Facility is $423.8 million. The Senior Secured Credit Facilities also provide SHH the right at any time and under certain conditions to request incremental term loans or incremental revolving credit commitments based on a formula defined in the Senior Secured Credit Facilities. As of December 31, 2023 and 2022, total borrowings under the Term Loan were $1,763.1 million. As of December 31, 2023 and 2022 total borrowings outstanding on the Revolving Credit Facility were $0 and $200.0 million, respectively. The weighted average interest rate on borrowings under the Term Loan for the year ended December 31, 2023 and 2022 was 7.95% and 4.63%,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23, 2023, we entered into the First Lien Credit Agreement (the “2023 Credit Agreement”), which provides for, among other things, a new Term Loan B facility in an aggregate principal amount of $500.0 million and bears interest, at the Company’s option, at a variable rate per annum equal to either (x) Term SOFR (as defined in the 2023 Credit Agreement) plus an applicable margin of 3.75% or (y) an alternative base rate (“ABR”) plus an applicable margin of 2.75%. The 2023 Credit Agreement is secured on a first priority basis on substantially all of our assets and is guaranteed by certain of our subsidiaries. It is prepayable without penalty at any time six months after the closing date. The principal balance shall be paid at 1% of the aggregate principal amount ($5.0 million) per year, with the balance due at the end of 2026. The Company used the proceeds of the 2023 Term Loan to fund a previously announced $408.0 million EO litigation settlement in Cook County, Illinois and pay down the $200.0 million of existing borrowings under the Revolving Credit Facility concurrent with the funding of the 2023 Term Loan on February 23, 2023. In addition, the Company plans to use the remaining proceeds to further enhance liquidity and for general corporate purposes. The weighted average interest rate on borrowings under the 2023 Term Loan for the year ended December 31, 2023 was 8.90%.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March 21, 2023, the Company entered into an Incremental Facility Amendment to the First Lien Credit Agreement (“Revolving Credit Facility Amendment”), which provides for an increase in the commitments under the existing Revolving Credit Facility in an aggregate principal amount of $76.3 million. In addition, certain of the lenders providing revolving credit commitments provided additional commitments for the issuance of the letters of credit under the Revolving Credit Facility in an aggregate principal amount of $165.1 million. The Revolving Credit Facility Amendment also provides for the replacement of the reference interest rate option for Revolving Loans from London Interbank Offered Rate (“LIBOR”) to SOFR plus an applicable credit spread adjustment of 0.10% (subject to a minimum floor of 0.00%). After giving effect to the Revolving Credit Facility Amendment, the aggregate amount of the lenders’ revolving commitments is $423.8 million. The maturity date of the Revolving Credit Facility remains June 13, 2026. The Company borrowed $200.0 million under the Revolving Credit Facility during the fourth quarter of 2022, which was repaid in the first quarter of 2023. As of December 31, 2023, there were no borrowings outstanding under the Revolving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Senior Secured Credit Facilities and 2023 Credit Agreement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Senior Secured Credit Facilities and 2023 Credit Agreement. The Senior Secured Credit Facilities and 2023 Credit Agreement also contain certain customary affirmative covenants and events of default, including upon a change of control. An event of default under the Senior Secured Credit Facilities would occur if the Company or certain of its subsidiaries were subject to one or more enforceable judgments in an aggregate amount in excess of $100.0 million and the judgments were not stayed or remained undischarged for sixty consecutive days or, if, such judgments, judgment creditors were to attach liens on assets that are material to the Company’s business and operations taken as a whole. As of December 31, 2023, we were in compliance with all the Senior Secured Credit Facilities and 2023 Credit Agreement covenants.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of SHH’s obligations under the Senior Secured Credit Facilities and 2023 Credit Agreement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2023 Credit Agreement, and the guarantees of such obligations, are secured by substantially all assets of the borrower and guarantors, subject to permitted liens and other exceptions and exclusions, as outlined in the Senior Secured Credit Facilities and 2023 Credit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letters of credit are collateralized by encumbrances against the Revolving Credit Facility and the collateral pledged thereunder, or by cash placed on deposit with the issuing bank. As of December 31, 2023, the Company had $23.7 million of letters of credit issued against the Revolving Credit Facility, resulting in total availability under the Revolving Credit Facility of $400.1 million.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Term Loan Interest Rate Risk Management</w:t>
      </w:r>
    </w:p>
    <w:p>
      <w:pPr>
        <w:pStyle w:val="TextBody"/>
        <w:bidi w:val="0"/>
        <w:spacing w:lineRule="auto" w:line="288" w:before="240" w:after="283"/>
        <w:jc w:val="left"/>
        <w:rPr/>
      </w:pPr>
      <w:r>
        <w:rPr>
          <w:rFonts w:ascii="Times New Roman;sans-serif" w:hAnsi="Times New Roman;sans-serif"/>
          <w:b w:val="false"/>
          <w:color w:val="000000"/>
          <w:sz w:val="20"/>
        </w:rPr>
        <w:t>The Company utilizes interest rate derivatives to reduce the variability of cash flows in the interest payments associated with our variable rate debt due to changes in LIBOR (up to June 22, 2023) and Term SOFR. For additional information on the derivative instruments described above, refer to Note 21, “Financial Instruments and Financial Risk”, “</w:t>
      </w:r>
      <w:r>
        <w:rPr>
          <w:rFonts w:ascii="Times New Roman;sans-serif" w:hAnsi="Times New Roman;sans-serif"/>
          <w:b w:val="false"/>
          <w:i/>
          <w:color w:val="000000"/>
          <w:sz w:val="20"/>
        </w:rPr>
        <w:t>Derivative Instruments</w:t>
      </w:r>
      <w:r>
        <w:rPr>
          <w:rFonts w:ascii="Times New Roman;sans-serif" w:hAnsi="Times New Roman;sans-serif"/>
          <w:b w:val="false"/>
          <w:color w:val="000000"/>
          <w:sz w:val="20"/>
        </w:rPr>
        <w:t>.”</w:t>
      </w:r>
    </w:p>
    <w:p>
      <w:pPr>
        <w:pStyle w:val="TextBody"/>
        <w:bidi w:val="0"/>
        <w:spacing w:lineRule="auto" w:line="288" w:before="240" w:after="283"/>
        <w:jc w:val="left"/>
        <w:rPr/>
      </w:pPr>
      <w:r>
        <w:rPr>
          <w:color w:val="000000"/>
        </w:rPr>
        <w:t> </w:t>
      </w:r>
      <w:r>
        <w:rPr>
          <w:rFonts w:ascii="Times New Roman;sans-serif" w:hAnsi="Times New Roman;sans-serif"/>
          <w:b/>
          <w:color w:val="000000"/>
          <w:sz w:val="20"/>
        </w:rPr>
        <w:t>Cash Flow Information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section summarizes cash flow information for the years ended December 31, 2023 and 2022. Cash flow information for the years ended December 31, 2022 and 2021 are presented within our Annual Report on Form 10-K for the year ended December 31, 2022 under Item 7.,. “Management’s Discussion and Analysis of Financial Condition and Results of Operations - Liquidity and Capital Resources.”</w:t>
      </w:r>
    </w:p>
    <w:p>
      <w:pPr>
        <w:pStyle w:val="TextBody"/>
        <w:bidi w:val="0"/>
        <w:spacing w:lineRule="auto" w:line="288" w:before="240" w:after="283"/>
        <w:jc w:val="left"/>
        <w:rPr/>
      </w:pPr>
      <w:r>
        <w:rPr>
          <w:rFonts w:ascii="Times New Roman;sans-serif" w:hAnsi="Times New Roman;sans-serif"/>
          <w:b/>
          <w:i/>
          <w:color w:val="000000"/>
          <w:sz w:val="20"/>
        </w:rPr>
        <w:t xml:space="preserve">Year Ended December 31, 2023 compared to the Year Ended December 31, 2022 </w:t>
      </w:r>
      <w:r>
        <w:rPr>
          <w:color w:val="000000"/>
        </w:rPr>
        <w:t> </w:t>
      </w:r>
    </w:p>
    <w:tbl>
      <w:tblPr>
        <w:tblW w:w="10205" w:type="dxa"/>
        <w:jc w:val="left"/>
        <w:tblInd w:w="0" w:type="dxa"/>
        <w:tblLayout w:type="fixed"/>
        <w:tblCellMar>
          <w:top w:w="28" w:type="dxa"/>
          <w:left w:w="28" w:type="dxa"/>
          <w:bottom w:w="28" w:type="dxa"/>
          <w:right w:w="28" w:type="dxa"/>
        </w:tblCellMar>
      </w:tblPr>
      <w:tblGrid>
        <w:gridCol w:w="2715"/>
        <w:gridCol w:w="2372"/>
        <w:gridCol w:w="2381"/>
        <w:gridCol w:w="211"/>
        <w:gridCol w:w="897"/>
        <w:gridCol w:w="109"/>
        <w:gridCol w:w="109"/>
        <w:gridCol w:w="109"/>
        <w:gridCol w:w="109"/>
        <w:gridCol w:w="211"/>
        <w:gridCol w:w="826"/>
        <w:gridCol w:w="156"/>
      </w:tblGrid>
      <w:tr>
        <w:trPr/>
        <w:tc>
          <w:tcPr>
            <w:tcW w:w="2715"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2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r>
      <w:tr>
        <w:trPr/>
        <w:tc>
          <w:tcPr>
            <w:tcW w:w="7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(147,732)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(214,906)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265,959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changes on cash and cash equivalents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 including restricted cash, during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(94,640)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289,370 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activities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operating activities decreased $425.7 million to net cash used of $147.7 million for the year ended December 31, 2023 compared to net cash provided of $278.0 million for the prior year. The decrease in cash flows from operating activities in 2023 compared to the prior year was primarily due to the release of the settlement funds of approximately $407.7 million on June 30, 2023 to fund the settlements of the EO claims in Cook County, Illinois.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activities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investing activities increased $33.0 million to net cash used of $214.9 million in the year ended December 31, 2023 compared to $181.9 million for the prior year. The variance was primarily driven by an increase in capital expenditures of $32.6 million in the year ended December 31, 2023 compared to the prior year.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Financing activities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net cash provided by financing activities increased $266.0 million compared to net cash provided of $197.8 million for the year ended December 31, 2022. The difference was mainly attributable to $500.0 million in proceeds from the issuance of Term Loan B on February 23, 2023 partially offset by the $200.0 million paydown of the outstanding balance on the revolving credit facility, payment of $25.6 million of debt issuance costs incurred in connection with the issuance of Term Loan B and the revolving credit facility amendment during the year ended December 31, 2023,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described in “Debt Facilities” above, and $2.5 million of principal repayments on Term Loan B. For the year ended December 31, 2022 the primary source of cash was a $200.0 million borrowing on the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COMMERCIAL COMMITMENTS</w:t>
      </w:r>
    </w:p>
    <w:p>
      <w:pPr>
        <w:pStyle w:val="TextBody"/>
        <w:bidi w:val="0"/>
        <w:spacing w:lineRule="auto" w:line="288" w:before="200" w:after="283"/>
        <w:jc w:val="left"/>
        <w:rPr/>
      </w:pPr>
      <w:r>
        <w:rPr>
          <w:rFonts w:ascii="Times New Roman;sans-serif" w:hAnsi="Times New Roman;sans-serif"/>
          <w:b w:val="false"/>
          <w:color w:val="000000"/>
          <w:sz w:val="20"/>
        </w:rPr>
        <w:t xml:space="preserve">The following table describes our significant contractual cash obligations as of December 31, 2023: </w:t>
      </w:r>
      <w:r>
        <w:rPr>
          <w:color w:val="000000"/>
        </w:rPr>
        <w:t> </w:t>
      </w:r>
    </w:p>
    <w:tbl>
      <w:tblPr>
        <w:tblW w:w="10205" w:type="dxa"/>
        <w:jc w:val="left"/>
        <w:tblInd w:w="0" w:type="dxa"/>
        <w:tblLayout w:type="fixed"/>
        <w:tblCellMar>
          <w:top w:w="28" w:type="dxa"/>
          <w:left w:w="28" w:type="dxa"/>
          <w:bottom w:w="28" w:type="dxa"/>
          <w:right w:w="28" w:type="dxa"/>
        </w:tblCellMar>
      </w:tblPr>
      <w:tblGrid>
        <w:gridCol w:w="959"/>
        <w:gridCol w:w="817"/>
        <w:gridCol w:w="819"/>
        <w:gridCol w:w="211"/>
        <w:gridCol w:w="991"/>
        <w:gridCol w:w="109"/>
        <w:gridCol w:w="109"/>
        <w:gridCol w:w="109"/>
        <w:gridCol w:w="109"/>
        <w:gridCol w:w="211"/>
        <w:gridCol w:w="841"/>
        <w:gridCol w:w="109"/>
        <w:gridCol w:w="109"/>
        <w:gridCol w:w="109"/>
        <w:gridCol w:w="109"/>
        <w:gridCol w:w="211"/>
        <w:gridCol w:w="991"/>
        <w:gridCol w:w="109"/>
        <w:gridCol w:w="109"/>
        <w:gridCol w:w="109"/>
        <w:gridCol w:w="109"/>
        <w:gridCol w:w="211"/>
        <w:gridCol w:w="841"/>
        <w:gridCol w:w="109"/>
        <w:gridCol w:w="109"/>
        <w:gridCol w:w="109"/>
        <w:gridCol w:w="109"/>
        <w:gridCol w:w="211"/>
        <w:gridCol w:w="991"/>
        <w:gridCol w:w="156"/>
      </w:tblGrid>
      <w:tr>
        <w:trPr/>
        <w:tc>
          <w:tcPr>
            <w:tcW w:w="95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0" w:type="dxa"/>
            <w:gridSpan w:val="27"/>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xml:space="preserve">Payments due by period </w:t>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Less than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1 Year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2-3 Years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4-5 Years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More than 5</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Years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debt </w:t>
            </w:r>
            <w:r>
              <w:rPr>
                <w:rFonts w:ascii="Times New Roman;sans-serif" w:hAnsi="Times New Roman;sans-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2,738,257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Finance</w:t>
            </w:r>
            <w:r>
              <w:rPr>
                <w:color w:val="000000"/>
              </w:rPr>
              <w:t xml:space="preserve"> </w:t>
            </w:r>
            <w:r>
              <w:rPr>
                <w:rFonts w:ascii="Times New Roman;sans-serif" w:hAnsi="Times New Roman;sans-serif"/>
                <w:b w:val="false"/>
                <w:color w:val="000000"/>
                <w:sz w:val="13"/>
              </w:rPr>
              <w:t>(b)</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110,376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w:t>
            </w:r>
            <w:r>
              <w:rPr>
                <w:rFonts w:ascii="Times New Roman;sans-serif" w:hAnsi="Times New Roman;sans-serif"/>
                <w:b w:val="false"/>
                <w:color w:val="000000"/>
                <w:sz w:val="13"/>
              </w:rPr>
              <w:t>(c)</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31,029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Supply and service obligations</w:t>
            </w:r>
            <w:r>
              <w:rPr>
                <w:color w:val="000000"/>
              </w:rPr>
              <w:t xml:space="preserve"> </w:t>
            </w:r>
            <w:r>
              <w:rPr>
                <w:rFonts w:ascii="Times New Roman;sans-serif" w:hAnsi="Times New Roman;sans-serif"/>
                <w:b w:val="false"/>
                <w:color w:val="000000"/>
                <w:sz w:val="13"/>
              </w:rPr>
              <w:t>(d)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1,607,137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1,311,458 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Direct material costs </w:t>
            </w:r>
            <w:r>
              <w:rPr>
                <w:rFonts w:ascii="Times New Roman;sans-serif" w:hAnsi="Times New Roman;sans-serif"/>
                <w:b w:val="false"/>
                <w:color w:val="000000"/>
                <w:sz w:val="13"/>
              </w:rPr>
              <w:t>(e)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114,189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Georgia EO litigation settlement </w:t>
            </w:r>
            <w:r>
              <w:rPr>
                <w:rFonts w:ascii="Times New Roman;sans-serif" w:hAnsi="Times New Roman;sans-serif"/>
                <w:b w:val="false"/>
                <w:color w:val="000000"/>
                <w:sz w:val="13"/>
              </w:rPr>
              <w:t>(f)</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4,635,988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316,601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2,745,168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147,065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1,427,154</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(a)Represents principal and interest payments on the Senior Secured Credit Facilities and 2023 Credit Agreement. We have calculated the interest payments on the Senior Secured Credit Facilities and 2023 Credit Agreement using an assumed range of 5.99% to 8.39% and 6.87% and 9.10%, respectively, based on anticipated forward movements in SOFR. In addition, interest payments include the impact of existing interest rate caps and interest rate swap described in Note 21, “Financial Instruments and Financial Risk” in the notes to consolidated financial statements. </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(b)Consists of payments under our finance leases for various facilities and equipment. </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(c)Represents minimum lease payments under our operating leases for several of our facilities and other property and equipment. </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(d)Consists of our best estimate of our obligations under various supply and service agreements, primarily Co-60, that are enforceable and legally binding on us. </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(e)Consists of our best estimate of our obligations to purchase EO gas under commitments that are enforceable and legally binding on us. We have excluded contracts to purchase energy and other supplies, which generally have terms of one year or less. Our contract to purchase EO gas in the U.S. requires us to purchase all our requirements from our supplier, and our contracts to purchase EO gas outside the U.S. generally require that we purchase a specified percentage of our requirements for our operations in the countries covered by those contracts. Although our EO gas contracts generally do not contain fixed minimum purchase volumes, we have calculated the amounts set forth in the table above based on the percentage of our requirements specified in the contracts and our budgeted purchase volumes for those periods.</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(f)Represents the cost to settle 79 pending EO claims against the Settling Defendants in Georgia under a settlement term sheet entered into on December 21, 2023. See Note 20, “Commitments and Contingencies”.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and 2022, we had $67.3 million and $101.5 million, respectively, of standby letters of credit, surety bonds and other bank guarantees outstanding, primarily in favor of local and state licensing authorities for future decommissioning costs, and to support the unfunded portion of our pension obligation. We are obligated to provide financial assurance to local and state licensing authorities for possible future decommissioning costs associated with the various facilities that hold Co-60. At December 31, 2023 and 2022, $48.2 million and $54.1 million, respectively, of the standby letters of credit and surety bonds referenced above were outstanding in favor of the various local and state licensing authorities in the event we defaulted on our decommissioning obligation.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subsections describe our most critical accounting policies, estimates, and assumptions. Our discussion of critical accounting policies and estimates is intended to supplement, not duplicate, our summary of significant accounting policies so that readers will have greater insight into the uncertainties involved in these areas. Our accounting policies are more fully described in Note 1, “Significant Accounting Policies” to our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consolidated financial statements and related disclosures in conformity with GAAP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 </w:t>
      </w:r>
    </w:p>
    <w:p>
      <w:pPr>
        <w:pStyle w:val="TextBody"/>
        <w:bidi w:val="0"/>
        <w:spacing w:lineRule="auto" w:line="288" w:before="240" w:after="283"/>
        <w:jc w:val="left"/>
        <w:rPr/>
      </w:pPr>
      <w:r>
        <w:rPr>
          <w:rFonts w:ascii="Times New Roman;sans-serif" w:hAnsi="Times New Roman;sans-serif"/>
          <w:b w:val="false"/>
          <w:i/>
          <w:color w:val="000000"/>
          <w:sz w:val="20"/>
        </w:rPr>
        <w:t>Revenue Recognition</w:t>
      </w:r>
      <w:r>
        <w:rPr>
          <w:rFonts w:ascii="Times New Roman;sans-serif" w:hAnsi="Times New Roman;sans-serif"/>
          <w:b w:val="false"/>
          <w:color w:val="000000"/>
          <w:sz w:val="20"/>
        </w:rPr>
        <w:t xml:space="preserve">. The majority of our sales agreements contain performance obligations satisfied at a point in time when control of promised goods or services have transferred to our customers. Revenues recognized over time are generally accounted for using an input measure to determine progress completed as of the end of the period.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Refunds, returns, warranties and other related obligations are not material to any of our business units and we do not incur material incremental costs to secure customer contracts.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customers’ purchase orders. Given the relatively short turnaround times, performance obligations are generally satisfied at a point-in-time upon the completion of sterilization or irradiation processing and the approval of our quality assurance process, at which time the service is complete.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Nordion segment is a provider of Co-60 and gamma irradiation systems, which are key components to the gamma sterilization process. Revenue from the sale of Co-60 radiation sources is recognized at a point-in-time upon satisfaction of our performance obligations for delivery/installation and disposal of existing sources. Revenue from the sale of gamma irradiation systems in our Nordion segment is recognized over time using an input measure of costs incurred and is immaterial to the overall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 Revenue recognized over time in excess of the amount billed to the customer is recorded as a customer contract asset. When we receive consideration from a customer prior to transferring goods or services under the terms of a sales contract, we record deferred revenue, which represents a contract liability. We utilize our customer relationship management system to assess time incurred and the extent of project completion at the end of the period.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capitalize sales commissions because substantially all of our sales commission programs have an amortization period of one year or less. Furthermore, costs to fulfill a contract are not material.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Provisions for discounts, rebates to customers, and other adjustments are provided for as reductions in net revenues in the period the related sale was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 </w:t>
      </w:r>
    </w:p>
    <w:p>
      <w:pPr>
        <w:pStyle w:val="TextBody"/>
        <w:bidi w:val="0"/>
        <w:spacing w:lineRule="auto" w:line="288" w:before="240" w:after="283"/>
        <w:jc w:val="left"/>
        <w:rPr/>
      </w:pPr>
      <w:r>
        <w:rPr>
          <w:color w:val="000000"/>
        </w:rPr>
        <w:t> </w:t>
      </w:r>
      <w:r>
        <w:rPr>
          <w:rFonts w:ascii="Times New Roman;sans-serif" w:hAnsi="Times New Roman;sans-serif"/>
          <w:b w:val="false"/>
          <w:i/>
          <w:color w:val="000000"/>
          <w:sz w:val="20"/>
        </w:rPr>
        <w:t>Long-Lived Assets Other than Goodwill</w:t>
      </w:r>
      <w:r>
        <w:rPr>
          <w:rFonts w:ascii="Times New Roman;sans-serif" w:hAnsi="Times New Roman;sans-serif"/>
          <w:b w:val="false"/>
          <w:color w:val="000000"/>
          <w:sz w:val="20"/>
        </w:rPr>
        <w:t xml:space="preserve">. We review long-lived assets, including finite-lived intangible assets, for impairment whenever events or circumstances indicate that the carrying amount of the assets may be impaired. Events or circumstances which would prompt an impairment assessment include operating losses, a significant change in the use of an asset, or the planned disposal or sale of the asset. When we evaluate assets for impairment, we make certain judgments and estimates, including interpreting current economic indicators and market valuations, evaluating our strategic plans with regards to operations, historical and anticipated performance of operations, and other factors. If we incorrectly anticipate these factors, or unexpected events occur, our operating results could be materially affected. The asset or asset group would be considered impaired when the future net undiscounted cash flows generated by the asset or asset group are less than its carrying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impairment loss is recognized based on the amount by which the carrying value of the asset or asset group exceeds its estimated fair value. We provide additional information about our long-lived assets other than goodwill in Notes 7, “Property, Plant and Equipment” and 8, “Goodwill and Other Intangible Assets” to our consolidated financial statements. </w:t>
      </w:r>
    </w:p>
    <w:p>
      <w:pPr>
        <w:pStyle w:val="TextBody"/>
        <w:bidi w:val="0"/>
        <w:spacing w:lineRule="auto" w:line="288" w:before="240" w:after="283"/>
        <w:jc w:val="left"/>
        <w:rPr/>
      </w:pPr>
      <w:r>
        <w:rPr>
          <w:rFonts w:ascii="Times New Roman;sans-serif" w:hAnsi="Times New Roman;sans-serif"/>
          <w:b w:val="false"/>
          <w:i/>
          <w:color w:val="000000"/>
          <w:sz w:val="20"/>
        </w:rPr>
        <w:t>Goodwill and Other Indefinite-Lived Intangibles</w:t>
      </w:r>
      <w:r>
        <w:rPr>
          <w:rFonts w:ascii="Times New Roman;sans-serif" w:hAnsi="Times New Roman;sans-serif"/>
          <w:b w:val="false"/>
          <w:color w:val="000000"/>
          <w:sz w:val="20"/>
        </w:rPr>
        <w:t xml:space="preserve">. Assets and liabilities of a business acquired are accounted for at their estimated fair values as of the acquisition date. Any excess of the cost of the acquisition over the fair value of the net tangible and intangible assets acquired is recorded as goodwill. We generally supplement management expertise with valuation specialists in performing appraisals to assist us in determining the fair values of assets acquired and liabilities assumed. These valuations require us to make estimates and assumptions, especially with respect to intangible assets. We generally amortize our intangible assets over their useful lives with the exception of indefinite lived intangible assets. We do not amortize goodwill, but we evaluate it annually for impairment. Therefore, the allocation of the purchase price to intangible assets and goodwill has a significant impact on future operating results.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indefinite-lived intangible assets, primarily certain regulatory licenses and trade names, are tested for impairment annually as of October 1. If circumstances change during interim periods between annual tests that indicate that the carrying amount of such assets may not be recoverable, the company tests such assets at an interim date for impairment. Factors which would necessitate an interim impairment assessment include prolonged negative industry or economic trends and significant underperformance relative to historical or projected future operating results.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goodwill and intangible assets totaled $1,527.5 million, or 48.8% of our total assets. We consider the impairment analyses of these assets critical because of their quantitative significance to the Company and our segments.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is assigned to our segments at December 31, 2023 as follows:</w:t>
      </w:r>
    </w:p>
    <w:tbl>
      <w:tblPr>
        <w:tblW w:w="8595" w:type="dxa"/>
        <w:jc w:val="left"/>
        <w:tblInd w:w="0" w:type="dxa"/>
        <w:tblLayout w:type="fixed"/>
        <w:tblCellMar>
          <w:top w:w="28" w:type="dxa"/>
          <w:left w:w="28" w:type="dxa"/>
          <w:bottom w:w="28" w:type="dxa"/>
          <w:right w:w="28" w:type="dxa"/>
        </w:tblCellMar>
      </w:tblPr>
      <w:tblGrid>
        <w:gridCol w:w="1006"/>
        <w:gridCol w:w="883"/>
        <w:gridCol w:w="886"/>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991"/>
        <w:gridCol w:w="154"/>
      </w:tblGrid>
      <w:tr>
        <w:trPr/>
        <w:tc>
          <w:tcPr>
            <w:tcW w:w="100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Sterigenics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Nordion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Nelson Labs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Goodwill at 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659,888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276,929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174,373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1,111,190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performed a quantitative assessment of all reporting units (Sterigenics, Nordion and Nelson Labs) as of October 1, 2023. The fair value of each reporting unit was calculated using a discounted cash flow analysis which was dependent on subjective market participant assumptions determined by management. Assumptions used in the analyses included discount rates, revenue growth rates and projected operating cash flows. Estimates of future cash flows are based upon relevant data at a point-in-time, are subject to change, and could vary from actual results. Cash flows are based on recent historical results and are consistent with the Company’s near-term financial forecasts and long-term strategic plans. The estimated fair value of Sterigenics, Nordion and Nelson Labs each exceeded its carrying amount (including goodwill) by an adequate margin to support a positive assertion that goodwill is not impaired as of October 1, 2023. No factors were identified that would result in the potential impairment to the indefinite-lived intangible assets. There have been no other significant events or circumstances that occurred since the annual assessment date of October 1 that would change the conclusions reached above. We provide additional information about our goodwill and other indefinite-lived intangible assets in Note 8, “Goodwill and Other Intangible Assets” to our consolidated financial statements. </w:t>
      </w:r>
    </w:p>
    <w:p>
      <w:pPr>
        <w:pStyle w:val="TextBody"/>
        <w:bidi w:val="0"/>
        <w:spacing w:lineRule="auto" w:line="288" w:before="240" w:after="283"/>
        <w:jc w:val="left"/>
        <w:rPr/>
      </w:pPr>
      <w:r>
        <w:rPr>
          <w:rFonts w:ascii="Times New Roman;sans-serif" w:hAnsi="Times New Roman;sans-serif"/>
          <w:b w:val="false"/>
          <w:i/>
          <w:color w:val="000000"/>
          <w:sz w:val="20"/>
        </w:rPr>
        <w:t>Income Taxes</w:t>
      </w:r>
      <w:r>
        <w:rPr>
          <w:rFonts w:ascii="Times New Roman;sans-serif" w:hAnsi="Times New Roman;sans-serif"/>
          <w:b w:val="false"/>
          <w:color w:val="000000"/>
          <w:sz w:val="20"/>
        </w:rPr>
        <w:t xml:space="preserve">. We use the liability method of accounting for income taxes whereby we recognize deferred tax assets and liabilities for the future tax consequences of temporary differences between the tax bases of assets and liabilities and their reported amounts in the consolidated financial statements. Measurements of deferred taxes requires the use of judgment with respect to the realization of tax basis. We periodically review our deferred tax assets for recoverability and establish a valuation allowance based on historical taxable income, projected future taxable income, expected timing of reversals of existing temporary timing differences and the implementation of tax planning strategies.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 At December 31, 2023 and 2022 we maintained a valuation allowance of $125.4 million and $105.6 million, respectively, against our deferred tax assets, primarily attributable to the excess interest expense on our long-term debt in the United States as well as federal, state and foreign net operating loss carryforwards. If we are unable to generate sufficient future taxable income in certain tax jurisdictions, or if there is a material change in the effective income tax rates or time period within which the underlying temporary differences become taxable or deductible, we could be required to increase our valuation allowance, which would increase our effective income tax rate and could result in an adverse impact on our consolidated financial position or results of operations. Changes in our judgment related to the measurement of deferred tax assets and liabilities could materially impact our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 whether it is more likely than not that a tax position will be sustained upon examination, including resolution of related appeals or litigation processes, based on the technical merits of the position. In evaluating whether a tax position meets the more likely-than-not recognition threshold, we presume that the position will be examined by the appropriate taxing authority and that the taxing authority will have full knowledge of all relevant information. A tax position that meets the more likely-than-not recognition threshold is measured at the largest amount of benefit that is greater than 50% likely of being realized upon ultimate settlement. Determining what constitutes an individual tax position and whether the more 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 Changes in our judgment related to the assessment of uncertain tax positions could materially impact our results of operations.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taxation from federal, state and local, and foreign jurisdictions. Tax positions are settled primarily through the completion of audits within each individual tax jurisdiction or the closing of a statute of limitation. Changes in applicable tax law or other events may also require us to revise past estimates. The United States Internal Revenue Service routinely conducts audits of our federal income tax returns. Additional information regarding income taxes is included in Note 11, “Income Taxes” to our consolidated financial statements. </w:t>
      </w:r>
    </w:p>
    <w:p>
      <w:pPr>
        <w:pStyle w:val="TextBody"/>
        <w:bidi w:val="0"/>
        <w:spacing w:lineRule="auto" w:line="288" w:before="240" w:after="283"/>
        <w:jc w:val="left"/>
        <w:rPr/>
      </w:pP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xml:space="preserve">. We are, and will likely continue to be, involved in a number of legal proceedings, government investigations 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mass tort), regulation (e.g., failure to meet specification or failure to comply with regulatory requirements), commercial claims (e.g., breach of contract, economic loss, misrepresentation), financial (e.g., taxes, reporting), employment (e.g., wrongful termination, discrimination, benefits matters) and other claims for damage and relief. </w:t>
      </w:r>
    </w:p>
    <w:p>
      <w:pPr>
        <w:pStyle w:val="TextBody"/>
        <w:bidi w:val="0"/>
        <w:spacing w:lineRule="auto" w:line="288" w:before="240" w:after="283"/>
        <w:jc w:val="left"/>
        <w:rPr/>
      </w:pPr>
      <w:r>
        <w:rPr>
          <w:rFonts w:ascii="Times New Roman;sans-serif" w:hAnsi="Times New Roman;sans-serif"/>
          <w:b w:val="false"/>
          <w:color w:val="000000"/>
          <w:sz w:val="20"/>
        </w:rPr>
        <w:t>We record a liability for such contingencies to the extent we conclude that their occurrence is both probable and estimable. If a potentially material loss contingency is not probable, but is reasonably possible, or is probable but cannot be estimated, then the nature of the contingent liability is disclosed within our consolidated financial statements, together with an estimate of the range of possible loss if the range is determinable and material. We consider many factors in making these assessments, including the professional judgment of experienced members of management and our legal counsel. For legal proceedings and claims described within our consolidated financial statements, we have made estimates as to the likelihood of unfavorable outcomes and the amounts of such potential losses, if a range is determinable. While it is not possible to determine the ultimate disposition of each of these matters, the ultimate resolution of pending regulatory and legal matters in future periods may have a material adverse effect on our financial condition, results of operations and/or liquidity. The Company may also incur material defense and settlement costs, diversion of management resources and other adverse effects on our business, financial condition, and/or results of operations. We record gain contingencies when realized and expected recoveries under applicable insurance contracts when we are assured of recovery. Refer to Note 20,</w:t>
      </w:r>
      <w:r>
        <w:rPr>
          <w:color w:val="000000"/>
        </w:rPr>
        <w:t xml:space="preserve"> “</w:t>
      </w:r>
      <w:r>
        <w:rPr>
          <w:rFonts w:ascii="Times New Roman;sans-serif" w:hAnsi="Times New Roman;sans-serif"/>
          <w:b w:val="false"/>
          <w:color w:val="000000"/>
          <w:sz w:val="20"/>
        </w:rPr>
        <w:t>Commitments and Contingencies” to our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 20, “Commitments and Contingencies”, the Company reached agreements to settle approximately 880 pending and threatened EO claims against the Defendant Subsidiaries in the Circuit Court of Cook County, Illinois, and US District Court for the Northern District of Illinois on January 9, 2023. Under the binding Settlement Agreements, the Company paid $407.7 million to settle the claims.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16, 2023, the Company reached an agreement to resolve 79 EO claims against the Settling Defendant in the State of Georgia. Under the terms of the agreements, the Company paid $35.0 million to settle the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NEW ACCOUNTING PRONOUNCEMENTS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 description of recent accounting pronouncements applicable to our business, see Note 2, “Recent Accounting Standards”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risks in the ordinary course of business, primarily changes in commodity prices, interest rates and foreign currency exchange rates and regulatory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Commodity Price Risk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purchase our supply of EO gas from various suppliers around the world, but in the United States there is a sole supplier for EO gas used for applications relevant to our business. We are exposed to market risk based on fluctuations in the price of EO gas.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actively seek to manage the risk of fluctuating prices through long-term supply and service contracts. Most of our Sterigenics customer contracts contain provisions that permit us to pass through all or a portion of our supply price increases to our customers, though some of our contracts do not contain these provisions. Even for contracts that do contain these provisions, there is often at least a brief lag between when we incur increased costs for supplies and when we can pass through these costs to our customers. In addition, even when we are contractually permitted to pass on price increases, we may decide not to do so to preserve our sales volumes or for other reasons.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Rate Risk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interest rate risk on borrowings that bear interest at floating rates. From time to time, the Company utilizes interest rate derivatives to reduce the variability of cash flows in the interest payments associated with our variable rate borrowings.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we entered into an interest rate swap agreement with a notional amount of $400.0 million. The interest rate swap’s effective date began on August 23, 2023 and expires on August 23, 2025. We have designated the interest rate swap as a cash flow hedge designed to hedge the variability of cash flows attributable to changes in the SOFR benchmark interest rate of our 2023 Term Loan. We receive interest at the one-month Term SOFR rate and pay a fixed interest rate under the terms of the swap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we entered into two interest rate cap agreements with a combined notional amount of $1,000.0 million for a total option premium of $4.1 million. The interest rate caps became effective as of July 31, 2023 and expire on July 31, 2024. We have designated these interest rate caps as cash flow hedges designed to hedge the variability of cash flows attributable to changes in the benchmark interest rate of our Term Loan. Under the current terms of the loan agreement, the benchmark interest rate index transitioned from LIBOR to Term SOFR on June 30, 2023. Accordingly, the interest rate cap agreements hedge the variability of cash flows attributable to changes in SOFR by limiting our cash flow exposure related to Term SOFR under a portion of our variable rate borrowings to 3.5%.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we entered into two interest rate cap agreements with a combined notional amount of $1,000.0 million for a total option premium of $1.8 million. Both interest rate caps were effective on December 31, 2022 and expired on July 31, 2023. These interest rate caps were designated as cash flow hedges and were designed to hedge the variability of cash flows attributable to changes in LIBOR (or its successor), the benchmark interest rate being hedged, by limiting our cash flow exposure related to the LIBOR base rate under a portion of our variable rate borrowings to 1.0%.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indebtedness outstanding as of December 31, 2023, the interest rate under our Term Loans that was in effect on December 31, 2023, and after applying the effects of interest rate caps and the swap referenced above, a 1.0% increase in the interest rate under our outstanding debt obligations as of December 31, 2023, would increase interest expense by approximately $8.6 million per year.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21, “Financial Instruments and Financial Risk” to our consolidated financial statements for a summary of the activity of the interest rate caps for the periods presented.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Foreign Currency Risk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 from fluctuations in foreign currencies. We present our consolidated financial statements in U.S. dollars. Consequently, increases or decreases in the value of the U.S. dollar relative to the non-U.S. dollar functional currencies of the countries in which we operate may affect the value of assets, liabilities, revenues, expenses and other figures presented in our consolidated financial statements, even if their value has not changed in their local currencies. We translate the financial statements of subsidiaries whose local currency is their functional currency to their U.S. dollar equivalents at end-of-period exchange rates for assets and liabilities and at average exchange rates for revenues and expenses. These translations could significantly affect the comparability of our results between financial periods and/or result in significant changes to the carrying value of our assets and liabilities. Translation adjustments are recorded as a component of accumulated other comprehensive income (loss) within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are impacted by currency exchange rate fluctuations to the extent that we are unable to match net revenues received in foreign currencies with expenses incurred in the same currency. Transaction gains and losses arising from fluctuations in currency exchange rates on transactions denominated in currencies other than the functional currency are recognized in the Consolidated Statements of Operations and Comprehensive Income (Loss) as foreign exchange loss (gain).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routinely enters into foreign currency forward contracts to manage foreign currency exchange rate risk of our intercompany loans in certain of our international subsidiaries and non-functional currency assets and liabilities. The foreign currency forward contracts expire on a monthly basis. The fair value of the outstanding foreign currency forward contracts was $0.1 million and $0.3 million as of December 31, 2023 and 2022.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43.7% of our revenues and 48.0% of our consolidated total assets as of December 31, 2023 are derived from operations outside the United States. Holding other variables constant (such as interest rates and debt levels), if the U.S. dollar had appreciated by 10% against the foreign currencies used by our operations in the year ended December 31, 2023, revenues would have been reduced by approximately $45.8 million and gross profit by approximately $25.3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Regulatory Risk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extensive regulatory requirements and routine regulatory audits, and we must receive permits, licenses, and/or regulatory clearance or approval for numerous aspects of our operations. Regulatory agencies may refuse to grant approval or clearance or may require the provision of additional data, and regulatory processes may be time consuming and costly, and their outcome may be uncertain in certain of the countries in which we operate. Regulatory agencies may also change policies, adopt additional regulations or revise existing regulations, any of which could impact our ability to provide our services. Our failure to comply with the regulatory requirements of these agencies may subject us to administratively or judicially imposed sanctions. These sanctions could include, among others, warning letters, fines, civil penalties, criminal penalties, injunctions, debarment, product seizure or detention and total or partial suspension of operations. The failure to receive or maintain, or delays in the receipt of, relevant U.S. or international regulatory qualifications could have a material adverse effect on our business, prospects, financial condition or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6691" w:type="dxa"/>
        <w:jc w:val="left"/>
        <w:tblInd w:w="0" w:type="dxa"/>
        <w:tblLayout w:type="fixed"/>
        <w:tblCellMar>
          <w:top w:w="28" w:type="dxa"/>
          <w:left w:w="28" w:type="dxa"/>
          <w:bottom w:w="28" w:type="dxa"/>
          <w:right w:w="28" w:type="dxa"/>
        </w:tblCellMar>
      </w:tblPr>
      <w:tblGrid>
        <w:gridCol w:w="2256"/>
        <w:gridCol w:w="1982"/>
        <w:gridCol w:w="1987"/>
        <w:gridCol w:w="136"/>
        <w:gridCol w:w="136"/>
        <w:gridCol w:w="194"/>
      </w:tblGrid>
      <w:tr>
        <w:trPr/>
        <w:tc>
          <w:tcPr>
            <w:tcW w:w="2256"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Financial Statements of Sotera Health Company</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85">
              <w:r>
                <w:rPr>
                  <w:rStyle w:val="InternetLink"/>
                  <w:rFonts w:ascii="Times New Roman;sans-serif" w:hAnsi="Times New Roman;sans-serif"/>
                  <w:b w:val="false"/>
                  <w:color w:val="0000FF"/>
                  <w:sz w:val="20"/>
                  <w:u w:val="single"/>
                </w:rPr>
                <w:t>Report of Independent Registered Public Accounting Firm (PCAOB ID: 42)</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cb9a1dd2c5241fc889f8362a6f7e549_85">
              <w:r>
                <w:rPr>
                  <w:rStyle w:val="InternetLink"/>
                  <w:rFonts w:ascii="Times New Roman;sans-serif" w:hAnsi="Times New Roman;sans-serif"/>
                  <w:b w:val="false"/>
                  <w:strike w:val="false"/>
                  <w:dstrike w:val="false"/>
                  <w:color w:val="000000"/>
                  <w:sz w:val="20"/>
                  <w:u w:val="none"/>
                  <w:effect w:val="none"/>
                </w:rPr>
                <w:t>72</w:t>
              </w:r>
            </w:hyperlink>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88">
              <w:r>
                <w:rPr>
                  <w:rStyle w:val="InternetLink"/>
                  <w:rFonts w:ascii="Times New Roman;sans-serif" w:hAnsi="Times New Roman;sans-serif"/>
                  <w:b w:val="false"/>
                  <w:color w:val="0000FF"/>
                  <w:sz w:val="20"/>
                  <w:u w:val="single"/>
                </w:rPr>
                <w:t>Consolidated Balance Sheets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cb9a1dd2c5241fc889f8362a6f7e549_88">
              <w:r>
                <w:rPr>
                  <w:rStyle w:val="InternetLink"/>
                  <w:rFonts w:ascii="Times New Roman;sans-serif" w:hAnsi="Times New Roman;sans-serif"/>
                  <w:b w:val="false"/>
                  <w:strike w:val="false"/>
                  <w:dstrike w:val="false"/>
                  <w:color w:val="000000"/>
                  <w:sz w:val="20"/>
                  <w:u w:val="none"/>
                  <w:effect w:val="none"/>
                </w:rPr>
                <w:t>74</w:t>
              </w:r>
            </w:hyperlink>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fcb9a1dd2c5241fc889f8362a6f7e549_91">
              <w:r>
                <w:rPr>
                  <w:rStyle w:val="InternetLink"/>
                  <w:rFonts w:ascii="Times New Roman;sans-serif" w:hAnsi="Times New Roman;sans-serif"/>
                  <w:b w:val="false"/>
                  <w:color w:val="0000FF"/>
                  <w:sz w:val="20"/>
                  <w:u w:val="single"/>
                </w:rPr>
                <w:t>Consolidated Statements of Operations and Comprehensive Income (Loss)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cb9a1dd2c5241fc889f8362a6f7e549_91">
              <w:r>
                <w:rPr>
                  <w:rStyle w:val="InternetLink"/>
                  <w:rFonts w:ascii="Times New Roman;sans-serif" w:hAnsi="Times New Roman;sans-serif"/>
                  <w:b w:val="false"/>
                  <w:strike w:val="false"/>
                  <w:dstrike w:val="false"/>
                  <w:color w:val="000000"/>
                  <w:sz w:val="20"/>
                  <w:u w:val="none"/>
                  <w:effect w:val="none"/>
                </w:rPr>
                <w:t>75</w:t>
              </w:r>
            </w:hyperlink>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94">
              <w:r>
                <w:rPr>
                  <w:rStyle w:val="InternetLink"/>
                  <w:rFonts w:ascii="Times New Roman;sans-serif" w:hAnsi="Times New Roman;sans-serif"/>
                  <w:b w:val="false"/>
                  <w:color w:val="0000FF"/>
                  <w:sz w:val="20"/>
                  <w:u w:val="single"/>
                </w:rPr>
                <w:t>Consolidated Statements of Cash Flows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cb9a1dd2c5241fc889f8362a6f7e549_94">
              <w:r>
                <w:rPr>
                  <w:rStyle w:val="InternetLink"/>
                  <w:rFonts w:ascii="Times New Roman;sans-serif" w:hAnsi="Times New Roman;sans-serif"/>
                  <w:b w:val="false"/>
                  <w:strike w:val="false"/>
                  <w:dstrike w:val="false"/>
                  <w:color w:val="000000"/>
                  <w:sz w:val="20"/>
                  <w:u w:val="none"/>
                  <w:effect w:val="none"/>
                </w:rPr>
                <w:t>76</w:t>
              </w:r>
            </w:hyperlink>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97">
              <w:r>
                <w:rPr>
                  <w:rStyle w:val="InternetLink"/>
                  <w:rFonts w:ascii="Times New Roman;sans-serif" w:hAnsi="Times New Roman;sans-serif"/>
                  <w:b w:val="false"/>
                  <w:color w:val="0000FF"/>
                  <w:sz w:val="20"/>
                  <w:u w:val="single"/>
                </w:rPr>
                <w:t>Consolidated Statements of Equity</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cb9a1dd2c5241fc889f8362a6f7e549_97">
              <w:r>
                <w:rPr>
                  <w:rStyle w:val="InternetLink"/>
                  <w:rFonts w:ascii="Times New Roman;sans-serif" w:hAnsi="Times New Roman;sans-serif"/>
                  <w:b w:val="false"/>
                  <w:strike w:val="false"/>
                  <w:dstrike w:val="false"/>
                  <w:color w:val="000000"/>
                  <w:sz w:val="20"/>
                  <w:u w:val="none"/>
                  <w:effect w:val="none"/>
                </w:rPr>
                <w:t>77</w:t>
              </w:r>
            </w:hyperlink>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100">
              <w:r>
                <w:rPr>
                  <w:rStyle w:val="InternetLink"/>
                  <w:rFonts w:ascii="Times New Roman;sans-serif" w:hAnsi="Times New Roman;sans-serif"/>
                  <w:b w:val="false"/>
                  <w:color w:val="0000FF"/>
                  <w:sz w:val="20"/>
                  <w:u w:val="single"/>
                </w:rPr>
                <w:t>Notes to Consolidated Financial Statements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cb9a1dd2c5241fc889f8362a6f7e549_100">
              <w:r>
                <w:rPr>
                  <w:rStyle w:val="InternetLink"/>
                  <w:rFonts w:ascii="Times New Roman;sans-serif" w:hAnsi="Times New Roman;sans-serif"/>
                  <w:b w:val="false"/>
                  <w:strike w:val="false"/>
                  <w:dstrike w:val="false"/>
                  <w:color w:val="000000"/>
                  <w:sz w:val="20"/>
                  <w:u w:val="none"/>
                  <w:effect w:val="none"/>
                </w:rPr>
                <w:t>78</w:t>
              </w:r>
            </w:hyperlink>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Supplementary Data</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b9a1dd2c5241fc889f8362a6f7e549_172">
              <w:r>
                <w:rPr>
                  <w:rStyle w:val="InternetLink"/>
                  <w:rFonts w:ascii="Times New Roman;sans-serif" w:hAnsi="Times New Roman;sans-serif"/>
                  <w:b w:val="false"/>
                  <w:color w:val="0000FF"/>
                  <w:sz w:val="20"/>
                  <w:u w:val="single"/>
                </w:rPr>
                <w:t>Schedule II – Valuation and Qualifying Accounts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cb9a1dd2c5241fc889f8362a6f7e549_172">
              <w:r>
                <w:rPr>
                  <w:rStyle w:val="InternetLink"/>
                  <w:rFonts w:ascii="Times New Roman;sans-serif" w:hAnsi="Times New Roman;sans-serif"/>
                  <w:b w:val="false"/>
                  <w:strike w:val="false"/>
                  <w:dstrike w:val="false"/>
                  <w:color w:val="000000"/>
                  <w:sz w:val="20"/>
                  <w:u w:val="none"/>
                  <w:effect w:val="none"/>
                </w:rPr>
                <w:t>119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Sotera Health Company</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Opinion on the Financial Statements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Sotera Health Company (the Company) as of December 31, 2023 and 2022, the related consolidated statements of operations and comprehensive income (loss), equity and cash flows for each of the three years in the period ended December 31, 2023,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27, 2024 expressed an unqualified opinion thereon.</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 </w:t>
      </w:r>
    </w:p>
    <w:tbl>
      <w:tblPr>
        <w:tblW w:w="10205" w:type="dxa"/>
        <w:jc w:val="left"/>
        <w:tblInd w:w="0" w:type="dxa"/>
        <w:tblLayout w:type="fixed"/>
        <w:tblCellMar>
          <w:top w:w="28" w:type="dxa"/>
          <w:left w:w="28" w:type="dxa"/>
          <w:bottom w:w="28" w:type="dxa"/>
          <w:right w:w="28" w:type="dxa"/>
        </w:tblCellMar>
      </w:tblPr>
      <w:tblGrid>
        <w:gridCol w:w="452"/>
        <w:gridCol w:w="397"/>
        <w:gridCol w:w="400"/>
        <w:gridCol w:w="2743"/>
        <w:gridCol w:w="2565"/>
        <w:gridCol w:w="3648"/>
      </w:tblGrid>
      <w:tr>
        <w:trPr/>
        <w:tc>
          <w:tcPr>
            <w:tcW w:w="45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Valuation of Nelson Labs Reporting Unit Goodwill</w:t>
            </w:r>
          </w:p>
        </w:tc>
      </w:tr>
      <w:tr>
        <w:trPr/>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956"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disclosed in Note 8 to the consolidated financial statements, at December 31, 2023, the Company reported $1.1 billion of goodwill; of that, $174.4 million related to the Nelson Labs reporting unit. As explained in Note 1 to the consolidated financial statements, goodwill is tested for impairment annually as of October 1. Management performed a quantitative impairment assessment for its annual evaluation of the Nelson Labs reporting unit in 2023. As part of the quantitative impairment test, management estimated the fair value of the Nelson Labs reporting unit using the discounted cash flow method, a form of the income approach.</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35"/>
        <w:gridCol w:w="382"/>
        <w:gridCol w:w="384"/>
        <w:gridCol w:w="2637"/>
        <w:gridCol w:w="2637"/>
        <w:gridCol w:w="3730"/>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Auditing the Company’s goodwill impairment assessment for the Nelson Labs reporting unit was complex due to the significant estimation required to determine the fair value of the reporting unit. In particular, this fair value measurement was sensitive to revenue growth rates and projected EBITDA margins. Elements of these assumptions are forward-looking and could be affected by future market or economic conditions.</w:t>
            </w:r>
          </w:p>
        </w:tc>
      </w:tr>
      <w:tr>
        <w:trPr/>
        <w:tc>
          <w:tcPr>
            <w:tcW w:w="120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900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controls over the Company’s goodwill impairment process whereby management develops assumptions that are used as inputs to the annual goodwill impairment assessment. This included controls over management's review of the valuation model and the assumptions described above.</w:t>
            </w:r>
          </w:p>
          <w:p>
            <w:pPr>
              <w:pStyle w:val="TableContents"/>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test the estimated fair value of the Nelson Labs reporting unit, we performed audit procedures that included, among others, assessing the valuation methodology, testing the assumptions discussed above, and testing the completeness and accuracy of the underlying data used by the Company in its analysis. As it pertains to the revenue growth rates and projected EBITDA margins, we compared the significant assumptions used by management to current industry data, economic trends and historical performance. We performed sensitivity analyses of assumptions to evaluate the changes in the fair value of the reporting unit that would result from changes in the assumptions. We tested management’s reconciliation of the fair value of the reporting units to the market capitalization of the Company. We also assessed the appropriateness of the disclosures in the consolidated financial statements. In addition, we involved our valuation specialists to assist with our evaluation of the methodology and significant assumptions used by the Company. </w:t>
            </w:r>
          </w:p>
          <w:p>
            <w:pPr>
              <w:pStyle w:val="TableContents"/>
              <w:bidi w:val="0"/>
              <w:spacing w:before="0" w:after="0"/>
              <w:jc w:val="left"/>
              <w:rPr/>
            </w:pPr>
            <w:r>
              <w:rPr/>
            </w:r>
          </w:p>
        </w:tc>
      </w:tr>
    </w:tbl>
    <w:p>
      <w:pPr>
        <w:pStyle w:val="TextBody"/>
        <w:bidi w:val="0"/>
        <w:spacing w:before="240" w:after="283"/>
        <w:jc w:val="left"/>
        <w:rPr/>
      </w:pPr>
      <w:r>
        <w:rPr/>
      </w:r>
    </w:p>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Ernst &amp; Young LLP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served as the Company’s auditor since 2019.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Cleveland, Ohio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Sotera Health Company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2754"/>
        <w:gridCol w:w="2349"/>
        <w:gridCol w:w="2362"/>
        <w:gridCol w:w="196"/>
        <w:gridCol w:w="886"/>
        <w:gridCol w:w="109"/>
        <w:gridCol w:w="109"/>
        <w:gridCol w:w="109"/>
        <w:gridCol w:w="109"/>
        <w:gridCol w:w="196"/>
        <w:gridCol w:w="871"/>
        <w:gridCol w:w="155"/>
      </w:tblGrid>
      <w:tr>
        <w:trPr/>
        <w:tc>
          <w:tcPr>
            <w:tcW w:w="2754"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296,407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395,214 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short-term</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5,247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 for uncollectible accounts of $4,689 and $1,871 as of December 31, 2023 and 2022,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147,696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48,316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53,846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receivable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5,732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557,244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645,010 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plant,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946,914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774,527 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24,037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4,993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Post-retirement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28,482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41,242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 assets,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416,318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491,265 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1,111,190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1,101,768 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3,130,420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3,117,705 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equity</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71,039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122,471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490,130 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13,492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4,797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197,119 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finance lease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8,771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5,934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asset retirement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230,654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791,567 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2,223,674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1,747,115 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obligations, less current portion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63,793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obligations, less current portion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20,087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 retirement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47,944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lease income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18,762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Post-retirement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8,439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8,879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64,454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2,686,686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2,767,467 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See Commitments and contingencies note</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with $0.01 par value, 1,200,000 shares authorized; 286,037 shares issued at December 31, 2023 and 2022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with $0.01 par value, 120,000 shares authorized; no shares issued at December 31, 2023 and 2022</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(3,207 and 3,616 shares at December 31, 2023 and 2022,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(27,182)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(29,775)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1,215,178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1,189,622 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deficit</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(654,440)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(705,816)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(92,682)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equity </w:t>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443,734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350,238 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equity</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5"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3,130,420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3,117,705 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Sotera Health Company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and Comprehensive Income (Loss) </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2307"/>
        <w:gridCol w:w="1986"/>
        <w:gridCol w:w="2005"/>
        <w:gridCol w:w="196"/>
        <w:gridCol w:w="751"/>
        <w:gridCol w:w="109"/>
        <w:gridCol w:w="109"/>
        <w:gridCol w:w="109"/>
        <w:gridCol w:w="109"/>
        <w:gridCol w:w="196"/>
        <w:gridCol w:w="804"/>
        <w:gridCol w:w="109"/>
        <w:gridCol w:w="109"/>
        <w:gridCol w:w="109"/>
        <w:gridCol w:w="109"/>
        <w:gridCol w:w="196"/>
        <w:gridCol w:w="736"/>
        <w:gridCol w:w="156"/>
      </w:tblGrid>
      <w:tr>
        <w:trPr/>
        <w:tc>
          <w:tcPr>
            <w:tcW w:w="2307"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905,598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805,501 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143,690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Total net revenues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1,049,288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931,478 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Cost of revenues: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418,611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53,519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Total cost of revenues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472,130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412,806 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577,158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518,672 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236,667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63,799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Total operating expenses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300,466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261,939 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276,692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256,733 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142,878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Georgia EO litigation settlement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Illinois EO litigation settlement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investment in unconsolidated affiliate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Foreign exchange loss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106,027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175,716 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(benefit) for income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54,651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51,376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Less: Net income attributable to noncontrolling interests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Sotera Health Company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51,376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comprehensive income (loss) net of tax:</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post-retirement benefits (net of taxes of $(3,420), $7,022 and $8,924, respectively)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derivatives (net of taxes of $(5,467), $7,387 and $142,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40,174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Comprehensive income (loss)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65,347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(256,657)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attributable to noncontrolling interests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Comprehensive income (loss) attributable to Sotera Health Company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65,347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(256,657)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(Loss) per share:</w:t>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number of shares outstanding:</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281,008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279,228 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283,222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279,382 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i/>
          <w:color w:val="000000"/>
          <w:sz w:val="18"/>
        </w:rPr>
        <w:t>See notes to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Sotera Health Company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328"/>
        <w:gridCol w:w="2021"/>
        <w:gridCol w:w="2038"/>
        <w:gridCol w:w="196"/>
        <w:gridCol w:w="661"/>
        <w:gridCol w:w="109"/>
        <w:gridCol w:w="109"/>
        <w:gridCol w:w="109"/>
        <w:gridCol w:w="109"/>
        <w:gridCol w:w="196"/>
        <w:gridCol w:w="805"/>
        <w:gridCol w:w="109"/>
        <w:gridCol w:w="109"/>
        <w:gridCol w:w="109"/>
        <w:gridCol w:w="109"/>
        <w:gridCol w:w="196"/>
        <w:gridCol w:w="736"/>
        <w:gridCol w:w="156"/>
      </w:tblGrid>
      <w:tr>
        <w:trPr/>
        <w:tc>
          <w:tcPr>
            <w:tcW w:w="2328"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51,376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(used in) operating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76,577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81,348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investment in unconsolidated affiliate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extinguishment of debt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3,449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32,238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asset retirement obligations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foreign exchange loss (gain)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6,057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(gain) on derivatives not designated as hedging instruments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9,051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(21,724)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Illinois EO litigation settlement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(407,712)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Georgia EO litigation settlement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 / receivable,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(147,732)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281,545 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(214,975)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BioScience Laboratories, LLC, net of cash acquired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mandatorily redeemable noncontrolling interest in Nelson Laboratories Fairfield, Inc.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Regulatory Compliance Associates Inc., net of cash acquired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activities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(214,906)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(159,833)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revolving credit facility and long-term borrowings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Payment of revolving credit facility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noncontrolling interests in China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debt issuance costs and prepayment premium</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(25,645)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long-term borrowings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employee taxes on equity awards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265,959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(117,286)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and cash equivalents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 including restricted cash</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(94,640)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including restricted cash, at beginning of period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396,294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102,454 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including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301,654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173,842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 income taxes, net of tax refunds received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50,210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 included in accounts payable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16,720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Sotera Health Company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Equity </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tbl>
      <w:tblPr>
        <w:tblW w:w="11686" w:type="dxa"/>
        <w:jc w:val="left"/>
        <w:tblInd w:w="0" w:type="dxa"/>
        <w:tblLayout w:type="fixed"/>
        <w:tblCellMar>
          <w:top w:w="28" w:type="dxa"/>
          <w:left w:w="28" w:type="dxa"/>
          <w:bottom w:w="28" w:type="dxa"/>
          <w:right w:w="28" w:type="dxa"/>
        </w:tblCellMar>
      </w:tblPr>
      <w:tblGrid>
        <w:gridCol w:w="617"/>
        <w:gridCol w:w="291"/>
        <w:gridCol w:w="293"/>
        <w:gridCol w:w="375"/>
        <w:gridCol w:w="376"/>
        <w:gridCol w:w="213"/>
        <w:gridCol w:w="109"/>
        <w:gridCol w:w="109"/>
        <w:gridCol w:w="109"/>
        <w:gridCol w:w="196"/>
        <w:gridCol w:w="571"/>
        <w:gridCol w:w="109"/>
        <w:gridCol w:w="109"/>
        <w:gridCol w:w="109"/>
        <w:gridCol w:w="109"/>
        <w:gridCol w:w="196"/>
        <w:gridCol w:w="661"/>
        <w:gridCol w:w="109"/>
        <w:gridCol w:w="109"/>
        <w:gridCol w:w="109"/>
        <w:gridCol w:w="109"/>
        <w:gridCol w:w="196"/>
        <w:gridCol w:w="886"/>
        <w:gridCol w:w="109"/>
        <w:gridCol w:w="109"/>
        <w:gridCol w:w="109"/>
        <w:gridCol w:w="109"/>
        <w:gridCol w:w="196"/>
        <w:gridCol w:w="751"/>
        <w:gridCol w:w="109"/>
        <w:gridCol w:w="109"/>
        <w:gridCol w:w="109"/>
        <w:gridCol w:w="109"/>
        <w:gridCol w:w="196"/>
        <w:gridCol w:w="716"/>
        <w:gridCol w:w="109"/>
        <w:gridCol w:w="109"/>
        <w:gridCol w:w="109"/>
        <w:gridCol w:w="109"/>
        <w:gridCol w:w="228"/>
        <w:gridCol w:w="665"/>
        <w:gridCol w:w="128"/>
        <w:gridCol w:w="109"/>
        <w:gridCol w:w="109"/>
        <w:gridCol w:w="109"/>
        <w:gridCol w:w="196"/>
        <w:gridCol w:w="751"/>
        <w:gridCol w:w="154"/>
      </w:tblGrid>
      <w:tr>
        <w:trPr/>
        <w:tc>
          <w:tcPr>
            <w:tcW w:w="6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3"/>
              </w:rPr>
            </w:pPr>
            <w:r>
              <w:rPr>
                <w:rFonts w:ascii="Times New Roman;sans-serif" w:hAnsi="Times New Roman;sans-serif"/>
                <w:b/>
                <w:color w:val="000000"/>
                <w:sz w:val="13"/>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3"/>
              </w:rPr>
            </w:pPr>
            <w:r>
              <w:rPr>
                <w:rFonts w:ascii="Times New Roman;sans-serif" w:hAnsi="Times New Roman;sans-serif"/>
                <w:b/>
                <w:color w:val="000000"/>
                <w:sz w:val="13"/>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3"/>
              </w:rPr>
            </w:pPr>
            <w:r>
              <w:rPr>
                <w:rFonts w:ascii="Times New Roman;sans-serif" w:hAnsi="Times New Roman;sans-serif"/>
                <w:b/>
                <w:color w:val="000000"/>
                <w:sz w:val="13"/>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 xml:space="preserve">Total </w:t>
              <w:br/>
              <w:t>Equity</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2021</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283,248</w:t>
            </w: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(34,000)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1,166,412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(589,128)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(93,842)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2,272</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454,574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noncontrolling interests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(8,578)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1,080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plans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11,328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w:t>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Pension and post-retirement plan adjustments,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26,562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ans-serif" w:hAnsi="Times New Roman;sans-serif"/>
                <w:b/>
                <w:color w:val="000000"/>
                <w:sz w:val="16"/>
              </w:rPr>
            </w:pPr>
            <w:r>
              <w:rPr>
                <w:rFonts w:ascii="Times New Roman;sans-serif" w:hAnsi="Times New Roman;sans-serif"/>
                <w:b/>
                <w:color w:val="000000"/>
                <w:sz w:val="16"/>
              </w:rPr>
              <w:t>(16,395)</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derivatives,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117,121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282,985</w:t>
            </w: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(33,545)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1,172,593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(472,246)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(83,566)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586,096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plans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42424"/>
                <w:sz w:val="16"/>
              </w:rPr>
            </w:pPr>
            <w:r>
              <w:rPr>
                <w:rFonts w:ascii="Times New Roman;sans-serif" w:hAnsi="Times New Roman;sans-serif"/>
                <w:b w:val="false"/>
                <w:color w:val="242424"/>
                <w:sz w:val="16"/>
              </w:rPr>
              <w:t>(564)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20,799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Pension and post-retirement plan adjustments, net of tax</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20,790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(64,816)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derivatives, net of tax</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right"/>
              <w:rPr>
                <w:rFonts w:ascii="Times New Roman;sans-serif" w:hAnsi="Times New Roman;sans-serif"/>
                <w:b/>
                <w:color w:val="000000"/>
                <w:sz w:val="16"/>
              </w:rPr>
            </w:pPr>
            <w:r>
              <w:rPr>
                <w:rFonts w:ascii="Times New Roman;sans-serif" w:hAnsi="Times New Roman;sans-serif"/>
                <w:b/>
                <w:color w:val="000000"/>
                <w:sz w:val="16"/>
              </w:rPr>
              <w:t>20,939</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40"/>
              <w:jc w:val="right"/>
              <w:rPr>
                <w:rFonts w:ascii="Times New Roman;sans-serif" w:hAnsi="Times New Roman;sans-serif"/>
                <w:b/>
                <w:color w:val="000000"/>
                <w:sz w:val="16"/>
              </w:rPr>
            </w:pPr>
            <w:r>
              <w:rPr>
                <w:rFonts w:ascii="Times New Roman;sans-serif" w:hAnsi="Times New Roman;sans-serif"/>
                <w:b/>
                <w:color w:val="000000"/>
                <w:sz w:val="16"/>
              </w:rPr>
              <w:t>(233,570)</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282,421</w:t>
            </w: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(29,775)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1,189,622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(705,816)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(106,653)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350,238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plans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28,149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w:t>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Pension and post-retirement plan adjustments,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(10,506)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40,174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derivatives, net of tax</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(15,697)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51,376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282,830</w:t>
            </w:r>
            <w:r>
              <w:rPr>
                <w:color w:val="000000"/>
              </w:rPr>
              <w:t>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(27,182)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1,215,178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(654,440)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(92,682)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443,734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1.Significant Accounting Policies</w:t>
      </w:r>
    </w:p>
    <w:p>
      <w:pPr>
        <w:pStyle w:val="TextBody"/>
        <w:bidi w:val="0"/>
        <w:spacing w:lineRule="auto" w:line="288" w:before="120" w:after="283"/>
        <w:jc w:val="left"/>
        <w:rPr/>
      </w:pPr>
      <w:r>
        <w:rPr>
          <w:rFonts w:ascii="Times New Roman;sans-serif" w:hAnsi="Times New Roman;sans-serif"/>
          <w:b w:val="false"/>
          <w:i/>
          <w:color w:val="000000"/>
          <w:sz w:val="20"/>
        </w:rPr>
        <w:t>Principles of Consolidation</w:t>
      </w:r>
      <w:r>
        <w:rPr>
          <w:color w:val="000000"/>
        </w:rPr>
        <w:t xml:space="preserve"> – </w:t>
      </w:r>
      <w:r>
        <w:rPr>
          <w:rFonts w:ascii="Times New Roman;sans-serif" w:hAnsi="Times New Roman;sans-serif"/>
          <w:b w:val="false"/>
          <w:color w:val="000000"/>
          <w:sz w:val="20"/>
        </w:rPr>
        <w:t xml:space="preserve">Sotera Health Company (also referred to herein as the “Company,” “we,” “our,” “us” or “its”), is a leading global provider of mission-critical end-to-end sterilization solutions, lab testing and advisory services for the healthcare industry with operations primarily in the Americas, Europe and Asia.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include the assets, liabilities, operating results, and cash flows of the Company and its wholly owned subsidiaries prepared in accordance with U.S. generally accepted accounting principles (“GAAP”).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and report in three segments, Sterigenics, Nordion and Nelson Labs. We describe our reportable segments in Note 22, “Segment and Geographic Information”. All intercompany balances and transactions have been eliminated in consolidation.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represented the noncontrolling stockholders’ proportionate share of the total equity in the Company’s consolidated subsidiaries. In the second quarter of 2021, we purchased the outstanding noncontrolling interests of 15% and 33% of our two China subsidiaries. Prior to our acquisition of the noncontrolling interests in our two subsidiaries in China, we consolidated the results of operations of these subsidiaries with our results of operations and reflected the noncontrolling interest on our Consolidated Statements of Operations and Comprehensive Income (Loss) as “Net income attributable to noncontrolling interests.”</w:t>
      </w:r>
    </w:p>
    <w:p>
      <w:pPr>
        <w:pStyle w:val="TextBody"/>
        <w:bidi w:val="0"/>
        <w:spacing w:lineRule="auto" w:line="288" w:before="240" w:after="283"/>
        <w:jc w:val="left"/>
        <w:rPr/>
      </w:pPr>
      <w:r>
        <w:rPr>
          <w:rFonts w:ascii="Times New Roman;sans-serif" w:hAnsi="Times New Roman;sans-serif"/>
          <w:b w:val="false"/>
          <w:color w:val="000000"/>
          <w:sz w:val="20"/>
        </w:rPr>
        <w:t>In July 2020, we acquired a 60% equity ownership interest in a joint venture to construct an E-beam facility in Alberta, Canada in connection with our acquisition of Iotron Industries Canada, Inc. (“Iotron”). Our equity ownership in the joint venture was determined to be an investment in a variable interest entity (“VIE”). The investment was not consolidated as the Company concluded that it was not the primary beneficiary of the VIE. The Company accounted for the joint venture using the equity method. The investment was reflected within “Investment in unconsolidated affiliates” on the Consolidated Balance Sheets</w:t>
      </w: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During the year ended December 31, 2022, we identified certain events and circumstances that indicated a decline in value of our investment in this joint venture that was other-than-temporary. Consequently, in the second quarter of 2022, we wrote down the investment in the joint venture to its fair value of $0, resulting in an impairment charge of approximately $9.6 million. In February 2023, we entered into a Share Purchase Agreement to transfer our equity ownership interest to the joint venture partner, thereby terminating our equity ownership interest.</w:t>
      </w:r>
    </w:p>
    <w:p>
      <w:pPr>
        <w:pStyle w:val="TextBody"/>
        <w:bidi w:val="0"/>
        <w:spacing w:lineRule="auto" w:line="288" w:before="240" w:after="283"/>
        <w:jc w:val="left"/>
        <w:rPr/>
      </w:pPr>
      <w:r>
        <w:rPr>
          <w:rFonts w:ascii="Times New Roman;sans-serif" w:hAnsi="Times New Roman;sans-serif"/>
          <w:b w:val="false"/>
          <w:i/>
          <w:color w:val="000000"/>
          <w:sz w:val="20"/>
        </w:rPr>
        <w:t>Use of Estimates</w:t>
      </w:r>
      <w:r>
        <w:rPr>
          <w:color w:val="000000"/>
        </w:rPr>
        <w:t xml:space="preserve"> – </w:t>
      </w:r>
      <w:r>
        <w:rPr>
          <w:rFonts w:ascii="Times New Roman;sans-serif" w:hAnsi="Times New Roman;sans-serif"/>
          <w:b w:val="false"/>
          <w:color w:val="000000"/>
          <w:sz w:val="20"/>
        </w:rPr>
        <w:t xml:space="preserve">In preparing our consolidated financial statements in conformity with U.S. Generally Accepted Accounting Principles (“GAAP”), we make estimates and assumptions that affect the amounts reported and the accompanying notes. We regularly evaluate the estimates and assumptions used and revise them as new information becomes available. Actual results may vary from those estimates. </w:t>
      </w:r>
    </w:p>
    <w:p>
      <w:pPr>
        <w:pStyle w:val="TextBody"/>
        <w:bidi w:val="0"/>
        <w:spacing w:lineRule="auto" w:line="288" w:before="240" w:after="283"/>
        <w:jc w:val="left"/>
        <w:rPr/>
      </w:pPr>
      <w:r>
        <w:rPr>
          <w:rFonts w:ascii="Times New Roman;sans-serif" w:hAnsi="Times New Roman;sans-serif"/>
          <w:b w:val="false"/>
          <w:i/>
          <w:color w:val="000000"/>
          <w:sz w:val="20"/>
        </w:rPr>
        <w:t>Cash and Cash Equivalents</w:t>
      </w:r>
      <w:r>
        <w:rPr>
          <w:color w:val="000000"/>
        </w:rPr>
        <w:t xml:space="preserve"> – </w:t>
      </w:r>
      <w:r>
        <w:rPr>
          <w:rFonts w:ascii="Times New Roman;sans-serif" w:hAnsi="Times New Roman;sans-serif"/>
          <w:b w:val="false"/>
          <w:color w:val="000000"/>
          <w:sz w:val="20"/>
        </w:rPr>
        <w:t xml:space="preserve">We consider all highly liquid investments purchased with an original maturity of three months or less from the date of purchase to be cash equivalents. Cash and cash equivalents may include various deposit accounts and money market funds. </w:t>
      </w:r>
    </w:p>
    <w:p>
      <w:pPr>
        <w:pStyle w:val="TextBody"/>
        <w:bidi w:val="0"/>
        <w:spacing w:lineRule="auto" w:line="276" w:before="240" w:after="283"/>
        <w:jc w:val="left"/>
        <w:rPr/>
      </w:pPr>
      <w:r>
        <w:rPr>
          <w:rFonts w:ascii="Times New Roman;sans-serif" w:hAnsi="Times New Roman;sans-serif"/>
          <w:b w:val="false"/>
          <w:i/>
          <w:color w:val="000000"/>
          <w:sz w:val="22"/>
        </w:rPr>
        <w:t>A</w:t>
      </w:r>
      <w:r>
        <w:rPr>
          <w:rFonts w:ascii="Times New Roman;sans-serif" w:hAnsi="Times New Roman;sans-serif"/>
          <w:b w:val="false"/>
          <w:i/>
          <w:color w:val="000000"/>
          <w:sz w:val="20"/>
        </w:rPr>
        <w:t xml:space="preserve">ccounts Receivable - </w:t>
      </w:r>
      <w:r>
        <w:rPr>
          <w:rFonts w:ascii="Times New Roman;sans-serif" w:hAnsi="Times New Roman;sans-serif"/>
          <w:b w:val="false"/>
          <w:color w:val="000000"/>
          <w:sz w:val="20"/>
        </w:rPr>
        <w:t>Accounts receivable consists of amounts billed and currently due from customers. The amounts due are stated net of the allowance for uncollectible accounts. The Company maintains an allowance for uncollectible receivables to provide for the estimated amount of receivables that will not be collected.</w:t>
      </w:r>
    </w:p>
    <w:p>
      <w:pPr>
        <w:pStyle w:val="TextBody"/>
        <w:bidi w:val="0"/>
        <w:spacing w:lineRule="auto" w:line="288" w:before="240" w:after="283"/>
        <w:jc w:val="left"/>
        <w:rPr/>
      </w:pPr>
      <w:r>
        <w:rPr>
          <w:rFonts w:ascii="Times New Roman;sans-serif" w:hAnsi="Times New Roman;sans-serif"/>
          <w:b w:val="false"/>
          <w:i/>
          <w:color w:val="000000"/>
          <w:sz w:val="20"/>
        </w:rPr>
        <w:t xml:space="preserve">Allowance for Uncollectible Accounts Receivable </w:t>
      </w:r>
      <w:r>
        <w:rPr>
          <w:color w:val="000000"/>
        </w:rPr>
        <w:t xml:space="preserve">– </w:t>
      </w:r>
      <w:r>
        <w:rPr>
          <w:rFonts w:ascii="Times New Roman;sans-serif" w:hAnsi="Times New Roman;sans-serif"/>
          <w:b w:val="false"/>
          <w:color w:val="000000"/>
          <w:sz w:val="20"/>
        </w:rPr>
        <w:t>We maintain an allowance for uncollectible accounts receivable for estimated losses in the collection of amounts owed to us by customers. We estimate the allowance based on analyzing a number of factors, including amounts written off historically, customer payment practices, customer financial information and credit ratings, current market conditions as well as the expected future economic conditions that may impact the collection of accounts receivable. We also analyze significant customer accounts on a regular basis and record a specific allowance when we become aware of a specific customer’s inability to pay. We generally do not charge interest on accounts receivable or require collateral from our customers.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 write-offs against the allowance for uncollectible accounts receivable when all reasonable efforts for collection have been exhausted. As a result, the related accounts receivable are reduced to an amount that we reasonably believe is collectible.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pPr>
      <w:r>
        <w:rPr>
          <w:rFonts w:ascii="Times New Roman;sans-serif" w:hAnsi="Times New Roman;sans-serif"/>
          <w:b w:val="false"/>
          <w:color w:val="000000"/>
          <w:sz w:val="20"/>
        </w:rPr>
        <w:t>These analyses require judgment. If the financial condition of our customers worsens, or economic conditions change, we may be required to make changes to our allowance for uncollectible accounts receivable.</w:t>
      </w:r>
      <w:r>
        <w:rPr>
          <w:color w:val="000000"/>
        </w:rPr>
        <w:t xml:space="preserve"> </w:t>
      </w:r>
    </w:p>
    <w:p>
      <w:pPr>
        <w:pStyle w:val="TextBody"/>
        <w:bidi w:val="0"/>
        <w:spacing w:lineRule="auto" w:line="288" w:before="240" w:after="283"/>
        <w:jc w:val="left"/>
        <w:rPr/>
      </w:pPr>
      <w:r>
        <w:rPr>
          <w:rFonts w:ascii="Times New Roman;sans-serif" w:hAnsi="Times New Roman;sans-serif"/>
          <w:b w:val="false"/>
          <w:i/>
          <w:color w:val="000000"/>
          <w:sz w:val="20"/>
        </w:rPr>
        <w:t>Inventories</w:t>
      </w:r>
      <w:r>
        <w:rPr>
          <w:color w:val="000000"/>
        </w:rPr>
        <w:t xml:space="preserve"> – </w:t>
      </w:r>
      <w:r>
        <w:rPr>
          <w:rFonts w:ascii="Times New Roman;sans-serif" w:hAnsi="Times New Roman;sans-serif"/>
          <w:b w:val="false"/>
          <w:color w:val="000000"/>
          <w:sz w:val="20"/>
        </w:rPr>
        <w:t>Inventories as of December 31, 2023 and 2022 are held at Nordion. Inventories are stated at the lower of cost or net realizable value. Cost of material, labor, and manufacturing overhead are determined using standard cost, which approximates average cost. We review inventory on an ongoing basis, considering factors such as deterioration and obsolescence. We record a reserve for excess and obsolete inventory, which was immaterial at December 31, 2023 and 2022, when the facts and circumstances indicate that particular inventories will not be usable. If future market conditions vary from those projected, and our estimates prove to be inaccurate, we may be required to write-down inventory values and record an adjustment to cost of revenues.</w:t>
      </w:r>
    </w:p>
    <w:p>
      <w:pPr>
        <w:pStyle w:val="TextBody"/>
        <w:bidi w:val="0"/>
        <w:spacing w:lineRule="auto" w:line="288" w:before="240" w:after="283"/>
        <w:jc w:val="left"/>
        <w:rPr/>
      </w:pPr>
      <w:r>
        <w:rPr>
          <w:rFonts w:ascii="Times New Roman;sans-serif" w:hAnsi="Times New Roman;sans-serif"/>
          <w:b w:val="false"/>
          <w:i/>
          <w:color w:val="000000"/>
          <w:sz w:val="20"/>
        </w:rPr>
        <w:t>Property, Plant, and</w:t>
      </w:r>
      <w:r>
        <w:rPr>
          <w:color w:val="000000"/>
        </w:rPr>
        <w:t xml:space="preserve"> </w:t>
      </w:r>
      <w:r>
        <w:rPr>
          <w:rFonts w:ascii="Times New Roman;sans-serif" w:hAnsi="Times New Roman;sans-serif"/>
          <w:b w:val="false"/>
          <w:i/>
          <w:color w:val="000000"/>
          <w:sz w:val="20"/>
        </w:rPr>
        <w:t>Equipment</w:t>
      </w:r>
      <w:r>
        <w:rPr>
          <w:color w:val="000000"/>
        </w:rPr>
        <w:t xml:space="preserve"> – </w:t>
      </w:r>
      <w:r>
        <w:rPr>
          <w:rFonts w:ascii="Times New Roman;sans-serif" w:hAnsi="Times New Roman;sans-serif"/>
          <w:b w:val="false"/>
          <w:color w:val="000000"/>
          <w:sz w:val="20"/>
        </w:rPr>
        <w:t>Property, plant, and equipment is carried at cost, or initially at fair value if acquired in an acquisition, less accumulated depreciation and amortization. Except for Co-60, a radioactive isotope used in gamma radiation sterilization, all property, plant, and equipment depreciation is computed using the straight-line method over estimated useful lives. Leasehold improvements are amortized over their estimated useful lives or the term of the related lease, whichever is shorter. Co-60 is amortized using an accelerated method, which relates to the natural radioactive decay of the isotope over its estimated useful life which is approximately twenty years. Amortization of Co-60 is included within depreciation expense as a cost of revenue. Expenditures for major software purchases and software developed for internal use are capitalized and depreciated using the straight-line method over the estimated useful lives of the related assets, which are generally one to five years. For software obtained or developed for internal use, all external direct costs for materials and services and certain personnel costs incurred to d</w:t>
      </w:r>
      <w:r>
        <w:rPr>
          <w:rFonts w:ascii="Times New Roman;sans-serif" w:hAnsi="Times New Roman;sans-serif"/>
          <w:b w:val="false"/>
          <w:color w:val="000000"/>
          <w:sz w:val="20"/>
          <w:shd w:fill="FFFFFF" w:val="clear"/>
        </w:rPr>
        <w:t>evelop the software during the application development stage are capitalized. At December 31, 2023 and 2022, we had undepreciated software costs of $7.9 million and $3.4 million, respectively, included in property, plant, and equipment, net. We recognized $3.3 million, $2.2 million a</w:t>
      </w:r>
      <w:r>
        <w:rPr>
          <w:rFonts w:ascii="Times New Roman;sans-serif" w:hAnsi="Times New Roman;sans-serif"/>
          <w:b w:val="false"/>
          <w:color w:val="000000"/>
          <w:sz w:val="20"/>
        </w:rPr>
        <w:t xml:space="preserve">nd $2.6 million, of depreciation expense related to software costs for the years ending December 31, 2023, 2022 and 2021, respectively.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is computed using the assets’ estimated useful lives as presented below:</w:t>
      </w:r>
    </w:p>
    <w:tbl>
      <w:tblPr>
        <w:tblW w:w="4364" w:type="dxa"/>
        <w:jc w:val="left"/>
        <w:tblInd w:w="0" w:type="dxa"/>
        <w:tblLayout w:type="fixed"/>
        <w:tblCellMar>
          <w:top w:w="28" w:type="dxa"/>
          <w:left w:w="28" w:type="dxa"/>
          <w:bottom w:w="28" w:type="dxa"/>
          <w:right w:w="28" w:type="dxa"/>
        </w:tblCellMar>
      </w:tblPr>
      <w:tblGrid>
        <w:gridCol w:w="1168"/>
        <w:gridCol w:w="1026"/>
        <w:gridCol w:w="1031"/>
        <w:gridCol w:w="333"/>
        <w:gridCol w:w="333"/>
        <w:gridCol w:w="473"/>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building improvements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15–44 years</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3–30 years</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2–20 years</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3–10 years</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 and software</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 years</w:t>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build or expand facilities. The cost of construction of these facilities is reflected as construction-in-progress until the asset is ready for its intended use, at which time the costs are reclassified to the appropriate depreciable category of property, plant, and equipment and depreciation commences. Fixed asset projects requiring one or more years to complete construction qualify for capitalization of interest costs in accordance with our policy. Interest related to property, plant and equipment projects with a construction period of less than one year are not capitalized and are immaterial. Repairs and maintenance costs that do not extend the useful life of an asset are expensed as incurred.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sale or retirement of assets, the cost and related accumulated depreciation is removed from the Consolidated Balance Sheets, and the resulting gain or loss is reflected as a component of operating income. </w:t>
      </w:r>
    </w:p>
    <w:p>
      <w:pPr>
        <w:pStyle w:val="TextBody"/>
        <w:bidi w:val="0"/>
        <w:spacing w:lineRule="auto" w:line="288" w:before="240" w:after="283"/>
        <w:jc w:val="left"/>
        <w:rPr/>
      </w:pPr>
      <w:r>
        <w:rPr>
          <w:rFonts w:ascii="Times New Roman;sans-serif" w:hAnsi="Times New Roman;sans-serif"/>
          <w:b w:val="false"/>
          <w:i/>
          <w:color w:val="000000"/>
          <w:sz w:val="20"/>
        </w:rPr>
        <w:t>Long-Lived Assets Other than Goodwill</w:t>
      </w:r>
      <w:r>
        <w:rPr>
          <w:color w:val="000000"/>
        </w:rPr>
        <w:t xml:space="preserve"> – </w:t>
      </w:r>
      <w:r>
        <w:rPr>
          <w:rFonts w:ascii="Times New Roman;sans-serif" w:hAnsi="Times New Roman;sans-serif"/>
          <w:b w:val="false"/>
          <w:color w:val="000000"/>
          <w:sz w:val="20"/>
        </w:rPr>
        <w:t>We review long-lived assets, including finite-lived intangibles for impairment whenever events or circumstances indicate that the carrying amount of the asset or asset group may be impaired. Events or circumstances which would result in an impairment assessment include operating losses, a significant change in the use of an asset or asset group, or the planned disposal or sale of the asset or asset group. The asset or asset group would be considered impaired when the future net undiscounted cash flows generated by the asset or asset group are less than its carrying value. An impairment loss would be recognized based on the amount by which the carrying value of the asset or asset group exceeds its estimated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intangible assets is computed using the asset’s estimated useful lives as presented below: </w:t>
      </w:r>
    </w:p>
    <w:tbl>
      <w:tblPr>
        <w:tblW w:w="4754" w:type="dxa"/>
        <w:jc w:val="left"/>
        <w:tblInd w:w="0" w:type="dxa"/>
        <w:tblLayout w:type="fixed"/>
        <w:tblCellMar>
          <w:top w:w="28" w:type="dxa"/>
          <w:left w:w="28" w:type="dxa"/>
          <w:bottom w:w="28" w:type="dxa"/>
          <w:right w:w="28" w:type="dxa"/>
        </w:tblCellMar>
      </w:tblPr>
      <w:tblGrid>
        <w:gridCol w:w="1345"/>
        <w:gridCol w:w="1183"/>
        <w:gridCol w:w="1191"/>
        <w:gridCol w:w="303"/>
        <w:gridCol w:w="303"/>
        <w:gridCol w:w="429"/>
      </w:tblGrid>
      <w:tr>
        <w:trPr/>
        <w:tc>
          <w:tcPr>
            <w:tcW w:w="1345"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Land-use rights</w:t>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41 years</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 and related relationships</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5–20 years</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technology</w:t>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7–20 years</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name/trademark</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5–8 years</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Sealed source and supply agreements</w:t>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7–20 years</w:t>
            </w:r>
          </w:p>
        </w:tc>
      </w:tr>
    </w:tbl>
    <w:p>
      <w:pPr>
        <w:pStyle w:val="TextBody"/>
        <w:bidi w:val="0"/>
        <w:spacing w:lineRule="auto" w:line="288" w:before="240" w:after="283"/>
        <w:jc w:val="left"/>
        <w:rPr/>
      </w:pPr>
      <w:r>
        <w:rPr>
          <w:rFonts w:ascii="Times New Roman;sans-serif" w:hAnsi="Times New Roman;sans-serif"/>
          <w:b w:val="false"/>
          <w:i/>
          <w:color w:val="000000"/>
          <w:sz w:val="20"/>
        </w:rPr>
        <w:t xml:space="preserve">Leases </w:t>
      </w:r>
      <w:r>
        <w:rPr>
          <w:color w:val="000000"/>
        </w:rPr>
        <w:t xml:space="preserve">– </w:t>
      </w:r>
      <w:r>
        <w:rPr>
          <w:rFonts w:ascii="Times New Roman;sans-serif" w:hAnsi="Times New Roman;sans-serif"/>
          <w:b w:val="false"/>
          <w:color w:val="000000"/>
          <w:sz w:val="20"/>
        </w:rPr>
        <w:t>We determine if an agreement contains a lease and classify our leases as operating or finance at the lease commencement date. Leases with an initial term of twelve months or less are recognized as lease expense on a straight-line basis over the lease term and are not recorded on the Consolidated Balance Sheets. Non-lease components are accounted for separately from the lease components for all asset classes.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 are those in which we will pay substantially all the underlying asset’s fair value or will use the asset for all or a major part of its economic life, including circumstances in which we will ultimately own the asset. Lease assets arising from finance leases are included in “Property, plant and equipment, net” and the liabilities are included in “Finance lease obligations” on the Consolidated Balance Sheets. For finance leases, we recognize interest expense using the effective interest method and we recognize amortization expense on the lease asset over the shorter of the lease term or the useful life of asset. Finance leases are accounted for as if the assets were owned and financed, with associated expense recognized in “Interest expense, net” and “Cost of revenues” or “Selling, general and administrative expenses” within the Consolidated Statements of Operations and Comprehensive Income (Loss) depending on the nature of the underlying asset.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 and liabilities are recognized at the commencement date of the lease based on the present value of lease payments over the lease term. Lease assets represent the right to use an underlying asset for the lease term and lease liabilities represent the obligation to make lease payments arising from the lease. As most leases do not provide an implicit interest rate, we estimate an incremental borrowing rate to determine the present value of lease payments. Our estimated incremental borrowing rate reflects a secured rate based on recent debt issuances, our estimated credit rating, and lease term. We recognize operating lease costs on a straight-line basis over the term of the lease in “Cost of revenues” or “Selling, general and administrative expenses” on the Consolidated Statements of Operations and Comprehensive Income (Loss) depending on the nature of the underlying asset.</w:t>
      </w:r>
    </w:p>
    <w:p>
      <w:pPr>
        <w:pStyle w:val="TextBody"/>
        <w:bidi w:val="0"/>
        <w:spacing w:lineRule="auto" w:line="288" w:before="240" w:after="283"/>
        <w:jc w:val="left"/>
        <w:rPr/>
      </w:pPr>
      <w:r>
        <w:rPr>
          <w:rFonts w:ascii="Times New Roman;sans-serif" w:hAnsi="Times New Roman;sans-serif"/>
          <w:b w:val="false"/>
          <w:i/>
          <w:color w:val="000000"/>
          <w:sz w:val="20"/>
        </w:rPr>
        <w:t>Goodwill and Other Indefinite-Lived Intangibles</w:t>
      </w:r>
      <w:r>
        <w:rPr>
          <w:color w:val="000000"/>
        </w:rPr>
        <w:t xml:space="preserve"> – </w:t>
      </w:r>
      <w:r>
        <w:rPr>
          <w:rFonts w:ascii="Times New Roman;sans-serif" w:hAnsi="Times New Roman;sans-serif"/>
          <w:b w:val="false"/>
          <w:color w:val="000000"/>
          <w:sz w:val="20"/>
        </w:rPr>
        <w:t xml:space="preserve">Goodwill and other indefinite-lived intangible assets, primarily certain regulatory licenses and tradenames, are tested for impairment annually as of October 1. If circumstances change during interim periods between annual tests that would indicate that the carrying amount of such assets may not be recoverable, the Company tests such assets at an interim date for impairment. Factors that necessitate an interim impairment assessment include prolonged negative industry or economic trends and significant underperformance relative to historical or projected future operating results.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performed a quantitative assessment of all reporting units (Sterigenics, Nordion and Nelson Labs) as of October 1, 2023. The fair value of each reporting unit was calculated using a discounted cash flow analysis which was dependent on subjective market participant assumptions determined by management. We further corroborated these discounted cash flow analyses utilizing a market approach to determine the estimated enterprise fair value. Assumptions used in the analyses included discount rates, revenue growth rates and projected operating cash flows. Estimates of future cash flows are based upon relevant data at a point-in-time, are subject to change, and could vary from actual results. The estimated fair value of each reporting unit exceeded its carrying amount by a sufficient margin to support a positive assertion that goodwill is not impaired. We performed a qualitative impairment assessment to evaluate any potential impairment to the indefinite-lived intangible assets. We considered significant events and circumstances that could affect the significant inputs used to determine the estimated fair value of the indefinite-lived intangible assets, and determined, after considering the totality of evidence that it is not more likely than not that the indefinite-lived intangible assets are impaired. There have been no other significant events or circumstances that occurred since the annual assessment date of October 1 that would change the conclusions reached above. </w:t>
      </w:r>
    </w:p>
    <w:p>
      <w:pPr>
        <w:pStyle w:val="TextBody"/>
        <w:bidi w:val="0"/>
        <w:spacing w:lineRule="auto" w:line="288" w:before="240" w:after="283"/>
        <w:jc w:val="left"/>
        <w:rPr/>
      </w:pPr>
      <w:r>
        <w:rPr>
          <w:rFonts w:ascii="Times New Roman;sans-serif" w:hAnsi="Times New Roman;sans-serif"/>
          <w:b w:val="false"/>
          <w:i/>
          <w:color w:val="000000"/>
          <w:sz w:val="20"/>
        </w:rPr>
        <w:t>Derivative Instruments</w:t>
      </w:r>
      <w:r>
        <w:rPr>
          <w:color w:val="000000"/>
        </w:rPr>
        <w:t xml:space="preserve"> – </w:t>
      </w:r>
      <w:r>
        <w:rPr>
          <w:rFonts w:ascii="Times New Roman;sans-serif" w:hAnsi="Times New Roman;sans-serif"/>
          <w:b w:val="false"/>
          <w:color w:val="000000"/>
          <w:sz w:val="20"/>
        </w:rPr>
        <w:t xml:space="preserve">We may enter into derivative instruments and hedging activities to manage, where possible and economically efficient, commodity price risk, foreign currency exchange rate risk and interest rate risk related to borrowings.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identified embedded derivatives in certain supply and customer contracts. Certain interest rate derivatives are designated as cash flow hedges allowing for changes in fair value to be recorded through “Other comprehensive income (loss)”. Amounts in accumulated other comprehensive income (loss) will be reclassified into earnings in the same periods during which the hedged transaction affects earnings and are presented in “Interest expense, net” within the Consolidated Statements of Operations and Comprehensive Income (Loss). Derivatives not designated as hedges are recorded at fair value on the Consolidated Balance Sheets, with any changes in the value being recorded in the Consolidated Statements of Operations and Comprehensive Income (Loss) in the same line item as the corresponding hedged item. We classify cash flows from derivative instruments and hedging activities as cash flows from operating activities in the Consolidated Statements of Cash Flows. To the extent derivative arrangements are with the same counterparty and contractual right of offset exists under applicable master agreements, we offset assets and liabilities for reporting on the Consolidated Balance Sheets. </w:t>
      </w:r>
    </w:p>
    <w:p>
      <w:pPr>
        <w:pStyle w:val="TextBody"/>
        <w:bidi w:val="0"/>
        <w:spacing w:lineRule="auto" w:line="288" w:before="240" w:after="283"/>
        <w:jc w:val="left"/>
        <w:rPr/>
      </w:pPr>
      <w:r>
        <w:rPr>
          <w:rFonts w:ascii="Times New Roman;sans-serif" w:hAnsi="Times New Roman;sans-serif"/>
          <w:b w:val="false"/>
          <w:i/>
          <w:color w:val="000000"/>
          <w:sz w:val="20"/>
        </w:rPr>
        <w:t xml:space="preserve">Pension, Post-Retirement and Other Post-Employment Benefit Plans – </w:t>
      </w:r>
      <w:r>
        <w:rPr>
          <w:rFonts w:ascii="Times New Roman;sans-serif" w:hAnsi="Times New Roman;sans-serif"/>
          <w:b w:val="false"/>
          <w:color w:val="000000"/>
          <w:sz w:val="20"/>
        </w:rPr>
        <w:t xml:space="preserve">We sponsor a defined-contribution retirement plan that covers substantially all U.S. employees. We also sponsor various post-employment benefit plans at our Nordion business in Canada, including defined benefit and defined contribution pension plans, retirement compensation arrangements and plans that provide extended health care coverage to retired employees. In addition, we provide other benefit plans at our foreign subsidiaries, including a supplemental retirement arrangement, a retirement and termination allowance and post-retirement benefit plans, which include contributory healthcare benefits and contributory life insurance coverage. All non-pension post-employment benefit plans are unfunded.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costs and obligations are affected by assumptions including the discount rate, the expected long-term rate of return on plan assets, the annual rate of change in compensation for eligible employees, estimated changes in costs of healthcare benefits, and other demographic and economic factors. We review the assumptions used on an annual basis. </w:t>
      </w:r>
    </w:p>
    <w:p>
      <w:pPr>
        <w:pStyle w:val="TextBody"/>
        <w:bidi w:val="0"/>
        <w:spacing w:lineRule="auto" w:line="288" w:before="240" w:after="283"/>
        <w:jc w:val="left"/>
        <w:rPr/>
      </w:pPr>
      <w:r>
        <w:rPr>
          <w:rFonts w:ascii="Times New Roman;sans-serif" w:hAnsi="Times New Roman;sans-serif"/>
          <w:b w:val="false"/>
          <w:color w:val="000000"/>
          <w:sz w:val="20"/>
        </w:rPr>
        <w:t>We recognize the over/under funded status of defined benefit pension and post-retirement benefits plans in our Consolidated Balance Sheets. This amount is measured as the difference between the fair value of plan assets and the projected benefit obligation. Changes in the funded status of the plans are recorded in other comprehensive income (loss) in the year they occur. We measure plan assets and obligations as of the balance sheet date. We provide additional information about our pension and other post-retirement benefits plans in Note 12, “Employee Benefits”</w:t>
      </w:r>
      <w:r>
        <w:rPr>
          <w:rFonts w:ascii="Times New Roman;sans-serif" w:hAnsi="Times New Roman;sans-serif"/>
          <w:b w:val="false"/>
          <w:color w:val="000000"/>
          <w:sz w:val="24"/>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gain or loss included in accumulated other comprehensive income (loss) shall be reclassified to net periodic pension cost if, as of the beginning of the year, that gain or loss exceeds 10% of the greater of the projected benefit obligation (“PBO”) or the market related value of the plan assets (the ‘corridor’). As most of the plan’s participants are no longer actively accruing benefits, the average remaining life expectancy is used.</w:t>
      </w:r>
    </w:p>
    <w:p>
      <w:pPr>
        <w:pStyle w:val="TextBody"/>
        <w:bidi w:val="0"/>
        <w:spacing w:lineRule="auto" w:line="288" w:before="240" w:after="283"/>
        <w:jc w:val="left"/>
        <w:rPr/>
      </w:pPr>
      <w:r>
        <w:rPr>
          <w:rFonts w:ascii="Times New Roman;sans-serif" w:hAnsi="Times New Roman;sans-serif"/>
          <w:b w:val="false"/>
          <w:i/>
          <w:color w:val="000000"/>
          <w:sz w:val="20"/>
        </w:rPr>
        <w:t>Asset Retirement Obligations (“ARO”)</w:t>
      </w:r>
      <w:r>
        <w:rPr>
          <w:color w:val="000000"/>
        </w:rPr>
        <w:t xml:space="preserve"> – </w:t>
      </w:r>
      <w:r>
        <w:rPr>
          <w:rFonts w:ascii="Times New Roman;sans-serif" w:hAnsi="Times New Roman;sans-serif"/>
          <w:b w:val="false"/>
          <w:color w:val="000000"/>
          <w:sz w:val="20"/>
        </w:rPr>
        <w:t xml:space="preserve">ARO are legal obligations associated with the retirement of long-lived assets or the exit of a leased facility. We recognize a liability for an ARO in the period in which it is incurred if a reasonable estimate of fair value can be made, and the associated asset retirement costs are then capitalized as part of the carrying amount of the long-lived asset. We lease various facilities where sterilization and ionization services are performed. Under the lease agreements, we are required to return the facilities to their original condition and to perform decommissioning activities. In addition, certain of our owned facilities are required to be decommissioned when we vacate the facility. Accretion expense is recognized in cost of revenues in the Consolidated Statements of Operations and Comprehensive Income (Loss) over time as the discounted liability is accreted to its expected settlement value. </w:t>
      </w:r>
    </w:p>
    <w:p>
      <w:pPr>
        <w:pStyle w:val="TextBody"/>
        <w:bidi w:val="0"/>
        <w:spacing w:lineRule="auto" w:line="288" w:before="240" w:after="283"/>
        <w:jc w:val="left"/>
        <w:rPr/>
      </w:pPr>
      <w:r>
        <w:rPr>
          <w:rFonts w:ascii="Times New Roman;sans-serif" w:hAnsi="Times New Roman;sans-serif"/>
          <w:b w:val="false"/>
          <w:i/>
          <w:color w:val="000000"/>
          <w:sz w:val="20"/>
        </w:rPr>
        <w:t>Debt Issuance Costs, Premiums and Discounts</w:t>
      </w:r>
      <w:r>
        <w:rPr>
          <w:color w:val="000000"/>
        </w:rPr>
        <w:t xml:space="preserve"> – </w:t>
      </w:r>
      <w:r>
        <w:rPr>
          <w:rFonts w:ascii="Times New Roman;sans-serif" w:hAnsi="Times New Roman;sans-serif"/>
          <w:b w:val="false"/>
          <w:color w:val="000000"/>
          <w:sz w:val="20"/>
        </w:rPr>
        <w:t xml:space="preserve">We have incurred costs in connection with obtaining financing as well as premiums and discounts associated with our long-term debt. The portion of these fees that are capitalized are recorded as a reduction of debt on the Consolidated Balance Sheets and amortized into interest expense over the term of the debt agreement. Debt issuance costs associated with the Company’s revolving credit facilities are classified as assets unless there are outstanding borrowings under such arrangements. </w:t>
      </w:r>
    </w:p>
    <w:p>
      <w:pPr>
        <w:pStyle w:val="TextBody"/>
        <w:bidi w:val="0"/>
        <w:spacing w:lineRule="auto" w:line="288" w:before="240" w:after="283"/>
        <w:jc w:val="left"/>
        <w:rPr/>
      </w:pPr>
      <w:r>
        <w:rPr>
          <w:rFonts w:ascii="Times New Roman;sans-serif" w:hAnsi="Times New Roman;sans-serif"/>
          <w:b w:val="false"/>
          <w:i/>
          <w:color w:val="000000"/>
          <w:sz w:val="20"/>
        </w:rPr>
        <w:t>Concentration of Credit Risk, Other Risks and Uncertainties</w:t>
      </w:r>
      <w:r>
        <w:rPr>
          <w:color w:val="000000"/>
        </w:rPr>
        <w:t xml:space="preserve"> – </w:t>
      </w:r>
      <w:r>
        <w:rPr>
          <w:rFonts w:ascii="Times New Roman;sans-serif" w:hAnsi="Times New Roman;sans-serif"/>
          <w:b w:val="false"/>
          <w:color w:val="000000"/>
          <w:sz w:val="20"/>
        </w:rPr>
        <w:t xml:space="preserve">We maintain cash and cash equivalents in the form of demand deposits in accounts with major financial institutions in the U.S. and in countries where our subsidiaries operate. Deposits in these institutions may exceed amounts of insurance provided on such accounts. We have not experienced any losses on our deposits of cash and cash equivalents.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revenues and accounts receivable are derived from customers located primarily in North America and Europe.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 customer accounted for 10% or more of accounts receivable at December 31, 2023 and 2022, or 10% or more of net revenues for the years ended December 31, 2023, 2022 and 2021.</w:t>
      </w:r>
    </w:p>
    <w:p>
      <w:pPr>
        <w:pStyle w:val="TextBody"/>
        <w:bidi w:val="0"/>
        <w:spacing w:lineRule="auto" w:line="288" w:before="240" w:after="283"/>
        <w:jc w:val="left"/>
        <w:rPr/>
      </w:pP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We use the liability method of accounting for income taxes whereby we recognize deferred tax assets and liabilities for the future tax consequences of temporary differences between the tax bases of assets and liabilities and their reported amounts in the consolidated financial statements.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determine whether it is more likely than not that a tax position will be sustained upon examination, including resolution of related appeals or litigation processes, based on the technical merits of the position. In evaluating whether a tax position has met the more-likely-than-not recognition threshold, we presume that the position will be examined by the appropriate taxing authority and that the taxing authority will have full knowledge of all relevant information. A tax position that meets the more-likely-than-not recognition threshold is measured at the largest amount of benefit that is greater than 50% likely of being realized upon ultimate settlement. Determining what constitutes an individual tax position and whether the more-likely-than-not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 We are subject to a tax on Global Intangible Low Taxed Income (“GILTI”) which we record as a period cost.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policy is to recognize interest and penalties related to income tax matters as a component of the provision for income taxes in our Consolidated Statements of Operations and Comprehensive Income (Loss). </w:t>
      </w:r>
    </w:p>
    <w:p>
      <w:pPr>
        <w:pStyle w:val="TextBody"/>
        <w:bidi w:val="0"/>
        <w:spacing w:lineRule="auto" w:line="288" w:before="240" w:after="283"/>
        <w:jc w:val="left"/>
        <w:rPr/>
      </w:pPr>
      <w:r>
        <w:rPr>
          <w:rFonts w:ascii="Times New Roman;sans-serif" w:hAnsi="Times New Roman;sans-serif"/>
          <w:b w:val="false"/>
          <w:i/>
          <w:color w:val="000000"/>
          <w:sz w:val="20"/>
        </w:rPr>
        <w:t>Foreign Currency Translation</w:t>
      </w:r>
      <w:r>
        <w:rPr>
          <w:color w:val="000000"/>
        </w:rPr>
        <w:t xml:space="preserve"> – </w:t>
      </w:r>
      <w:r>
        <w:rPr>
          <w:rFonts w:ascii="Times New Roman;sans-serif" w:hAnsi="Times New Roman;sans-serif"/>
          <w:b w:val="false"/>
          <w:color w:val="000000"/>
          <w:sz w:val="20"/>
        </w:rPr>
        <w:t xml:space="preserve">The functional currency of our foreign subsidiaries is generally the local currency. Accordingly, assets and liabilities are generally translated into U.S. dollars at the current rates of exchange as of the balance sheet date, and revenues and expenses are translated using weighted-average rates prevailing during the period. Adjustments from foreign currency translation are included as a separate component of accumulated other comprehensive income (loss). </w:t>
      </w:r>
    </w:p>
    <w:p>
      <w:pPr>
        <w:pStyle w:val="TextBody"/>
        <w:bidi w:val="0"/>
        <w:spacing w:lineRule="auto" w:line="288" w:before="240" w:after="283"/>
        <w:jc w:val="left"/>
        <w:rPr/>
      </w:pPr>
      <w:r>
        <w:rPr>
          <w:rFonts w:ascii="Times New Roman;sans-serif" w:hAnsi="Times New Roman;sans-serif"/>
          <w:b w:val="false"/>
          <w:color w:val="000000"/>
          <w:sz w:val="20"/>
        </w:rPr>
        <w:t>Gains or losses arising from foreign currency transactions are recognized in the Consolidated Statements of Operations and Comprehensive Income (Loss) as foreign exchange loss (gain). The Company routinely enters into foreign currency forward contracts to manage foreign currency exchange rate risk of our intercompany loans in certain of our international subsidiaries and non-functional currency assets and liabilities. The foreign currency forward contracts expire on a monthly basis.</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years ended December 31, 2023, 2022 and 2021,</w:t>
      </w:r>
      <w:r>
        <w:rPr>
          <w:color w:val="000000"/>
          <w:shd w:fill="FFFFFF" w:val="clear"/>
        </w:rPr>
        <w:t xml:space="preserve"> </w:t>
      </w:r>
      <w:r>
        <w:rPr>
          <w:rFonts w:ascii="Times New Roman;sans-serif" w:hAnsi="Times New Roman;sans-serif"/>
          <w:b w:val="false"/>
          <w:color w:val="000000"/>
          <w:sz w:val="20"/>
          <w:shd w:fill="FFFFFF" w:val="clear"/>
        </w:rPr>
        <w:t>foreign exchange loss related primarily to short-term losses (offset by short-term gains) on sales denominated in currencies other than the functional currency of our operating entities.</w:t>
      </w:r>
    </w:p>
    <w:p>
      <w:pPr>
        <w:pStyle w:val="TextBody"/>
        <w:bidi w:val="0"/>
        <w:spacing w:lineRule="auto" w:line="288" w:before="240" w:after="283"/>
        <w:jc w:val="left"/>
        <w:rPr/>
      </w:pPr>
      <w:r>
        <w:rPr>
          <w:rFonts w:ascii="Times New Roman;sans-serif" w:hAnsi="Times New Roman;sans-serif"/>
          <w:b w:val="false"/>
          <w:i/>
          <w:color w:val="000000"/>
          <w:sz w:val="20"/>
        </w:rPr>
        <w:t>Revenue Recognition</w:t>
      </w:r>
      <w:r>
        <w:rPr>
          <w:color w:val="000000"/>
        </w:rPr>
        <w:t xml:space="preserve"> – </w:t>
      </w:r>
      <w:r>
        <w:rPr>
          <w:rFonts w:ascii="Times New Roman;sans-serif" w:hAnsi="Times New Roman;sans-serif"/>
          <w:b w:val="false"/>
          <w:color w:val="000000"/>
          <w:sz w:val="20"/>
        </w:rPr>
        <w:t xml:space="preserve">Revenue is recognized when control of promised goods or services is transferred to customers in an amount that reflects the consideration to which the Company expects to be entitled in exchange for those goods or services. The majority of our sales agreements contain performance obligations satisfied at a point-in-time when control of promised goods or services have transferred to our customers. Sales recognized over time are generally accounted for using an input measure to determine progress completed as of the end of the period.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Refunds, returns, warranties and other related obligations are not material to any of our segments and we do not incur material incremental costs to secure customer contracts.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customers’ purchase orders. Given the relatively short turnaround times, performance obligations are generally satisfied at a point-in-time upon the completion of sterilization or irradiation processing and approval by our quality assurance process. Sterigenics segment revenues are included in service revenues in our Consolidated Statements of Operations and Comprehensive Income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Nordion segment is a global provider of Co-60 and gamma irradiation systems, which are key components to the gamma sterilization process. Revenue from the sale of Co-60 sources is recognized as product revenue at a point-in-time upon satisfaction of our performance obligations for delivery of existing sources. Revenue from the sale of gamma irradiation systems is recognized as product revenue over time using an input measure of costs incurred and is immaterial to the overall business. Revenues from Co-60 installation and disposal and gamma irradiation systems refurbishments and installations are recognized as service revenue.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 Nelson Labs segment revenues are included in service revenues in our Consolidated Statements of Operations and Comprehensive Income (Loss).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capitalize sales commissions because substantially all of our sales commission programs have an amortization period of one year or less. Furthermore, costs to fulfill a contract are not material.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Provisions for discounts, rebates to customers, and other adjustments are provided for as reductions in net revenues in the period the related sale is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 </w:t>
      </w:r>
    </w:p>
    <w:p>
      <w:pPr>
        <w:pStyle w:val="TextBody"/>
        <w:bidi w:val="0"/>
        <w:spacing w:lineRule="auto" w:line="288" w:before="240" w:after="283"/>
        <w:jc w:val="left"/>
        <w:rPr/>
      </w:pPr>
      <w:r>
        <w:rPr>
          <w:rFonts w:ascii="Times New Roman;sans-serif" w:hAnsi="Times New Roman;sans-serif"/>
          <w:b w:val="false"/>
          <w:i/>
          <w:color w:val="000000"/>
          <w:sz w:val="20"/>
        </w:rPr>
        <w:t>Share-Based Compensation</w:t>
      </w:r>
      <w:r>
        <w:rPr>
          <w:color w:val="000000"/>
        </w:rPr>
        <w:t xml:space="preserve"> – </w:t>
      </w:r>
      <w:r>
        <w:rPr>
          <w:rFonts w:ascii="Times New Roman;sans-serif" w:hAnsi="Times New Roman;sans-serif"/>
          <w:b w:val="false"/>
          <w:color w:val="000000"/>
          <w:sz w:val="20"/>
        </w:rPr>
        <w:t>Equity-based awards issued to employees under the Sotera Health Company 2020 Omnibus Incentive Plan (“2020 Plan”) include restricted stock units (“RSUs”) and stock options that vest over time. Prior to our initial public offering (the “IPO” as described in Note 15, “Stockholders' Equity”), equity-based awards were issued to employees and non-employee directors in the form of partnership interests in our predecessor, Sotera Health Topco Parent, L.P. (“Topco Parent”), which vested based on either time (“time vesting awards”) or the achievement of certain performance and market conditions (“performance awards” and, together with the time vesting awards, the “pre-IPO awards”). In connection with the IPO, Topco Parent made in-kind distributions of restricted shares of our common stock to holders of pre-IPO awards as described in Note 15, “Stockholders' Equity”. The restricted shares of our common stock distributed in respect of pre-IPO time vesting awards vest through June 2025; expense related to these unvested awards will be recognized over the remaining vesting period. Expense attributable to the performance awards was recognized in its entirety in the year ended December 31, 2020 as the related performance conditions were considered probable of achievement and the implied service condition was met. Share-based compensation expense is recognized in the Consolidated Statements of Operations and Comprehensive Income (Loss), primarily within “Selling, general and administrative expenses” at the grant date fair value over the requisite service period (one to four years for awards granted under the 2020 Plan and five years for time vesting pre-IPO awards on a straight-line basis). Fair value of the pre-IPO awards was estimated on the date of grant using a simulation-based option valuation model incorporating multiple and variable assumptions over time, including assumptions such as employee forfeitures, unit price volatility and dividend assumptions. We use the Black-Scholes option pricing model to measure the grant date fair value of stock options awarded under the 2020 Plan using certain valuation assumptions. Share-based compensation expense for all awards recognizes forfeitures as they occur.</w:t>
      </w:r>
    </w:p>
    <w:p>
      <w:pPr>
        <w:pStyle w:val="TextBody"/>
        <w:bidi w:val="0"/>
        <w:spacing w:lineRule="auto" w:line="288" w:before="240" w:after="283"/>
        <w:jc w:val="left"/>
        <w:rPr/>
      </w:pPr>
      <w:r>
        <w:rPr>
          <w:rFonts w:ascii="Times New Roman;sans-serif" w:hAnsi="Times New Roman;sans-serif"/>
          <w:b w:val="false"/>
          <w:i/>
          <w:color w:val="000000"/>
          <w:sz w:val="20"/>
        </w:rPr>
        <w:t xml:space="preserve">Earnings (Loss) Per Share </w:t>
      </w:r>
      <w:r>
        <w:rPr>
          <w:color w:val="000000"/>
        </w:rPr>
        <w:t xml:space="preserve">– </w:t>
      </w:r>
      <w:r>
        <w:rPr>
          <w:rFonts w:ascii="Times New Roman;sans-serif" w:hAnsi="Times New Roman;sans-serif"/>
          <w:b w:val="false"/>
          <w:color w:val="000000"/>
          <w:sz w:val="20"/>
        </w:rPr>
        <w:t xml:space="preserve">In periods in which the Company has net income, earnings per share information is determined using the two-class method, which includes the weighted-average number of common shares outstanding during the period and securities that participate in dividends (“participating securities”). Our unvested restricted common stock distributed in respect of pre-IPO Class B-1 and B-2 awards have the right to receive non-forfeitable dividends or dividend equivalents if the Company declares dividends on its common stock. Under the two-class method, earnings are allocated to both common stock shares and participating securities based on their respective weighted-average shares outstanding for the period. Diluted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common share incorporates the dilutive effect of common stock equivalents on an average basis during the period, if dilutive, in which case the dilutive effect of such securities is calculated using the more dilutive of (a) the two-class method, or (b) treasury stock method, as applicable, to the potentially dilutive instruments. Unvested restricted common stock is not included in the weighted average common shares outstanding figure within earnings per share until the period in which the vesting condition is satisfied. In periods in which the Company has a net loss, the two-class method is not applicable because the pre-IPO Class B-1 and B-2 restricted stock awards do not participate in losses. Refer to Note 17, “Earnings (Loss) Per Share” for additional information.</w:t>
      </w:r>
    </w:p>
    <w:p>
      <w:pPr>
        <w:pStyle w:val="TextBody"/>
        <w:bidi w:val="0"/>
        <w:spacing w:lineRule="auto" w:line="288" w:before="240" w:after="283"/>
        <w:jc w:val="left"/>
        <w:rPr/>
      </w:pPr>
      <w:r>
        <w:rPr>
          <w:rFonts w:ascii="Times New Roman;sans-serif" w:hAnsi="Times New Roman;sans-serif"/>
          <w:b w:val="false"/>
          <w:i/>
          <w:color w:val="000000"/>
          <w:sz w:val="20"/>
          <w:shd w:fill="FFFFFF" w:val="clear"/>
        </w:rPr>
        <w:t>Treasury Stock</w:t>
      </w:r>
      <w:r>
        <w:rPr>
          <w:color w:val="000000"/>
          <w:shd w:fill="FFFFFF" w:val="clear"/>
        </w:rPr>
        <w:t xml:space="preserve"> – </w:t>
      </w:r>
      <w:r>
        <w:rPr>
          <w:rFonts w:ascii="Times New Roman;sans-serif" w:hAnsi="Times New Roman;sans-serif"/>
          <w:b w:val="false"/>
          <w:color w:val="000000"/>
          <w:sz w:val="20"/>
          <w:shd w:fill="FFFFFF" w:val="clear"/>
        </w:rPr>
        <w:t xml:space="preserve">The Company records repurchases of its own common stock at cost. Repurchased common stock is presented as a reduction of equity in the </w:t>
      </w:r>
      <w:r>
        <w:rPr>
          <w:rFonts w:ascii="Times New Roman;sans-serif" w:hAnsi="Times New Roman;sans-serif"/>
          <w:b w:val="false"/>
          <w:color w:val="000000"/>
          <w:sz w:val="20"/>
        </w:rPr>
        <w:t>Consolidated Balance Sheets</w:t>
      </w:r>
      <w:r>
        <w:rPr>
          <w:rFonts w:ascii="Times New Roman;sans-serif" w:hAnsi="Times New Roman;sans-serif"/>
          <w:b w:val="false"/>
          <w:color w:val="000000"/>
          <w:sz w:val="20"/>
          <w:shd w:fill="FFFFFF" w:val="clear"/>
        </w:rPr>
        <w:t>. The difference between the repurchase and reissue price of the Company’s own stock is added to or deducted from additional paid-in capital.</w:t>
      </w:r>
      <w:r>
        <w:rPr>
          <w:color w:val="000000"/>
        </w:rPr>
        <w:t xml:space="preserve"> </w:t>
      </w:r>
      <w:r>
        <w:rPr>
          <w:rFonts w:ascii="Times New Roman;sans-serif" w:hAnsi="Times New Roman;sans-serif"/>
          <w:b w:val="false"/>
          <w:color w:val="000000"/>
          <w:sz w:val="20"/>
        </w:rPr>
        <w:t>The cost of Treasury Stock reissued is calculated using a weighted average cost method.</w:t>
      </w:r>
    </w:p>
    <w:p>
      <w:pPr>
        <w:pStyle w:val="TextBody"/>
        <w:bidi w:val="0"/>
        <w:spacing w:lineRule="auto" w:line="288" w:before="240" w:after="283"/>
        <w:jc w:val="left"/>
        <w:rPr/>
      </w:pPr>
      <w:r>
        <w:rPr>
          <w:rFonts w:ascii="Times New Roman;sans-serif" w:hAnsi="Times New Roman;sans-serif"/>
          <w:b w:val="false"/>
          <w:i/>
          <w:color w:val="000000"/>
          <w:sz w:val="20"/>
        </w:rPr>
        <w:t>Commitments and Contingencies</w:t>
      </w:r>
      <w:r>
        <w:rPr>
          <w:color w:val="000000"/>
        </w:rPr>
        <w:t xml:space="preserve"> – </w:t>
      </w:r>
      <w:r>
        <w:rPr>
          <w:rFonts w:ascii="Times New Roman;sans-serif" w:hAnsi="Times New Roman;sans-serif"/>
          <w:b w:val="false"/>
          <w:color w:val="000000"/>
          <w:sz w:val="20"/>
        </w:rPr>
        <w:t>Certain conditions may exist as of the date of the consolidated financial statements which may result in a loss to the Company but will only be resolved when one or more future events occur or fail to occur. Such liabilities for loss contingencies arising from claims, assessments, litigation, fines, penalties, settlement agreements, and other sources, are recorded when management assesses that it is probable that a future liability has been incurred and the amount can be reasonably estimated. Recoveries of costs from third parties, which management assesses as being probable of realization, are recorded to the extent related contingent liabilities are accrued. Legal costs incurred in connection with matters relating to contingencies are expensed in the period incurred. We record gain contingencies when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2.Recent Accounting Standards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Adoption of Accounting Standard Updates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Effective January 1, 2023, we adopted Accounting Standards Update (“ASU”) ASU 2021-08-Business Combinations (Topic 805): Accounting for Contract Assets and Contract Liabilities from Contracts with Customers (“ASU 2021-08”). The amendments in ASU 2021-08 require that an acquiring entity recognize and measure contract assets and contract liabilities acquired in a business combination in accordance with Accounting Standards Codification (“ASC”) Topic 606, Revenue from Contracts with Customers (“ASC Topic 606”). At the acquisition date, an acquirer should account for the related revenue contracts in accordance with ASC Topic 606 as if it had originated the contracts. The adoption of this standard did not have a material impact on our consolidated financial statements and disclosures.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ASUs Issued But Not Yet Adopted</w:t>
      </w:r>
    </w:p>
    <w:p>
      <w:pPr>
        <w:pStyle w:val="TextBody"/>
        <w:bidi w:val="0"/>
        <w:spacing w:lineRule="auto" w:line="288" w:before="240" w:after="283"/>
        <w:jc w:val="left"/>
        <w:rPr/>
      </w:pPr>
      <w:r>
        <w:rPr>
          <w:rFonts w:ascii="Times New Roman;sans-serif" w:hAnsi="Times New Roman;sans-serif"/>
          <w:b w:val="false"/>
          <w:color w:val="000000"/>
          <w:sz w:val="20"/>
        </w:rPr>
        <w:t>In November 2023, the Financial Accounting Standards Board (“FASB”) issued ASU 2023-07-Segment Reporting (Topic 280): Improvements to Reportable Segment Disclosures. The amendments in ASU 2023-07 require an entity to provide enhanced disclosures about significant segment expenses. The amendments in this ASU are effective for fiscal years beginning after December 15, 2023, and interim periods within fiscal years beginning after December 15, 2024. Early adoption is permitted. The Company is in the process of evaluating the impact of this standard on</w:t>
      </w:r>
      <w:r>
        <w:rPr>
          <w:color w:val="000000"/>
          <w:shd w:fill="FFFFFF" w:val="clear"/>
        </w:rPr>
        <w:t xml:space="preserve"> </w:t>
      </w:r>
      <w:r>
        <w:rPr>
          <w:rFonts w:ascii="Times New Roman;sans-serif" w:hAnsi="Times New Roman;sans-serif"/>
          <w:b w:val="false"/>
          <w:color w:val="000000"/>
          <w:sz w:val="20"/>
          <w:shd w:fill="FFFFFF" w:val="clear"/>
        </w:rPr>
        <w:t>our consolidated financial statements and disclosures</w:t>
      </w:r>
      <w:r>
        <w:rPr>
          <w:rFonts w:ascii="Times New Roman;sans-serif" w:hAnsi="Times New Roman;sans-serif"/>
          <w:b w:val="false"/>
          <w:color w:val="000000"/>
          <w:sz w:val="20"/>
        </w:rPr>
        <w:t>.</w:t>
      </w:r>
    </w:p>
    <w:p>
      <w:pPr>
        <w:pStyle w:val="TextBody"/>
        <w:bidi w:val="0"/>
        <w:spacing w:lineRule="auto" w:line="288" w:before="240" w:after="283"/>
        <w:jc w:val="left"/>
        <w:rPr/>
      </w:pPr>
      <w:r>
        <w:rPr>
          <w:rFonts w:ascii="Times New Roman;sans-serif" w:hAnsi="Times New Roman;sans-serif"/>
          <w:b w:val="false"/>
          <w:color w:val="000000"/>
          <w:sz w:val="20"/>
        </w:rPr>
        <w:t>In December 2023, the FASB issued ASU 2023-09-Income Taxes (Topic 740): Improvements to Income Tax Disclosures. The amendments in this ASU require entities to disclose, on an annual basis, specific categories in the reconciliation of the provision (benefit) for income taxes to the statutory rate and provide additional information for reconciling items that meet a quantitative threshold. Additionally, the update requires entities to disclose a disaggregation of taxes paid by category (federal, state and foreign taxes) as well as individual jurisdictions. For public business entities, the amendments in this ASU are effective for annual periods beginning after December 15, 2024. The Company is in the process of evaluating the impact of this standard on</w:t>
      </w:r>
      <w:r>
        <w:rPr>
          <w:color w:val="000000"/>
          <w:shd w:fill="FFFFFF" w:val="clear"/>
        </w:rPr>
        <w:t xml:space="preserve"> </w:t>
      </w:r>
      <w:r>
        <w:rPr>
          <w:rFonts w:ascii="Times New Roman;sans-serif" w:hAnsi="Times New Roman;sans-serif"/>
          <w:b w:val="false"/>
          <w:color w:val="000000"/>
          <w:sz w:val="20"/>
          <w:shd w:fill="FFFFFF" w:val="clear"/>
        </w:rPr>
        <w:t>our consolidated financial statements and disclosures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3.Revenue Recognition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disaggregated net revenues from contracts with external customers by timing of revenue and by segment for the years ended December 31, 2023, 2022 and 2021:</w:t>
      </w:r>
    </w:p>
    <w:tbl>
      <w:tblPr>
        <w:tblW w:w="7019" w:type="dxa"/>
        <w:jc w:val="left"/>
        <w:tblInd w:w="0" w:type="dxa"/>
        <w:tblLayout w:type="fixed"/>
        <w:tblCellMar>
          <w:top w:w="28" w:type="dxa"/>
          <w:left w:w="28" w:type="dxa"/>
          <w:bottom w:w="28" w:type="dxa"/>
          <w:right w:w="28" w:type="dxa"/>
        </w:tblCellMar>
      </w:tblPr>
      <w:tblGrid>
        <w:gridCol w:w="435"/>
        <w:gridCol w:w="380"/>
        <w:gridCol w:w="384"/>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99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820,877 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667,130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160,459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221,699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1,049,288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019" w:type="dxa"/>
        <w:jc w:val="left"/>
        <w:tblInd w:w="0" w:type="dxa"/>
        <w:tblLayout w:type="fixed"/>
        <w:tblCellMar>
          <w:top w:w="28" w:type="dxa"/>
          <w:left w:w="28" w:type="dxa"/>
          <w:bottom w:w="28" w:type="dxa"/>
          <w:right w:w="28" w:type="dxa"/>
        </w:tblCellMar>
      </w:tblPr>
      <w:tblGrid>
        <w:gridCol w:w="435"/>
        <w:gridCol w:w="380"/>
        <w:gridCol w:w="384"/>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99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626,646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153,639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223,402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1,003,687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69" w:type="dxa"/>
        <w:jc w:val="left"/>
        <w:tblInd w:w="0" w:type="dxa"/>
        <w:tblLayout w:type="fixed"/>
        <w:tblCellMar>
          <w:top w:w="28" w:type="dxa"/>
          <w:left w:w="28" w:type="dxa"/>
          <w:bottom w:w="28" w:type="dxa"/>
          <w:right w:w="28" w:type="dxa"/>
        </w:tblCellMar>
      </w:tblPr>
      <w:tblGrid>
        <w:gridCol w:w="435"/>
        <w:gridCol w:w="380"/>
        <w:gridCol w:w="384"/>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Sterigenics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Nordion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Nelson Labs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Over time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571,829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140,507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219,142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931,478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we receive consideration from a customer prior to transferring goods or services under the terms of a sales contract, we record deferred revenue, which represents a contract liability. Deferred revenue totaled $13.5 million and $12.1 million at December 31, 2023 and 2022, respectively. We recognize deferred revenue after we have transferred control of the goods or services to the customer and all revenue recognition criteria are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4.Acquisitions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 of Regulatory Compliance Associates Inc.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4, 2021, we acquired Regulatory Compliance Associates Inc. (“RCA”) for approximately $30.6 million, net of $0.6 million of cash acquired. RCA is an industry leader in providing life sciences consulting focused on quality, regulatory, and technical advisory services for the pharmaceutical, medical device and combination device industries. Headquartered in Pleasant Prairie, Wisconsin, RCA expands and further strengthens our technical consulting and expert advisory capabilities within our Nelson Labs segment.</w:t>
      </w:r>
    </w:p>
    <w:p>
      <w:pPr>
        <w:pStyle w:val="TextBody"/>
        <w:bidi w:val="0"/>
        <w:spacing w:lineRule="auto" w:line="288" w:before="240" w:after="283"/>
        <w:jc w:val="left"/>
        <w:rPr/>
      </w:pPr>
      <w:r>
        <w:rPr>
          <w:rFonts w:ascii="Times New Roman;sans-serif" w:hAnsi="Times New Roman;sans-serif"/>
          <w:b w:val="false"/>
          <w:color w:val="000000"/>
          <w:sz w:val="20"/>
        </w:rPr>
        <w:t>The purchase price of RCA was allocated to the underlying assets acquired and liabilities assumed based upon management's estimated fair values at the date of acquisition. Approximately</w:t>
      </w:r>
      <w:r>
        <w:rPr>
          <w:color w:val="000000"/>
          <w:shd w:fill="FFFFFF" w:val="clear"/>
        </w:rPr>
        <w:t xml:space="preserve"> </w:t>
      </w:r>
      <w:r>
        <w:rPr>
          <w:rFonts w:ascii="Times New Roman;sans-serif" w:hAnsi="Times New Roman;sans-serif"/>
          <w:b w:val="false"/>
          <w:color w:val="000000"/>
          <w:sz w:val="20"/>
          <w:shd w:fill="FFFFFF" w:val="clear"/>
        </w:rPr>
        <w:t xml:space="preserve">$25.3 million </w:t>
      </w:r>
      <w:r>
        <w:rPr>
          <w:rFonts w:ascii="Times New Roman;sans-serif" w:hAnsi="Times New Roman;sans-serif"/>
          <w:b w:val="false"/>
          <w:color w:val="000000"/>
          <w:sz w:val="20"/>
        </w:rPr>
        <w:t>of goodwill was recorded related to the RCA acquisition, representing the excess of the purchase price over the estimated fair values of all the assets acquired and liabilities assumed. We also recorded $6.4 million of finite-lived intangible assets, primarily related to customer relationships. We funded this acquisition using available cash. The acquisition price and the results of operations for this acquired entity are not material in relation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5.Inventories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w:t>
      </w:r>
    </w:p>
    <w:tbl>
      <w:tblPr>
        <w:tblW w:w="5993" w:type="dxa"/>
        <w:jc w:val="left"/>
        <w:tblInd w:w="0" w:type="dxa"/>
        <w:tblLayout w:type="fixed"/>
        <w:tblCellMar>
          <w:top w:w="28" w:type="dxa"/>
          <w:left w:w="28" w:type="dxa"/>
          <w:bottom w:w="28" w:type="dxa"/>
          <w:right w:w="28" w:type="dxa"/>
        </w:tblCellMar>
      </w:tblPr>
      <w:tblGrid>
        <w:gridCol w:w="1277"/>
        <w:gridCol w:w="1122"/>
        <w:gridCol w:w="1125"/>
        <w:gridCol w:w="211"/>
        <w:gridCol w:w="736"/>
        <w:gridCol w:w="109"/>
        <w:gridCol w:w="109"/>
        <w:gridCol w:w="109"/>
        <w:gridCol w:w="109"/>
        <w:gridCol w:w="211"/>
        <w:gridCol w:w="721"/>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supplies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43,411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48,552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excess and obsolete inventory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48,316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6.Prepaid Expenses and Other Current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w:t>
      </w:r>
    </w:p>
    <w:tbl>
      <w:tblPr>
        <w:tblW w:w="6099" w:type="dxa"/>
        <w:jc w:val="left"/>
        <w:tblInd w:w="0" w:type="dxa"/>
        <w:tblLayout w:type="fixed"/>
        <w:tblCellMar>
          <w:top w:w="28" w:type="dxa"/>
          <w:left w:w="28" w:type="dxa"/>
          <w:bottom w:w="28" w:type="dxa"/>
          <w:right w:w="28" w:type="dxa"/>
        </w:tblCellMar>
      </w:tblPr>
      <w:tblGrid>
        <w:gridCol w:w="1316"/>
        <w:gridCol w:w="1155"/>
        <w:gridCol w:w="1159"/>
        <w:gridCol w:w="211"/>
        <w:gridCol w:w="736"/>
        <w:gridCol w:w="109"/>
        <w:gridCol w:w="109"/>
        <w:gridCol w:w="109"/>
        <w:gridCol w:w="109"/>
        <w:gridCol w:w="211"/>
        <w:gridCol w:w="721"/>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business insurance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17,785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and indemnification receivables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deposits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maintenance contracts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tax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software licensing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supplies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53,846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7.Property, Plant and Equipment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consisted of the following:</w:t>
      </w:r>
    </w:p>
    <w:tbl>
      <w:tblPr>
        <w:tblW w:w="6084" w:type="dxa"/>
        <w:jc w:val="left"/>
        <w:tblInd w:w="0" w:type="dxa"/>
        <w:tblLayout w:type="fixed"/>
        <w:tblCellMar>
          <w:top w:w="28" w:type="dxa"/>
          <w:left w:w="28" w:type="dxa"/>
          <w:bottom w:w="28" w:type="dxa"/>
          <w:right w:w="28" w:type="dxa"/>
        </w:tblCellMar>
      </w:tblPr>
      <w:tblGrid>
        <w:gridCol w:w="1234"/>
        <w:gridCol w:w="1083"/>
        <w:gridCol w:w="1088"/>
        <w:gridCol w:w="211"/>
        <w:gridCol w:w="841"/>
        <w:gridCol w:w="109"/>
        <w:gridCol w:w="109"/>
        <w:gridCol w:w="109"/>
        <w:gridCol w:w="109"/>
        <w:gridCol w:w="211"/>
        <w:gridCol w:w="826"/>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buildings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345,309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82,582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equipment, including Co-60</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 and software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51,437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247,019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1,451,691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1,213,423 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(504,777)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946,914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774,527 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pPr>
      <w:r>
        <w:rPr>
          <w:rFonts w:ascii="Times New Roman;sans-serif" w:hAnsi="Times New Roman;sans-serif"/>
          <w:b w:val="false"/>
          <w:color w:val="000000"/>
          <w:sz w:val="20"/>
        </w:rPr>
        <w:t>Depreciation and amortization expense for property, plant, and equipment, including property under finance leases, was $76.6 million, $64.3 million and $64.2 million for the years ended December 31, 2023, 2022 and 2021, respectively. Capitalized interest totaled</w:t>
      </w:r>
      <w:r>
        <w:rPr>
          <w:color w:val="000000"/>
          <w:shd w:fill="FFFFFF" w:val="clear"/>
        </w:rPr>
        <w:t xml:space="preserve"> </w:t>
      </w:r>
      <w:r>
        <w:rPr>
          <w:rFonts w:ascii="Times New Roman;sans-serif" w:hAnsi="Times New Roman;sans-serif"/>
          <w:b w:val="false"/>
          <w:color w:val="000000"/>
          <w:sz w:val="20"/>
          <w:shd w:fill="FFFFFF" w:val="clear"/>
        </w:rPr>
        <w:t>$12.2 million</w:t>
      </w:r>
      <w:r>
        <w:rPr>
          <w:rFonts w:ascii="Times New Roman;sans-serif" w:hAnsi="Times New Roman;sans-serif"/>
          <w:b w:val="false"/>
          <w:color w:val="000000"/>
          <w:sz w:val="20"/>
        </w:rPr>
        <w:t>, $3.7 million and $1.1 million for the years ended December 31, 2023, 2022 and 2021, respectively, and was recorded as a reduction in “Interest expense, net” in the Consolidated Statements of Operations and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8.Goodwill and Other Intangible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to goodwill during the years ended December 31, 2023 and 2022 were as follows:</w:t>
      </w:r>
    </w:p>
    <w:tbl>
      <w:tblPr>
        <w:tblW w:w="10004" w:type="dxa"/>
        <w:jc w:val="left"/>
        <w:tblInd w:w="0" w:type="dxa"/>
        <w:tblLayout w:type="fixed"/>
        <w:tblCellMar>
          <w:top w:w="28" w:type="dxa"/>
          <w:left w:w="28" w:type="dxa"/>
          <w:bottom w:w="28" w:type="dxa"/>
          <w:right w:w="28" w:type="dxa"/>
        </w:tblCellMar>
      </w:tblPr>
      <w:tblGrid>
        <w:gridCol w:w="1516"/>
        <w:gridCol w:w="1332"/>
        <w:gridCol w:w="1336"/>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991"/>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Sterigenics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Nordion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Nelson Labs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January 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1,120,320 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RCA acquisition measurement period adjustments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due to foreign currency exchange rates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December 31, 2022</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due to foreign currency exchange rates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Goodwill at December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659,888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276,929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174,373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1,111,190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intangible assets consisted of the following: </w:t>
      </w:r>
    </w:p>
    <w:tbl>
      <w:tblPr>
        <w:tblW w:w="6173" w:type="dxa"/>
        <w:jc w:val="left"/>
        <w:tblInd w:w="0" w:type="dxa"/>
        <w:tblLayout w:type="fixed"/>
        <w:tblCellMar>
          <w:top w:w="28" w:type="dxa"/>
          <w:left w:w="28" w:type="dxa"/>
          <w:bottom w:w="28" w:type="dxa"/>
          <w:right w:w="28" w:type="dxa"/>
        </w:tblCellMar>
      </w:tblPr>
      <w:tblGrid>
        <w:gridCol w:w="1207"/>
        <w:gridCol w:w="1060"/>
        <w:gridCol w:w="1062"/>
        <w:gridCol w:w="211"/>
        <w:gridCol w:w="991"/>
        <w:gridCol w:w="109"/>
        <w:gridCol w:w="109"/>
        <w:gridCol w:w="109"/>
        <w:gridCol w:w="109"/>
        <w:gridCol w:w="211"/>
        <w:gridCol w:w="841"/>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(thousands of U.S. dollars)</w:t>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Gross Carrying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Amortization</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 2023</w:t>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Finite-lived intangible 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657,673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485,188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technology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84,918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56,846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Land-use rights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1,855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Sealed source and supply agreements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208,919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107,561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2,905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finite-lived intangible assets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967,350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655,562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Indefinite-lived intangible assets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Regulatory licenses and other</w:t>
            </w:r>
            <w:r>
              <w:rPr>
                <w:rFonts w:ascii="Times New Roman;sans-serif" w:hAnsi="Times New Roman;sans-serif"/>
                <w:b w:val="false"/>
                <w:color w:val="000000"/>
                <w:sz w:val="13"/>
              </w:rPr>
              <w:t>(a)</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78,684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 trademarks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25,846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indefinite-lived intangible assets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104,530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1,071,880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655,562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bl>
      <w:tblPr>
        <w:tblW w:w="6143" w:type="dxa"/>
        <w:jc w:val="left"/>
        <w:tblInd w:w="0" w:type="dxa"/>
        <w:tblLayout w:type="fixed"/>
        <w:tblCellMar>
          <w:top w:w="28" w:type="dxa"/>
          <w:left w:w="28" w:type="dxa"/>
          <w:bottom w:w="28" w:type="dxa"/>
          <w:right w:w="28" w:type="dxa"/>
        </w:tblCellMar>
      </w:tblPr>
      <w:tblGrid>
        <w:gridCol w:w="1204"/>
        <w:gridCol w:w="1060"/>
        <w:gridCol w:w="1065"/>
        <w:gridCol w:w="211"/>
        <w:gridCol w:w="976"/>
        <w:gridCol w:w="109"/>
        <w:gridCol w:w="109"/>
        <w:gridCol w:w="109"/>
        <w:gridCol w:w="109"/>
        <w:gridCol w:w="211"/>
        <w:gridCol w:w="82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 2022</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Gross Carrying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Amortization</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Finite-lived intangible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technology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Land-use rights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Sealed source and supply agreements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finite-lived intangible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Indefinite-lived intangible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Regulatory licenses and other</w:t>
            </w:r>
            <w:r>
              <w:rPr>
                <w:rFonts w:ascii="Times New Roman;sans-serif" w:hAnsi="Times New Roman;sans-serif"/>
                <w:b w:val="false"/>
                <w:color w:val="000000"/>
                <w:sz w:val="13"/>
              </w:rPr>
              <w:t>(a)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 trademarks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indefinite-lived intangible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1,061,891 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left"/>
        <w:rPr/>
      </w:pPr>
      <w:r>
        <w:rPr>
          <w:rFonts w:ascii="Times New Roman;sans-serif" w:hAnsi="Times New Roman;sans-serif"/>
          <w:b w:val="false"/>
          <w:color w:val="000000"/>
          <w:sz w:val="13"/>
        </w:rPr>
        <w:t>(a)</w:t>
      </w:r>
      <w:r>
        <w:rPr>
          <w:rFonts w:ascii="Times New Roman;sans-serif" w:hAnsi="Times New Roman;sans-serif"/>
          <w:b w:val="false"/>
          <w:color w:val="000000"/>
          <w:sz w:val="20"/>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 license period as Nordion has demonstrated over its 75 years of history.</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include the impact of foreign currency translation. Fully amortized amounts are written off.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finite-lived intangible assets was $81.3 million, $81.6 million, and $86.8 million for the years ended December 31, 2023, 2022 and 2021, respectively. $63.8 million, $62.9 million, and $63.8 million was included in “Amortization of intangible assets” in the Consolidated Statements of Operations and Comprehensive Income (Loss) for the years ended December 31, 2023, 2022 and 2021, whereas the remainder was included in “Cost of revenues.”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aggregate amortization expense for finite-lived intangible assets for each of the next five years and thereafter is as follows:</w:t>
      </w:r>
    </w:p>
    <w:tbl>
      <w:tblPr>
        <w:tblW w:w="3201" w:type="dxa"/>
        <w:jc w:val="left"/>
        <w:tblInd w:w="0" w:type="dxa"/>
        <w:tblLayout w:type="fixed"/>
        <w:tblCellMar>
          <w:top w:w="28" w:type="dxa"/>
          <w:left w:w="28" w:type="dxa"/>
          <w:bottom w:w="28" w:type="dxa"/>
          <w:right w:w="28" w:type="dxa"/>
        </w:tblCellMar>
      </w:tblPr>
      <w:tblGrid>
        <w:gridCol w:w="723"/>
        <w:gridCol w:w="635"/>
        <w:gridCol w:w="637"/>
        <w:gridCol w:w="211"/>
        <w:gridCol w:w="84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80,187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42,735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22,514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21,438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20,890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124,024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311,788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The weighted-average remaining useful life of the finite-lived intangible assets was approximately </w:t>
      </w:r>
      <w:r>
        <w:rPr>
          <w:rFonts w:ascii="Times New Roman;sans-serif" w:hAnsi="Times New Roman;sans-serif"/>
          <w:b w:val="false"/>
          <w:color w:val="000000"/>
          <w:sz w:val="20"/>
          <w:shd w:fill="FFFFFF" w:val="clear"/>
        </w:rPr>
        <w:t>9.0 years</w:t>
      </w:r>
      <w:r>
        <w:rPr>
          <w:color w:val="000000"/>
        </w:rPr>
        <w:t xml:space="preserve"> </w:t>
      </w:r>
      <w:r>
        <w:rPr>
          <w:rFonts w:ascii="Times New Roman;sans-serif" w:hAnsi="Times New Roman;sans-serif"/>
          <w:b w:val="false"/>
          <w:color w:val="000000"/>
          <w:sz w:val="20"/>
        </w:rPr>
        <w:t>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9.Accrued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w:t>
      </w:r>
    </w:p>
    <w:tbl>
      <w:tblPr>
        <w:tblW w:w="6053" w:type="dxa"/>
        <w:jc w:val="left"/>
        <w:tblInd w:w="0" w:type="dxa"/>
        <w:tblLayout w:type="fixed"/>
        <w:tblCellMar>
          <w:top w:w="28" w:type="dxa"/>
          <w:left w:w="28" w:type="dxa"/>
          <w:bottom w:w="28" w:type="dxa"/>
          <w:right w:w="28" w:type="dxa"/>
        </w:tblCellMar>
      </w:tblPr>
      <w:tblGrid>
        <w:gridCol w:w="1223"/>
        <w:gridCol w:w="1074"/>
        <w:gridCol w:w="1077"/>
        <w:gridCol w:w="211"/>
        <w:gridCol w:w="841"/>
        <w:gridCol w:w="109"/>
        <w:gridCol w:w="109"/>
        <w:gridCol w:w="109"/>
        <w:gridCol w:w="109"/>
        <w:gridCol w:w="211"/>
        <w:gridCol w:w="826"/>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35,037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Georgia EO litigation settlement reserve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 EO litigation settlement reserve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legal reserves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26,681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utilities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accrual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122,471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10.Long-Term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w:t>
      </w:r>
    </w:p>
    <w:tbl>
      <w:tblPr>
        <w:tblW w:w="10205" w:type="dxa"/>
        <w:jc w:val="left"/>
        <w:tblInd w:w="0" w:type="dxa"/>
        <w:tblLayout w:type="fixed"/>
        <w:tblCellMar>
          <w:top w:w="28" w:type="dxa"/>
          <w:left w:w="28" w:type="dxa"/>
          <w:bottom w:w="28" w:type="dxa"/>
          <w:right w:w="28" w:type="dxa"/>
        </w:tblCellMar>
      </w:tblPr>
      <w:tblGrid>
        <w:gridCol w:w="717"/>
        <w:gridCol w:w="627"/>
        <w:gridCol w:w="629"/>
        <w:gridCol w:w="211"/>
        <w:gridCol w:w="991"/>
        <w:gridCol w:w="109"/>
        <w:gridCol w:w="109"/>
        <w:gridCol w:w="109"/>
        <w:gridCol w:w="109"/>
        <w:gridCol w:w="551"/>
        <w:gridCol w:w="1650"/>
        <w:gridCol w:w="286"/>
        <w:gridCol w:w="109"/>
        <w:gridCol w:w="109"/>
        <w:gridCol w:w="109"/>
        <w:gridCol w:w="396"/>
        <w:gridCol w:w="1493"/>
        <w:gridCol w:w="203"/>
        <w:gridCol w:w="109"/>
        <w:gridCol w:w="109"/>
        <w:gridCol w:w="109"/>
        <w:gridCol w:w="211"/>
        <w:gridCol w:w="991"/>
        <w:gridCol w:w="159"/>
      </w:tblGrid>
      <w:tr>
        <w:trPr/>
        <w:tc>
          <w:tcPr>
            <w:tcW w:w="71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 2023</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2026</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1,763,100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(1,606)</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(10,298)</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1,751,196</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due 2026</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497,500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(12,609)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477,275</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2,260,600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(9,222)</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(22,907)</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2,228,471</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4,797</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2,255,600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(9,146)</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(22,780)</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2,223,674</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57"/>
        <w:gridCol w:w="658"/>
        <w:gridCol w:w="660"/>
        <w:gridCol w:w="211"/>
        <w:gridCol w:w="976"/>
        <w:gridCol w:w="109"/>
        <w:gridCol w:w="109"/>
        <w:gridCol w:w="109"/>
        <w:gridCol w:w="109"/>
        <w:gridCol w:w="542"/>
        <w:gridCol w:w="1623"/>
        <w:gridCol w:w="281"/>
        <w:gridCol w:w="109"/>
        <w:gridCol w:w="109"/>
        <w:gridCol w:w="109"/>
        <w:gridCol w:w="390"/>
        <w:gridCol w:w="1471"/>
        <w:gridCol w:w="201"/>
        <w:gridCol w:w="109"/>
        <w:gridCol w:w="109"/>
        <w:gridCol w:w="109"/>
        <w:gridCol w:w="211"/>
        <w:gridCol w:w="976"/>
        <w:gridCol w:w="158"/>
      </w:tblGrid>
      <w:tr>
        <w:trPr/>
        <w:tc>
          <w:tcPr>
            <w:tcW w:w="75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 2022</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Unamortized 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2026</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(13,845)</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1,747,115 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(13,845)</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1,944,234 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197,119 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(13,845)</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1,747,115 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Debt Facilities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Secured Credit Facilities</w:t>
      </w:r>
    </w:p>
    <w:p>
      <w:pPr>
        <w:pStyle w:val="TextBody"/>
        <w:bidi w:val="0"/>
        <w:spacing w:lineRule="auto" w:line="288" w:before="120" w:after="283"/>
        <w:jc w:val="left"/>
        <w:rPr/>
      </w:pPr>
      <w:r>
        <w:rPr>
          <w:rFonts w:ascii="Times New Roman;sans-serif" w:hAnsi="Times New Roman;sans-serif"/>
          <w:b w:val="false"/>
          <w:color w:val="000000"/>
          <w:sz w:val="20"/>
        </w:rPr>
        <w:t xml:space="preserve">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“2019 Credit Agreement”). The Revolving Credit Facility and Term Loan mature on June 13, 2026, and December 13, 2026, respectively. After giving effect to the Revolving Credit Facility Amendment (defined below), the total borrowing capacity under the Revolving Credit Facility is $423.8 million. The Senior Secured Credit Facilities also provide SHH the right at any time and under certain conditions to request incremental term loans or incremental revolving credit commitments based on a formula defined in the Senior Secured Credit Facilities. As of December 31, 2023 and 2022, total borrowings under the Term Loan were $1,763.1 million. The weighted average interest rate on borrowings under the Term Loan for the year ended December 31, 2023 and 2022 was </w:t>
      </w:r>
      <w:r>
        <w:rPr>
          <w:rFonts w:ascii="Times New Roman;sans-serif" w:hAnsi="Times New Roman;sans-serif"/>
          <w:b w:val="false"/>
          <w:color w:val="000000"/>
          <w:sz w:val="20"/>
          <w:shd w:fill="FFFFFF" w:val="clear"/>
        </w:rPr>
        <w:t>7.95%</w:t>
      </w:r>
      <w:r>
        <w:rPr>
          <w:color w:val="000000"/>
        </w:rPr>
        <w:t xml:space="preserve"> </w:t>
      </w:r>
      <w:r>
        <w:rPr>
          <w:rFonts w:ascii="Times New Roman;sans-serif" w:hAnsi="Times New Roman;sans-serif"/>
          <w:b w:val="false"/>
          <w:color w:val="000000"/>
          <w:sz w:val="20"/>
        </w:rPr>
        <w:t>and 4.63%,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2023, we entered into the First Lien Credit Agreement (the “2023 Credit Agreement”), which provides for, among other things, a new Term Loan B facility (the “2023 Term Loan”) in an aggregate principal amount of $500.0 million and bears interest, at the Company’s option, at a variable rate per annum equal to either (x) the Term Secured Overnight Financing Rate (“Term SOFR”) (as defined in the 2023 Credit Agreement) plus an applicable margin of 3.75% or (y) an alternative base rate (“ABR”) plus an applicable margin of 2.75%. The 2023 Credit Agreement is secured on a first priority basis on substantially all of our assets and is guaranteed by certain of our subsidiaries. It is prepayable without premium or penalty at any time six months after the closing date. The principal balance shall be paid at 1% of the aggregate principal amount ($5.0 million) per year, with the balance due at the end of 2026. The Company used the proceeds of the 2023 Term Loan to fund a previously announced $408.0 million EO litigation settlement in Cook County, Illinois and pay down the $200.0 million of existing borrowings under the Revolving Credit Facility concurrent with the funding of the 2023 Term Loan on February 23, 2023. The Company utilized the remaining proceeds to further enhance liquidity and for general corporate purposes. The weighted average interest rate on borrowings under the 2023 Term Loan for the year ended December 31, 2023 was 8.90%.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On March 21, 2023, the Company entered into an Incremental Facility Amendment to the First Lien Credit Agreement (“Revolving Credit Facility Amendment”), which provides for an increase in the commitments under the existing Revolving Credit Facility in an aggregate principal amount of $76.3 million. In addition, certain of the lenders providing revolving credit commitments provided additional commitments for the issuance of the letters of credit under the Revolving Credit Facility in an aggregate principal amount of $165.1 million. The Revolving Credit Facility Amendment also provides for the replacement of the reference interest rate option for Revolving Loans from London Interbank Offered Rate (“LIBOR”) to Secured Overnight Financing Rate (“SOFR”) plus an applicable credit spread adjustment of 0.10% (subject to a minimum floor of 0%). After giving effect to the Revolving Credit Facility Amendment, the aggregate amount of the lenders’ revolving commitments is $423.8 million. The maturity date of the Revolving Credit Facility remains June 13, 2026. The Company borrowed $200.0 million under the Revolving Credit Facility during the fourth quarter of 2022, which was repaid in the first quarter of 2023. </w:t>
      </w:r>
      <w:r>
        <w:rPr>
          <w:rFonts w:ascii="Times New Roman;sans-serif" w:hAnsi="Times New Roman;sans-serif"/>
          <w:b w:val="false"/>
          <w:color w:val="000000"/>
          <w:sz w:val="20"/>
        </w:rPr>
        <w:t>As of December 31, 2023 and 2022 total borrowings outstanding on the Revolving Credit Facility were $0 and $200.0 million, respectively. The weighted average interest rate on outstanding borrowings under the Revolving Credit Facility for the years ended December 31, 2023 and 2022 was 7.47% and 6.21%,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Senior Secured Credit Facilities and 2023 Credit Agreement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Senior Secured Credit Facilities and 2023 Credit Agreement. The Senior Secured Credit Facilities and 2023 Credit Agreement also contain certain customary affirmative covenants and events of default, including upon a change of control. An event of default under the Senior Secured Credit Facilities and 2023 Credit Agreement would occur if the Company or certain of its subsidiaries received one or more enforceable judgments in an aggregate amount in excess of $100.0 million and the judgments were not stayed or remained undischarged for a period of sixty consecutive days or if, to enforce such judgments, a judgment creditor were to attach liens upon assets that are material to the business and operations of the Company and certain of its subsidiaries as a whole. As of December 31, 2023, we were in compliance with all of the Senior Secured Credit Facilities and 2023 Credit Agreement covenants.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of SHH’s obligations under the Senior Secured Credit Facilities and 2023 Credit Agreement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2023 Credit Agreement, and the guarantees of such obligations, are secured by substantially all assets of the borrower and guarantors, subject to permitted liens and other exceptions and exclusions, as outlined in the Senior Secured Credit Facilities and 2023 Credit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letters of credit are collateralized by encumbrances against the Revolving Credit Facility and the collateral pledged thereunder, or by cash placed on deposit with the issuing bank. As of December 31, 2023, the Company had $23.7 million of letters of credit issued against the Revolving Credit Facility, resulting in total availability under the Revolving Credit Facility of $400.1 million.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Term Loan Interest Rate Risk Management</w:t>
      </w:r>
    </w:p>
    <w:p>
      <w:pPr>
        <w:pStyle w:val="TextBody"/>
        <w:bidi w:val="0"/>
        <w:spacing w:lineRule="auto" w:line="288" w:before="240" w:after="283"/>
        <w:jc w:val="left"/>
        <w:rPr/>
      </w:pPr>
      <w:r>
        <w:rPr>
          <w:rFonts w:ascii="Times New Roman;sans-serif" w:hAnsi="Times New Roman;sans-serif"/>
          <w:b w:val="false"/>
          <w:color w:val="000000"/>
          <w:sz w:val="20"/>
        </w:rPr>
        <w:t>The Company utilizes interest rate derivatives to reduce the variability of cash flows in the interest payments associated with our variable rate debt due to changes in LIBOR (up to June 22, 2023) and Term SOFR. For additional information on the derivative instruments described above, refer to Note 21, “Financial Instruments and Financial Risk”, “</w:t>
      </w:r>
      <w:r>
        <w:rPr>
          <w:rFonts w:ascii="Times New Roman;sans-serif" w:hAnsi="Times New Roman;sans-serif"/>
          <w:b w:val="false"/>
          <w:i/>
          <w:color w:val="000000"/>
          <w:sz w:val="20"/>
        </w:rPr>
        <w:t>Derivative Instruments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LIBOR Transition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Publication of all U.S. LIBOR tenors ceased after June 30, 2023. To align with the market phaseout of LIBOR, SHH entered into an amendment to the Senior Secured Credit Facilities to replace the LIBOR-based reference interest rate option under the Term Loan with a reference interest rate option based on Term SOFR plus an applicable credit spread adjustment of 0.11448% (for one-month interest periods), 0.26161% (for three-month interest periods) and 0.42826% (for six-month interest periods) (in all cases, subject to a minimum floor of 0.50%).</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accordance with ASC 848 </w:t>
      </w:r>
      <w:r>
        <w:rPr>
          <w:rFonts w:ascii="Times New Roman;sans-serif" w:hAnsi="Times New Roman;sans-serif"/>
          <w:b w:val="false"/>
          <w:i/>
          <w:color w:val="000000"/>
          <w:sz w:val="20"/>
        </w:rPr>
        <w:t>Reference Rate Reform</w:t>
      </w:r>
      <w:r>
        <w:rPr>
          <w:rFonts w:ascii="Times New Roman;sans-serif" w:hAnsi="Times New Roman;sans-serif"/>
          <w:b w:val="false"/>
          <w:color w:val="000000"/>
          <w:sz w:val="20"/>
        </w:rPr>
        <w:t>, we have elected to apply certain optional expedients for contract modifications and hedging relationships for derivative instruments impacted by the benchmark interest rate transition. The optional expedients remove the requirement to remeasure contract modifications or dedesignate hedging relationships impacted by reference rate reform.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Aggregate Maturities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maturities of the Company’s long-term debt, excluding debt discounts, as of December 31, 2023, are as follows:</w:t>
      </w:r>
    </w:p>
    <w:tbl>
      <w:tblPr>
        <w:tblW w:w="3351" w:type="dxa"/>
        <w:jc w:val="left"/>
        <w:tblInd w:w="0" w:type="dxa"/>
        <w:tblLayout w:type="fixed"/>
        <w:tblCellMar>
          <w:top w:w="28" w:type="dxa"/>
          <w:left w:w="28" w:type="dxa"/>
          <w:bottom w:w="28" w:type="dxa"/>
          <w:right w:w="28" w:type="dxa"/>
        </w:tblCellMar>
      </w:tblPr>
      <w:tblGrid>
        <w:gridCol w:w="723"/>
        <w:gridCol w:w="635"/>
        <w:gridCol w:w="637"/>
        <w:gridCol w:w="211"/>
        <w:gridCol w:w="99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2,250,600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2,260,600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geographic sources of income (loss) before income taxes were as follows: </w:t>
      </w:r>
    </w:p>
    <w:tbl>
      <w:tblPr>
        <w:tblW w:w="7241" w:type="dxa"/>
        <w:jc w:val="left"/>
        <w:tblInd w:w="0" w:type="dxa"/>
        <w:tblLayout w:type="fixed"/>
        <w:tblCellMar>
          <w:top w:w="28" w:type="dxa"/>
          <w:left w:w="28" w:type="dxa"/>
          <w:bottom w:w="28" w:type="dxa"/>
          <w:right w:w="28" w:type="dxa"/>
        </w:tblCellMar>
      </w:tblPr>
      <w:tblGrid>
        <w:gridCol w:w="1071"/>
        <w:gridCol w:w="940"/>
        <w:gridCol w:w="943"/>
        <w:gridCol w:w="211"/>
        <w:gridCol w:w="901"/>
        <w:gridCol w:w="109"/>
        <w:gridCol w:w="109"/>
        <w:gridCol w:w="109"/>
        <w:gridCol w:w="109"/>
        <w:gridCol w:w="211"/>
        <w:gridCol w:w="901"/>
        <w:gridCol w:w="109"/>
        <w:gridCol w:w="109"/>
        <w:gridCol w:w="109"/>
        <w:gridCol w:w="109"/>
        <w:gridCol w:w="211"/>
        <w:gridCol w:w="82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ended December 31,</w:t>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(100,635)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206,662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106,027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(benefit) for income taxes consisted of the following: </w:t>
      </w:r>
    </w:p>
    <w:tbl>
      <w:tblPr>
        <w:tblW w:w="7451" w:type="dxa"/>
        <w:jc w:val="left"/>
        <w:tblInd w:w="0" w:type="dxa"/>
        <w:tblLayout w:type="fixed"/>
        <w:tblCellMar>
          <w:top w:w="28" w:type="dxa"/>
          <w:left w:w="28" w:type="dxa"/>
          <w:bottom w:w="28" w:type="dxa"/>
          <w:right w:w="28" w:type="dxa"/>
        </w:tblCellMar>
      </w:tblPr>
      <w:tblGrid>
        <w:gridCol w:w="1310"/>
        <w:gridCol w:w="1150"/>
        <w:gridCol w:w="1154"/>
        <w:gridCol w:w="211"/>
        <w:gridCol w:w="736"/>
        <w:gridCol w:w="109"/>
        <w:gridCol w:w="109"/>
        <w:gridCol w:w="109"/>
        <w:gridCol w:w="109"/>
        <w:gridCol w:w="211"/>
        <w:gridCol w:w="721"/>
        <w:gridCol w:w="109"/>
        <w:gridCol w:w="109"/>
        <w:gridCol w:w="109"/>
        <w:gridCol w:w="109"/>
        <w:gridCol w:w="211"/>
        <w:gridCol w:w="721"/>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ended December 31,</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U.S.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54,087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provision</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51,202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U.S.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U.S.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provision (benefit)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Total provision (benefit)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54,651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(benefit) for income taxes is reconciled with the U.S. federal statutory rate as follows: </w:t>
      </w:r>
    </w:p>
    <w:tbl>
      <w:tblPr>
        <w:tblW w:w="8307" w:type="dxa"/>
        <w:jc w:val="left"/>
        <w:tblInd w:w="0" w:type="dxa"/>
        <w:tblLayout w:type="fixed"/>
        <w:tblCellMar>
          <w:top w:w="28" w:type="dxa"/>
          <w:left w:w="28" w:type="dxa"/>
          <w:bottom w:w="28" w:type="dxa"/>
          <w:right w:w="28" w:type="dxa"/>
        </w:tblCellMar>
      </w:tblPr>
      <w:tblGrid>
        <w:gridCol w:w="1593"/>
        <w:gridCol w:w="1399"/>
        <w:gridCol w:w="1403"/>
        <w:gridCol w:w="211"/>
        <w:gridCol w:w="736"/>
        <w:gridCol w:w="109"/>
        <w:gridCol w:w="109"/>
        <w:gridCol w:w="109"/>
        <w:gridCol w:w="109"/>
        <w:gridCol w:w="211"/>
        <w:gridCol w:w="796"/>
        <w:gridCol w:w="109"/>
        <w:gridCol w:w="109"/>
        <w:gridCol w:w="109"/>
        <w:gridCol w:w="109"/>
        <w:gridCol w:w="211"/>
        <w:gridCol w:w="721"/>
        <w:gridCol w:w="154"/>
      </w:tblGrid>
      <w:tr>
        <w:trPr/>
        <w:tc>
          <w:tcPr>
            <w:tcW w:w="159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ended December 31,</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computed at 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22,265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taxes as a result of:</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19,494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intangible low-tax income (“GILTI”)</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share-based compensation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rate differential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rate changes on deferred tax balances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holiday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settlement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Total provision (benefit)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54,651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the tax effects of temporary differences and carryforwards that gave rise to significant portions of the deferred tax assets and liabilities are as follows: </w:t>
      </w:r>
    </w:p>
    <w:tbl>
      <w:tblPr>
        <w:tblW w:w="6474" w:type="dxa"/>
        <w:jc w:val="left"/>
        <w:tblInd w:w="0" w:type="dxa"/>
        <w:tblLayout w:type="fixed"/>
        <w:tblCellMar>
          <w:top w:w="28" w:type="dxa"/>
          <w:left w:w="28" w:type="dxa"/>
          <w:bottom w:w="28" w:type="dxa"/>
          <w:right w:w="28" w:type="dxa"/>
        </w:tblCellMar>
      </w:tblPr>
      <w:tblGrid>
        <w:gridCol w:w="1402"/>
        <w:gridCol w:w="1232"/>
        <w:gridCol w:w="1236"/>
        <w:gridCol w:w="211"/>
        <w:gridCol w:w="796"/>
        <w:gridCol w:w="109"/>
        <w:gridCol w:w="109"/>
        <w:gridCol w:w="109"/>
        <w:gridCol w:w="109"/>
        <w:gridCol w:w="211"/>
        <w:gridCol w:w="796"/>
        <w:gridCol w:w="154"/>
      </w:tblGrid>
      <w:tr>
        <w:trPr/>
        <w:tc>
          <w:tcPr>
            <w:tcW w:w="140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w:t>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71,552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capital loss carryforwards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and accruals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26,591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benefits and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Disallowed interest carryforward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129,320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before valuation allowance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271,347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(125,435)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Net deferred tax assets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145,912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(195,450)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(205,373)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Net deferred tax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(59,461)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net deferred tax assets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4,993</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net deferred tax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(64,454)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Noncurrent net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(59,461)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and 2022, the Company had available U.S. federal net operating loss carryforwards of $235.0 million and $0, respectively, which have no expiration date. At December 31, 2023 and 2022, the Company had available state net operating loss carryforwards of $298.8 million and $28.3 million, respectively, of which $103.6 million have no expiration date, and foreign net operating loss carryforwards of approximately $23.4 million and $29.3 million, respectively, the majority of which have no expiration date. At December 31, 2023 and 2022, a valuation allowance was established against foreign net operating loss carryforwards for $4.4 million and $3.0 million, respectively. At December 31, 2023 and 2022 we also established a valuation allowance against U.S. federal net operating loss carryforwards of $6.8 million, and $0, respectively, and state net operating loss carryforwards for $11.3 million and $1.9 million, respectively. Based on management’s assessment, it is not more likely than not that these deferred tax assets will be realized through future taxable income.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and 2022, no deferred tax liability has been recorded for repatriation of earnings for purposes of the Company’s consolidated financial statements as these earnings are deemed to be indefinitely reinvested. Determining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 </w:t>
      </w:r>
    </w:p>
    <w:p>
      <w:pPr>
        <w:pStyle w:val="TextBody"/>
        <w:bidi w:val="0"/>
        <w:spacing w:lineRule="auto" w:line="288" w:before="240" w:after="283"/>
        <w:jc w:val="left"/>
        <w:rPr/>
      </w:pPr>
      <w:r>
        <w:rPr>
          <w:rFonts w:ascii="Times New Roman;sans-serif" w:hAnsi="Times New Roman;sans-serif"/>
          <w:b w:val="false"/>
          <w:color w:val="000000"/>
          <w:sz w:val="20"/>
        </w:rPr>
        <w:t xml:space="preserve">As of December 31, 2023 and 2022, the gross reserve for uncertain tax positions, excluding accrued interest and penalties, was </w:t>
      </w:r>
      <w:r>
        <w:rPr>
          <w:rFonts w:ascii="Times New Roman;sans-serif" w:hAnsi="Times New Roman;sans-serif"/>
          <w:b w:val="false"/>
          <w:color w:val="000000"/>
          <w:sz w:val="20"/>
          <w:shd w:fill="FFFFFF" w:val="clear"/>
        </w:rPr>
        <w:t>$0</w:t>
      </w:r>
      <w:r>
        <w:rPr>
          <w:rFonts w:ascii="Times New Roman;sans-serif" w:hAnsi="Times New Roman;sans-serif"/>
          <w:b w:val="false"/>
          <w:color w:val="000000"/>
          <w:sz w:val="20"/>
        </w:rPr>
        <w:t>, as noted in the following reconciliation.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unrecognized income tax benefits were as follows: </w:t>
      </w:r>
    </w:p>
    <w:tbl>
      <w:tblPr>
        <w:tblW w:w="6128" w:type="dxa"/>
        <w:jc w:val="left"/>
        <w:tblInd w:w="0" w:type="dxa"/>
        <w:tblLayout w:type="fixed"/>
        <w:tblCellMar>
          <w:top w:w="28" w:type="dxa"/>
          <w:left w:w="28" w:type="dxa"/>
          <w:bottom w:w="28" w:type="dxa"/>
          <w:right w:w="28" w:type="dxa"/>
        </w:tblCellMar>
      </w:tblPr>
      <w:tblGrid>
        <w:gridCol w:w="1538"/>
        <w:gridCol w:w="1351"/>
        <w:gridCol w:w="1355"/>
        <w:gridCol w:w="211"/>
        <w:gridCol w:w="406"/>
        <w:gridCol w:w="109"/>
        <w:gridCol w:w="109"/>
        <w:gridCol w:w="109"/>
        <w:gridCol w:w="109"/>
        <w:gridCol w:w="211"/>
        <w:gridCol w:w="466"/>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For the period from January 1 – December 31,</w:t>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unrecognized tax benefits,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related to current year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related to prior years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Gross unrecognized tax benefits,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interest and penalties as part of the provision for income taxes. For the years ended December 31, 2023, 2022 and 2021 interest and penalties related to uncertain income tax positions that were recognized in the Consolidated Statements of Operations and Comprehensive Income (Loss) were not material.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which represents all of its subsidiaries, files income tax returns in the U.S. federal jurisdiction and various states and foreign jurisdictions. The Company is no longer subject to U.S. federal, state, and local tax examinations before 2016, and non-U.S. income tax examinations by tax authorities for years before 2012. Tax years through December 31, 2018 have been audited by the Internal Revenue Service (“IRS”) and are effectively closed for U.S. federal income tax purposes and no other fiscal years are currently under audit. For Nordion’s Canadian tax, all tax years through October 31, 2018 have been closed through audit or statute, and no other fiscal years are currently under audit.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portion of the Company’s foreign operations benefit from a tax holiday, which is set to expire in 2030. This tax holiday may be terminated early if certain conditions are not met. The tax benefit attributable to this holiday was $1.1 million and $0.6 million for the fiscal years ended December 31, 2023 and 2022,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12.Employee Benefits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Employee Retirement Benefits in the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defined-contribution retirement plan that covers all U.S. employees upon date of hire. Contributions are directed by each participant into various investment options. Under this plan, we match participants’ contributions based on plan provisions. The Company’s contributions, which are expensed as incurred, were $5.7 million, $5.0 million, and $4.3 million for the years ended December 31, 2023, 2022 and 2021, respectively, and are recorded in the same line as the respective employee’s wages. Administrative expenses related to the plan are paid by the Company and are not material.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Employee Retirement Benefits Outside the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participates in qualified supplemental retirement and savings plans in various countries outside the U.S. where we operate. Under these defined-contribution plans, funding and costs are generally based upon a predetermined percentage of employee compensation. The Company’s contributions, which are expensed as incurred and recorded in the same line as the respective employee’s wages, were $1.7 million, $1.2 million and $1.4 million for the years ended December 31, 2023, 2022 and 2021, respectively.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Defined Benefit Pension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sponsors various post-employment benefit plans including, in certain countries outside the U.S., defined benefit and defined contribution plans, retirement compensation arrangements, and plans that provide extended health care coverage to retired employees, the majority of which relate to Nordion.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Defined Benefit Pension Plan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defined benefit pension plan disclosure relates to Nordion. All other foreign defined benefit pension plans are immaterial. The interest cost, expected return on plan assets and amortization of net actuarial loss are recorded in “Other income, net” and the service cost component is included in the same financial statement line item as the applicable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wages in the Consolidated Statements of Operations and Comprehensive Income (Loss). The components of net periodic benefit cost for the defined benefit plans were as follows: </w:t>
      </w:r>
    </w:p>
    <w:tbl>
      <w:tblPr>
        <w:tblW w:w="6552" w:type="dxa"/>
        <w:jc w:val="left"/>
        <w:tblInd w:w="0" w:type="dxa"/>
        <w:tblLayout w:type="fixed"/>
        <w:tblCellMar>
          <w:top w:w="28" w:type="dxa"/>
          <w:left w:w="28" w:type="dxa"/>
          <w:bottom w:w="28" w:type="dxa"/>
          <w:right w:w="28" w:type="dxa"/>
        </w:tblCellMar>
      </w:tblPr>
      <w:tblGrid>
        <w:gridCol w:w="1019"/>
        <w:gridCol w:w="899"/>
        <w:gridCol w:w="902"/>
        <w:gridCol w:w="211"/>
        <w:gridCol w:w="691"/>
        <w:gridCol w:w="109"/>
        <w:gridCol w:w="109"/>
        <w:gridCol w:w="109"/>
        <w:gridCol w:w="109"/>
        <w:gridCol w:w="211"/>
        <w:gridCol w:w="691"/>
        <w:gridCol w:w="109"/>
        <w:gridCol w:w="109"/>
        <w:gridCol w:w="109"/>
        <w:gridCol w:w="109"/>
        <w:gridCol w:w="211"/>
        <w:gridCol w:w="691"/>
        <w:gridCol w:w="154"/>
      </w:tblGrid>
      <w:tr>
        <w:trPr/>
        <w:tc>
          <w:tcPr>
            <w:tcW w:w="101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ended December 31,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actuarial loss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Net periodic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weighted average assumptions were used in the determination of the projected benefit obligation and the net periodic benefit: </w:t>
      </w:r>
    </w:p>
    <w:tbl>
      <w:tblPr>
        <w:tblW w:w="4575" w:type="dxa"/>
        <w:jc w:val="left"/>
        <w:tblInd w:w="0" w:type="dxa"/>
        <w:tblLayout w:type="fixed"/>
        <w:tblCellMar>
          <w:top w:w="28" w:type="dxa"/>
          <w:left w:w="28" w:type="dxa"/>
          <w:bottom w:w="28" w:type="dxa"/>
          <w:right w:w="28" w:type="dxa"/>
        </w:tblCellMar>
      </w:tblPr>
      <w:tblGrid>
        <w:gridCol w:w="938"/>
        <w:gridCol w:w="827"/>
        <w:gridCol w:w="829"/>
        <w:gridCol w:w="263"/>
        <w:gridCol w:w="263"/>
        <w:gridCol w:w="301"/>
        <w:gridCol w:w="109"/>
        <w:gridCol w:w="109"/>
        <w:gridCol w:w="109"/>
        <w:gridCol w:w="255"/>
        <w:gridCol w:w="256"/>
        <w:gridCol w:w="316"/>
      </w:tblGrid>
      <w:tr>
        <w:trPr/>
        <w:tc>
          <w:tcPr>
            <w:tcW w:w="93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ended December 31,</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Projected benefit obligation</w:t>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Periodic benefit</w:t>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changes in the projected benefit obligation, fair value of plan assets, and the funded status of the plans are as follows: </w:t>
      </w:r>
    </w:p>
    <w:tbl>
      <w:tblPr>
        <w:tblW w:w="7328" w:type="dxa"/>
        <w:jc w:val="left"/>
        <w:tblInd w:w="0" w:type="dxa"/>
        <w:tblLayout w:type="fixed"/>
        <w:tblCellMar>
          <w:top w:w="28" w:type="dxa"/>
          <w:left w:w="28" w:type="dxa"/>
          <w:bottom w:w="28" w:type="dxa"/>
          <w:right w:w="28" w:type="dxa"/>
        </w:tblCellMar>
      </w:tblPr>
      <w:tblGrid>
        <w:gridCol w:w="1685"/>
        <w:gridCol w:w="1480"/>
        <w:gridCol w:w="1484"/>
        <w:gridCol w:w="211"/>
        <w:gridCol w:w="841"/>
        <w:gridCol w:w="109"/>
        <w:gridCol w:w="109"/>
        <w:gridCol w:w="109"/>
        <w:gridCol w:w="109"/>
        <w:gridCol w:w="211"/>
        <w:gridCol w:w="826"/>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projected benefit obligation:</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 as of beginning of the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217,582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 (gain)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17,934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rate changes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Projected benefit obligation, end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239,947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plan assets: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as of the beginning of the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253,130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(loss) on plan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21,163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contributions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rate changes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Fair value of plan assets, end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268,424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Funded status at end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28,477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Accumulated benefit obligation, end of year</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237,016</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215,001 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defined benefit pension plans are overfunded as of December 31, 2023 and December 31,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funded status, measured as the difference between the fair value of the plan assets and the projected benefit obligation, are included in “Post-retirement assets” for overfunded plans and “Post-retirement obligations” for underfunded plans in the Consolidated Balance Sheets.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the funded status to amounts recognized in the Consolidated Balance Sheets is as follows: </w:t>
      </w:r>
    </w:p>
    <w:tbl>
      <w:tblPr>
        <w:tblW w:w="8559" w:type="dxa"/>
        <w:jc w:val="left"/>
        <w:tblInd w:w="0" w:type="dxa"/>
        <w:tblLayout w:type="fixed"/>
        <w:tblCellMar>
          <w:top w:w="28" w:type="dxa"/>
          <w:left w:w="28" w:type="dxa"/>
          <w:bottom w:w="28" w:type="dxa"/>
          <w:right w:w="28" w:type="dxa"/>
        </w:tblCellMar>
      </w:tblPr>
      <w:tblGrid>
        <w:gridCol w:w="2131"/>
        <w:gridCol w:w="1872"/>
        <w:gridCol w:w="1877"/>
        <w:gridCol w:w="211"/>
        <w:gridCol w:w="841"/>
        <w:gridCol w:w="109"/>
        <w:gridCol w:w="109"/>
        <w:gridCol w:w="109"/>
        <w:gridCol w:w="109"/>
        <w:gridCol w:w="211"/>
        <w:gridCol w:w="826"/>
        <w:gridCol w:w="154"/>
      </w:tblGrid>
      <w:tr>
        <w:trPr/>
        <w:tc>
          <w:tcPr>
            <w:tcW w:w="2131"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239,947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268,424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Plan assets greater than projected benefit obligation (noncurrent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28,477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net actuarial loss (gain)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illustrates the amounts in accumulated other comprehensive (income) loss that have not yet been recognized as components of pension expense: </w:t>
      </w:r>
    </w:p>
    <w:tbl>
      <w:tblPr>
        <w:tblW w:w="7359" w:type="dxa"/>
        <w:jc w:val="left"/>
        <w:tblInd w:w="0" w:type="dxa"/>
        <w:tblLayout w:type="fixed"/>
        <w:tblCellMar>
          <w:top w:w="28" w:type="dxa"/>
          <w:left w:w="28" w:type="dxa"/>
          <w:bottom w:w="28" w:type="dxa"/>
          <w:right w:w="28" w:type="dxa"/>
        </w:tblCellMar>
      </w:tblPr>
      <w:tblGrid>
        <w:gridCol w:w="1783"/>
        <w:gridCol w:w="1566"/>
        <w:gridCol w:w="1571"/>
        <w:gridCol w:w="211"/>
        <w:gridCol w:w="736"/>
        <w:gridCol w:w="109"/>
        <w:gridCol w:w="109"/>
        <w:gridCol w:w="109"/>
        <w:gridCol w:w="109"/>
        <w:gridCol w:w="211"/>
        <w:gridCol w:w="691"/>
        <w:gridCol w:w="154"/>
      </w:tblGrid>
      <w:tr>
        <w:trPr/>
        <w:tc>
          <w:tcPr>
            <w:tcW w:w="1783"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actuarial loss (gain)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loss (gain) – net of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8,510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expect to reclassify any of the net actuarial loss in accumulated other comprehensive income to net periodic pension cost in the next twelve months.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 average asset allocation of the Company’s pension plans was as follows: </w:t>
      </w:r>
    </w:p>
    <w:tbl>
      <w:tblPr>
        <w:tblW w:w="4724" w:type="dxa"/>
        <w:jc w:val="left"/>
        <w:tblInd w:w="0" w:type="dxa"/>
        <w:tblLayout w:type="fixed"/>
        <w:tblCellMar>
          <w:top w:w="28" w:type="dxa"/>
          <w:left w:w="28" w:type="dxa"/>
          <w:bottom w:w="28" w:type="dxa"/>
          <w:right w:w="28" w:type="dxa"/>
        </w:tblCellMar>
      </w:tblPr>
      <w:tblGrid>
        <w:gridCol w:w="446"/>
        <w:gridCol w:w="391"/>
        <w:gridCol w:w="393"/>
        <w:gridCol w:w="307"/>
        <w:gridCol w:w="309"/>
        <w:gridCol w:w="360"/>
        <w:gridCol w:w="109"/>
        <w:gridCol w:w="109"/>
        <w:gridCol w:w="109"/>
        <w:gridCol w:w="314"/>
        <w:gridCol w:w="317"/>
        <w:gridCol w:w="301"/>
        <w:gridCol w:w="109"/>
        <w:gridCol w:w="109"/>
        <w:gridCol w:w="109"/>
        <w:gridCol w:w="307"/>
        <w:gridCol w:w="309"/>
        <w:gridCol w:w="316"/>
      </w:tblGrid>
      <w:tr>
        <w:trPr/>
        <w:tc>
          <w:tcPr>
            <w:tcW w:w="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Asset Category</w:t>
            </w:r>
          </w:p>
        </w:tc>
        <w:tc>
          <w:tcPr>
            <w:tcW w:w="9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Target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0.7</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Hedge funds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21.6</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target allocation percentages among various asset classes based on investment policies established for the pension plans, which are designed to maximize the total rate of return (income and appreciation) after inflation, within the limits of prudent risk taking, while providing for adequate near-term liquidity for benefit payments. Such investment strategies have adopted an equity-based philosophy to achieve their long-term investment goals by investing in assets that often have uncertain returns, such as Canadian and other foreign equities, and non-government bonds, although, the Company also attempts to reduce the overall level of risk by diversifying the asset classes and further diversifying within each individual asset class.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expected return on asset assumptions are derived from studies conducted by actuaries and investment advisors. The studies include a review of anticipated future long-term performance of individual asset classes and consideration of the appropriate asset allocation strategy given the anticipated requirements of the plans to determine the average rate of earnings expected on the funds invested to provide for the pension plans benefits. While the study considers recent fund performance and historical returns, the assumption is primarily a long-term, prospective rate.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Valuation Methodologies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Below is a description of the composition and valuation methodologies for pension plan assets. Refer to the discussion of fair value hierarchy in Note 21, “Financial Instruments and Financial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pPr>
      <w:r>
        <w:rPr>
          <w:rFonts w:ascii="Times New Roman;sans-serif" w:hAnsi="Times New Roman;sans-serif"/>
          <w:b w:val="false"/>
          <w:i/>
          <w:color w:val="000000"/>
          <w:sz w:val="20"/>
        </w:rPr>
        <w:t>Cash and cash equivalents</w:t>
      </w:r>
      <w:r>
        <w:rPr>
          <w:color w:val="000000"/>
        </w:rPr>
        <w:t xml:space="preserve"> – </w:t>
      </w:r>
      <w:r>
        <w:rPr>
          <w:rFonts w:ascii="Times New Roman;sans-serif" w:hAnsi="Times New Roman;sans-serif"/>
          <w:b w:val="false"/>
          <w:color w:val="000000"/>
          <w:sz w:val="20"/>
        </w:rPr>
        <w:t>Consists of deposits with financial institutions and other short-term highly liquid investments with an original maturity of three months or less. Cash and cash equivalents are categorized as Level 1 instruments in the fair value hierarchy.</w:t>
      </w:r>
    </w:p>
    <w:p>
      <w:pPr>
        <w:pStyle w:val="TextBody"/>
        <w:bidi w:val="0"/>
        <w:spacing w:lineRule="auto" w:line="288" w:before="240" w:after="283"/>
        <w:jc w:val="left"/>
        <w:rPr/>
      </w:pPr>
      <w:r>
        <w:rPr>
          <w:rFonts w:ascii="Times New Roman;sans-serif" w:hAnsi="Times New Roman;sans-serif"/>
          <w:b w:val="false"/>
          <w:i/>
          <w:color w:val="000000"/>
          <w:sz w:val="20"/>
        </w:rPr>
        <w:t>Fixed income securities, equity securities and hedge fund assets</w:t>
      </w:r>
      <w:r>
        <w:rPr>
          <w:color w:val="000000"/>
        </w:rPr>
        <w:t xml:space="preserve"> </w:t>
      </w:r>
      <w:r>
        <w:rPr>
          <w:rFonts w:ascii="Times New Roman;sans-serif" w:hAnsi="Times New Roman;sans-serif"/>
          <w:b w:val="false"/>
          <w:color w:val="000000"/>
          <w:sz w:val="20"/>
        </w:rPr>
        <w:t>- These assets are invested in managed funds that are measured at fair value using the net asset value per share practical expedient and, therefore, are not categorized in the fair value hierarchy.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future benefit payments from plan assets are as follows: </w:t>
      </w:r>
    </w:p>
    <w:tbl>
      <w:tblPr>
        <w:tblW w:w="3216" w:type="dxa"/>
        <w:jc w:val="left"/>
        <w:tblInd w:w="0" w:type="dxa"/>
        <w:tblLayout w:type="fixed"/>
        <w:tblCellMar>
          <w:top w:w="28" w:type="dxa"/>
          <w:left w:w="28" w:type="dxa"/>
          <w:bottom w:w="28" w:type="dxa"/>
          <w:right w:w="28" w:type="dxa"/>
        </w:tblCellMar>
      </w:tblPr>
      <w:tblGrid>
        <w:gridCol w:w="728"/>
        <w:gridCol w:w="640"/>
        <w:gridCol w:w="642"/>
        <w:gridCol w:w="211"/>
        <w:gridCol w:w="841"/>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Ended December 31,</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14,066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14,363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14,651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14,774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14,911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2029 - 2033</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75,755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148,520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benefit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benefit plans disclosed below relate to Nordion and include a supplemental retirement arrangement, a retirement and termination allowance, and post-retirement benefit plans, which include contributory health and dental care benefits and contributory life insurance coverage. All non-pension post-employment benefit plans are unfunded. All other non-pension post-employment benefit plans are immaterial.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cost and amortization of net actuarial (gain) loss are recorded in “Other income, net” and the service cost component is included in the same financial statement line item as the applicable employee’s wages in the Consolidated Statements of Operations and Comprehensive Income (Loss). The components of net periodic benefit cost for the other benefit plans were as follows:</w:t>
      </w:r>
    </w:p>
    <w:tbl>
      <w:tblPr>
        <w:tblW w:w="5937" w:type="dxa"/>
        <w:jc w:val="left"/>
        <w:tblInd w:w="0" w:type="dxa"/>
        <w:tblLayout w:type="fixed"/>
        <w:tblCellMar>
          <w:top w:w="28" w:type="dxa"/>
          <w:left w:w="28" w:type="dxa"/>
          <w:bottom w:w="28" w:type="dxa"/>
          <w:right w:w="28" w:type="dxa"/>
        </w:tblCellMar>
      </w:tblPr>
      <w:tblGrid>
        <w:gridCol w:w="1038"/>
        <w:gridCol w:w="912"/>
        <w:gridCol w:w="915"/>
        <w:gridCol w:w="211"/>
        <w:gridCol w:w="481"/>
        <w:gridCol w:w="109"/>
        <w:gridCol w:w="109"/>
        <w:gridCol w:w="109"/>
        <w:gridCol w:w="109"/>
        <w:gridCol w:w="211"/>
        <w:gridCol w:w="466"/>
        <w:gridCol w:w="109"/>
        <w:gridCol w:w="109"/>
        <w:gridCol w:w="109"/>
        <w:gridCol w:w="109"/>
        <w:gridCol w:w="211"/>
        <w:gridCol w:w="46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Ended December 31,</w:t>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actuarial gain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Net periodic benefit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assumptions used to determine the projected benefit obligation and net periodic pension cost for these plans were as follows:</w:t>
      </w:r>
    </w:p>
    <w:tbl>
      <w:tblPr>
        <w:tblW w:w="5371" w:type="dxa"/>
        <w:jc w:val="left"/>
        <w:tblInd w:w="0" w:type="dxa"/>
        <w:tblLayout w:type="fixed"/>
        <w:tblCellMar>
          <w:top w:w="28" w:type="dxa"/>
          <w:left w:w="28" w:type="dxa"/>
          <w:bottom w:w="28" w:type="dxa"/>
          <w:right w:w="28" w:type="dxa"/>
        </w:tblCellMar>
      </w:tblPr>
      <w:tblGrid>
        <w:gridCol w:w="1226"/>
        <w:gridCol w:w="1080"/>
        <w:gridCol w:w="1084"/>
        <w:gridCol w:w="263"/>
        <w:gridCol w:w="263"/>
        <w:gridCol w:w="301"/>
        <w:gridCol w:w="109"/>
        <w:gridCol w:w="109"/>
        <w:gridCol w:w="109"/>
        <w:gridCol w:w="255"/>
        <w:gridCol w:w="256"/>
        <w:gridCol w:w="316"/>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Ended December 31,</w:t>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Projected benefit obligation:</w:t>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4.65</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health care cost trend rate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Ultimate health care cost trend rate</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until ultimate trend rate is reached</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Benefit cost:</w:t>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health care cost trend rates have a significant effect on the amounts reported for the health care plans. A one-percentage point change in assumed health care cost trend rates would have had the following impact on our consolidated financial statements in 2023:</w:t>
      </w:r>
    </w:p>
    <w:tbl>
      <w:tblPr>
        <w:tblW w:w="5800" w:type="dxa"/>
        <w:jc w:val="left"/>
        <w:tblInd w:w="0" w:type="dxa"/>
        <w:tblLayout w:type="fixed"/>
        <w:tblCellMar>
          <w:top w:w="28" w:type="dxa"/>
          <w:left w:w="28" w:type="dxa"/>
          <w:bottom w:w="28" w:type="dxa"/>
          <w:right w:w="28" w:type="dxa"/>
        </w:tblCellMar>
      </w:tblPr>
      <w:tblGrid>
        <w:gridCol w:w="1190"/>
        <w:gridCol w:w="1045"/>
        <w:gridCol w:w="1049"/>
        <w:gridCol w:w="317"/>
        <w:gridCol w:w="567"/>
        <w:gridCol w:w="166"/>
        <w:gridCol w:w="109"/>
        <w:gridCol w:w="109"/>
        <w:gridCol w:w="109"/>
        <w:gridCol w:w="324"/>
        <w:gridCol w:w="578"/>
        <w:gridCol w:w="237"/>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1% Increase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1% Decrease </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periodic benefit cost</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projected benefit obligation</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596</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changes in the projected benefit obligation and the funded status of the other post-retirement plans were as follows: </w:t>
      </w:r>
    </w:p>
    <w:tbl>
      <w:tblPr>
        <w:tblW w:w="6983" w:type="dxa"/>
        <w:jc w:val="left"/>
        <w:tblInd w:w="0" w:type="dxa"/>
        <w:tblLayout w:type="fixed"/>
        <w:tblCellMar>
          <w:top w:w="28" w:type="dxa"/>
          <w:left w:w="28" w:type="dxa"/>
          <w:bottom w:w="28" w:type="dxa"/>
          <w:right w:w="28" w:type="dxa"/>
        </w:tblCellMar>
      </w:tblPr>
      <w:tblGrid>
        <w:gridCol w:w="1653"/>
        <w:gridCol w:w="1451"/>
        <w:gridCol w:w="1455"/>
        <w:gridCol w:w="211"/>
        <w:gridCol w:w="691"/>
        <w:gridCol w:w="109"/>
        <w:gridCol w:w="109"/>
        <w:gridCol w:w="109"/>
        <w:gridCol w:w="109"/>
        <w:gridCol w:w="211"/>
        <w:gridCol w:w="721"/>
        <w:gridCol w:w="154"/>
      </w:tblGrid>
      <w:tr>
        <w:trPr/>
        <w:tc>
          <w:tcPr>
            <w:tcW w:w="1653"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5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w:t>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projected benefit obligation:</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 (gain)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participant contributions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rate changes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Projected benefit obligation, end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plan assets: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as of the beginning of the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rate changes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Fair value of plan assets, end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Underfunded status at end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Accumulated benefit obligation, end of year</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8,943</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8,381 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other post-retirement benefit pension plans are underfunded as of December 31, 2023 and 2022.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the funded status to the net plan liabilities recognized in the Consolidated Balance Sheets is as follows: </w:t>
      </w:r>
    </w:p>
    <w:tbl>
      <w:tblPr>
        <w:tblW w:w="8199" w:type="dxa"/>
        <w:jc w:val="left"/>
        <w:tblInd w:w="0" w:type="dxa"/>
        <w:tblLayout w:type="fixed"/>
        <w:tblCellMar>
          <w:top w:w="28" w:type="dxa"/>
          <w:left w:w="28" w:type="dxa"/>
          <w:bottom w:w="28" w:type="dxa"/>
          <w:right w:w="28" w:type="dxa"/>
        </w:tblCellMar>
      </w:tblPr>
      <w:tblGrid>
        <w:gridCol w:w="2153"/>
        <w:gridCol w:w="1891"/>
        <w:gridCol w:w="1896"/>
        <w:gridCol w:w="211"/>
        <w:gridCol w:w="631"/>
        <w:gridCol w:w="109"/>
        <w:gridCol w:w="109"/>
        <w:gridCol w:w="109"/>
        <w:gridCol w:w="109"/>
        <w:gridCol w:w="211"/>
        <w:gridCol w:w="616"/>
        <w:gridCol w:w="154"/>
      </w:tblGrid>
      <w:tr>
        <w:trPr/>
        <w:tc>
          <w:tcPr>
            <w:tcW w:w="2153"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benefit obligation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Plan assets less than projected benefit obligation (noncurrent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(8,439)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actuarial gains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other benefit plan liabilities are presented on the Consolidated Balance Sheets as “Post retirement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illustrates the amounts in accumulated other comprehensive income (loss) that have not yet been recognized as components of other benefit plan expense: </w:t>
      </w:r>
    </w:p>
    <w:tbl>
      <w:tblPr>
        <w:tblW w:w="7073" w:type="dxa"/>
        <w:jc w:val="left"/>
        <w:tblInd w:w="0" w:type="dxa"/>
        <w:tblLayout w:type="fixed"/>
        <w:tblCellMar>
          <w:top w:w="28" w:type="dxa"/>
          <w:left w:w="28" w:type="dxa"/>
          <w:bottom w:w="28" w:type="dxa"/>
          <w:right w:w="28" w:type="dxa"/>
        </w:tblCellMar>
      </w:tblPr>
      <w:tblGrid>
        <w:gridCol w:w="1696"/>
        <w:gridCol w:w="1489"/>
        <w:gridCol w:w="1494"/>
        <w:gridCol w:w="211"/>
        <w:gridCol w:w="691"/>
        <w:gridCol w:w="109"/>
        <w:gridCol w:w="109"/>
        <w:gridCol w:w="109"/>
        <w:gridCol w:w="109"/>
        <w:gridCol w:w="211"/>
        <w:gridCol w:w="691"/>
        <w:gridCol w:w="154"/>
      </w:tblGrid>
      <w:tr>
        <w:trPr/>
        <w:tc>
          <w:tcPr>
            <w:tcW w:w="1696"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w:t>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actuarial gain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income – net of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actuarial assumptions used to develop the Company’s benefit obligations as of December 31, 2023, the following benefit payments are expected to be made to plan participants: </w:t>
      </w:r>
    </w:p>
    <w:tbl>
      <w:tblPr>
        <w:tblW w:w="2991" w:type="dxa"/>
        <w:jc w:val="left"/>
        <w:tblInd w:w="0" w:type="dxa"/>
        <w:tblLayout w:type="fixed"/>
        <w:tblCellMar>
          <w:top w:w="28" w:type="dxa"/>
          <w:left w:w="28" w:type="dxa"/>
          <w:bottom w:w="28" w:type="dxa"/>
          <w:right w:w="28" w:type="dxa"/>
        </w:tblCellMar>
      </w:tblPr>
      <w:tblGrid>
        <w:gridCol w:w="723"/>
        <w:gridCol w:w="635"/>
        <w:gridCol w:w="637"/>
        <w:gridCol w:w="211"/>
        <w:gridCol w:w="63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Years ended December 31</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2029 - 2033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2,643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5,365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currently has no funding requirements as the Nordion pension plan has a going concern surplus as of January 1, 2023, as defined by Canadian federal regulation, which require solvency testing on defined benefit pension plans on an annual basis.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obtain a qualifying letter of credit for solvency payments, up to 15% of the market value of solvency liabilities as determined on the valuation date, instead of cash payment into the pension fund. As of December 31, 2023 and 2022, we had letters of credit outstanding relating to the defined benefit plans totaling $16.0 million and $44.1 million, respectively.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13.Related Parties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business with a number of companies affiliated with Warburg Pincus and GTCR, which we refer to collectively as the “Sponsors.” For the year ended December 31, 2022, the Company recorded sales of $3.7 million to Curia Global (“Curia”), an affiliate of GTCR. Amounts due from Curia as of December 31, 2022 were $0.8 million.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2021, the Company had not engaged in any material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14.Other Comprehensive Income (Loss)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in accumulated other comprehensive income (loss) are presented net of the related tax. Foreign currency translation is not adjusted for income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our accumulated other comprehensive income (loss) balances, net of applicable tax, were as follows: </w:t>
      </w:r>
    </w:p>
    <w:tbl>
      <w:tblPr>
        <w:tblW w:w="10205" w:type="dxa"/>
        <w:jc w:val="left"/>
        <w:tblInd w:w="0" w:type="dxa"/>
        <w:tblLayout w:type="fixed"/>
        <w:tblCellMar>
          <w:top w:w="28" w:type="dxa"/>
          <w:left w:w="28" w:type="dxa"/>
          <w:bottom w:w="28" w:type="dxa"/>
          <w:right w:w="28" w:type="dxa"/>
        </w:tblCellMar>
      </w:tblPr>
      <w:tblGrid>
        <w:gridCol w:w="1787"/>
        <w:gridCol w:w="1416"/>
        <w:gridCol w:w="1419"/>
        <w:gridCol w:w="211"/>
        <w:gridCol w:w="776"/>
        <w:gridCol w:w="109"/>
        <w:gridCol w:w="109"/>
        <w:gridCol w:w="109"/>
        <w:gridCol w:w="109"/>
        <w:gridCol w:w="211"/>
        <w:gridCol w:w="881"/>
        <w:gridCol w:w="109"/>
        <w:gridCol w:w="109"/>
        <w:gridCol w:w="109"/>
        <w:gridCol w:w="109"/>
        <w:gridCol w:w="211"/>
        <w:gridCol w:w="736"/>
        <w:gridCol w:w="109"/>
        <w:gridCol w:w="109"/>
        <w:gridCol w:w="109"/>
        <w:gridCol w:w="109"/>
        <w:gridCol w:w="211"/>
        <w:gridCol w:w="881"/>
        <w:gridCol w:w="157"/>
      </w:tblGrid>
      <w:tr>
        <w:trPr/>
        <w:tc>
          <w:tcPr>
            <w:tcW w:w="1787"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Defined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Benefit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Foreign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Currency</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Interest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Rate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Beginning balance – January 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(93,842)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(a)</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right"/>
              <w:rPr>
                <w:rFonts w:ascii="Times New Roman;sans-serif" w:hAnsi="Times New Roman;sans-serif"/>
                <w:b w:val="false"/>
                <w:color w:val="000000"/>
                <w:sz w:val="13"/>
              </w:rPr>
            </w:pPr>
            <w:r>
              <w:rPr>
                <w:rFonts w:ascii="Times New Roman;sans-serif" w:hAnsi="Times New Roman;sans-serif"/>
                <w:b w:val="false"/>
                <w:color w:val="000000"/>
                <w:sz w:val="13"/>
              </w:rPr>
              <w:t>(b)</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Net current-period other comprehensive income (loss)</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Beginning balance – January 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(a)</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Net current-period other comprehensive income (loss)</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Beginning balance – January 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(131,205)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21,343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(106,653)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40,174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36,307</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(loss)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color w:val="000000"/>
                <w:sz w:val="13"/>
              </w:rPr>
            </w:pPr>
            <w:r>
              <w:rPr>
                <w:rFonts w:ascii="Times New Roman;sans-serif" w:hAnsi="Times New Roman;sans-serif"/>
                <w:b/>
                <w:color w:val="000000"/>
                <w:sz w:val="13"/>
              </w:rPr>
              <w:t>(a)</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(22,336)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Net current-period other comprehensive income (loss)</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(10,506)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40,174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(15,697)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13,971</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 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(7,297)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(91,031)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(92,682)</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(a)For defined benefit pension plans, amounts reclassified from accumulated other comprehensive income (loss) are recorded to “Other income, net” within the Consolidated Statements of Operations and Comprehensive Income (Loss).</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(b)For interest rate derivatives, amounts reclassified from accumulated other comprehensive income (loss) are recorded to “Interest expense, net” within the Consolidated Statements of Operations and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15.Stockholders’ Equity </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Common Stock</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completed its IPO in the fourth quarter of 2020 and shares began trading on Nasdaq on November 20, 2020. Prior to the completion of the IPO, the Company amended and restated its certificate of incorporation to authorize 1,200,000,000 shares of common stock, par value $0.01 per share, and reclassify all 3,000 shares of its common stock then outstanding as 232,400,200 shares. Upon completion of the IPO, 284,421,755 shares of common stock were outstanding.</w:t>
      </w:r>
    </w:p>
    <w:p>
      <w:pPr>
        <w:pStyle w:val="TextBody"/>
        <w:bidi w:val="0"/>
        <w:spacing w:lineRule="auto" w:line="288" w:before="240" w:after="283"/>
        <w:jc w:val="left"/>
        <w:rPr/>
      </w:pPr>
      <w:r>
        <w:rPr>
          <w:rFonts w:ascii="Times New Roman;sans-serif" w:hAnsi="Times New Roman;sans-serif"/>
          <w:b w:val="false"/>
          <w:i/>
          <w:color w:val="000000"/>
          <w:sz w:val="20"/>
          <w:shd w:fill="FFFFFF" w:val="clear"/>
        </w:rPr>
        <w:t>Voting Rights.</w:t>
      </w:r>
      <w:r>
        <w:rPr>
          <w:color w:val="000000"/>
          <w:shd w:fill="FFFFFF" w:val="clear"/>
        </w:rPr>
        <w:t xml:space="preserve"> </w:t>
      </w:r>
      <w:r>
        <w:rPr>
          <w:rFonts w:ascii="Times New Roman;sans-serif" w:hAnsi="Times New Roman;sans-serif"/>
          <w:b w:val="false"/>
          <w:color w:val="000000"/>
          <w:sz w:val="20"/>
          <w:shd w:fill="FFFFFF" w:val="clear"/>
        </w:rPr>
        <w:t>Holders of common stock are entitled to one vote for each share held on all matters submitted to a vote of stockholders, subject to certain restrictions described in the certificate of incorporation.</w:t>
      </w:r>
    </w:p>
    <w:p>
      <w:pPr>
        <w:pStyle w:val="TextBody"/>
        <w:bidi w:val="0"/>
        <w:spacing w:lineRule="auto" w:line="288" w:before="240" w:after="283"/>
        <w:jc w:val="left"/>
        <w:rPr/>
      </w:pPr>
      <w:r>
        <w:rPr>
          <w:rFonts w:ascii="Times New Roman;sans-serif" w:hAnsi="Times New Roman;sans-serif"/>
          <w:b w:val="false"/>
          <w:i/>
          <w:color w:val="000000"/>
          <w:sz w:val="20"/>
          <w:shd w:fill="FFFFFF" w:val="clear"/>
        </w:rPr>
        <w:t>Dividends.</w:t>
      </w:r>
      <w:r>
        <w:rPr>
          <w:color w:val="000000"/>
          <w:shd w:fill="FFFFFF" w:val="clear"/>
        </w:rPr>
        <w:t xml:space="preserve"> </w:t>
      </w:r>
      <w:r>
        <w:rPr>
          <w:rFonts w:ascii="Times New Roman;sans-serif" w:hAnsi="Times New Roman;sans-serif"/>
          <w:b w:val="false"/>
          <w:color w:val="000000"/>
          <w:sz w:val="20"/>
          <w:shd w:fill="FFFFFF" w:val="clear"/>
        </w:rPr>
        <w:t>Subject to preferences that may be applicable to any then outstanding preferred stock, holders of our common stock are entitled to receive ratably those dividends, if any, as may be declared by the board of directors out of legally available funds.</w:t>
      </w:r>
    </w:p>
    <w:p>
      <w:pPr>
        <w:pStyle w:val="TextBody"/>
        <w:bidi w:val="0"/>
        <w:spacing w:lineRule="auto" w:line="288" w:before="240" w:after="283"/>
        <w:jc w:val="left"/>
        <w:rPr/>
      </w:pPr>
      <w:r>
        <w:rPr>
          <w:rFonts w:ascii="Times New Roman;sans-serif" w:hAnsi="Times New Roman;sans-serif"/>
          <w:b w:val="false"/>
          <w:i/>
          <w:color w:val="000000"/>
          <w:sz w:val="20"/>
          <w:shd w:fill="FFFFFF" w:val="clear"/>
        </w:rPr>
        <w:t>Liquidation, Dissolution, and Winding Up</w:t>
      </w:r>
      <w:r>
        <w:rPr>
          <w:rFonts w:ascii="Times New Roman;sans-serif" w:hAnsi="Times New Roman;sans-serif"/>
          <w:b w:val="false"/>
          <w:color w:val="000000"/>
          <w:sz w:val="20"/>
          <w:shd w:fill="FFFFFF" w:val="clear"/>
        </w:rPr>
        <w:t>. In the event of liquidation, dissolution or winding up, the holders of the Company’s common stock will be entitled to share equally and ratably in the net assets legally available for distribution to stockholders after the payment of all of debts and other liabilities, subject to the prior rights of any preferred stock then outstanding.</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Preferred Stock</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prior to the completion of the IPO, the Company’s amended and restated certificate of incorporation authorized 120,000,000 shares of preferred stock, par value $0.01 per share. The board of directors may issue preferred stock, without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stockholder approval, in such series and with such designations, preferences, conversion or other rights, voting powers and qualifications, limitations or restrictions thereof, as the board of directors deems appropriate.</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Corporate Reorganization prior to the IPO</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Sotera Health Company was incorporated in November 2017 as the parent company for Sterigenics, Nordion and Nelson Labs under the name Sotera Health Topco, Inc. On October 23, 2020, the Company changed its name from Sotera Health Topco, Inc. to Sotera Health Company. Prior to the IPO, the Company was a direct wholly owned subsidiary of Sotera Health Topco Parent, L.P. (“Topco Parent”). Under the terms of the corporate reorganization completed prior to the IPO, Topco Parent distributed the shares of Sotera Health Company common stock to its partners in accordance with the limited partnership agreement of Topco Parent. </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Ownership of Topco Parent and Related Distributions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Prior to the IPO, Topco Parent had four outstanding classes of partnership units: (1) Class A Units; (2) Class B-1 Units, which were subject to time-based vesting; (3) Class B-2 Units, which were subject to performance-based vesting; and (4) Class D Units. Each class of units was subject to the terms of the limited partnership agreement of Topco Parent. The Class A Units, Class B Units and Class D Units are referred to collectively as the “Units.”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terms of the corporate reorganization, Topco Parent made an in-kind distribution of the 232,400,200 shares of the Company’s common stock then outstanding to its limited partners in accordance with the terms of its limited partnership agreement, net of any previously unrecouped tax distributions. The value of a share of common stock was measured by the initial public offering price. All shares of the Company’s common stock held by Topco Parent were distributed to the holders of the Units.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With respect to shares of common stock distributed in respect of any Class B-1 Units that were unvested as of the distribution and all of the Class B-2 Units (as none of the Class B-2 Units were vested as of the distribution), such shares are subject to the same vesting and forfeiture restrictions that applied to such unvested Class B-1 and Class B-2 Units prior to the distribution as described in Note 16, “Share-Based Compensation”. Following the distribution of the shares of the Company’s common stock, Topco Parent entered into dissolution.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Following the Corporate reorganization, the Company completed its IPO of 53,590,000 shares of its common stock at a public offering price of $23.00 per share, for proceeds of approximately $1,156.0 million, net of underwriting discounts and issuance costs.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we entered into agreements with certain executive officers to repurchase shares of our common stock beneficially owned by them in private transactions at a purchase price per share equal to the initial public offering price per share of our common stock less the underwriting discounts and commissions payable thereon. The total number of shares repurchased from certain executive officers in the fourth quarter of 2020 was 1,568,445.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March 22, 2021, we closed an underwritten secondary offering of our common stock, at a price to the public of $27.00 per share, in which all 25,000,000 shares were offered by selling stockholders, including Warburg Pincus, GTCR and certain current and former members of our management. In addition, the selling stockholders granted the underwriters a 30-day option to purchase up to an additional 3,750,000 shares of common stock. The Company did not offer any shares in the offering and did not receive any of the proceeds from the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16.Share-Based Compensation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Pre-IPO Awards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Prior to our IPO, the Company’s equity-based awards issued to service providers (including directors and employees) included partnership interests in Topco Parent (Class B-1 or B-2 Units) which vested based on either time or the achievement of certain performance and market conditions (the “pre-IPO awards”). These equity-based awards represented an interest in our former parent and were granted in respect of services provided to the Company and its subsidiaries. In connection with the IPO,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former parent made in-kind distributions of shares of our common stock to its limited partners as described in Note 15,</w:t>
      </w:r>
      <w:r>
        <w:rPr>
          <w:color w:val="000000"/>
          <w:shd w:fill="FFFFFF" w:val="clear"/>
        </w:rPr>
        <w:t xml:space="preserve"> “</w:t>
      </w:r>
      <w:r>
        <w:rPr>
          <w:rFonts w:ascii="Times New Roman;sans-serif" w:hAnsi="Times New Roman;sans-serif"/>
          <w:b w:val="false"/>
          <w:color w:val="000000"/>
          <w:sz w:val="20"/>
          <w:shd w:fill="FFFFFF" w:val="clear"/>
        </w:rPr>
        <w:t>Stockholders' Equity”</w:t>
      </w:r>
      <w:r>
        <w:rPr>
          <w:rFonts w:ascii="Times New Roman;sans-serif" w:hAnsi="Times New Roman;sans-serif"/>
          <w:b w:val="false"/>
          <w:color w:val="000000"/>
          <w:sz w:val="24"/>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At the time of the IPO, there were fewer than 60 individuals who received shares in the in-kind distribution; while this distribution represented a modification to the existing awards, there was no associated change in compensation expense because the fair value of the distributed shares immediately before and after the distribution was the same.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distributed in respect of pre-IPO Class B-1 time vesting units vests on a daily basis pro rata over a five-year vesting period (20% per year) beginning on the original vesting commencement date of the corresponding Class B-1 time vesting units, subject to the grantee’s continued services through each vesting date. Upon the occurrence of a change in control of the Company, all then outstanding unvested shares of our common stock distributed in respect of Class B-1 Units will vest as of the date of consummation of such change in control, subject to the grantee’s continued services through the consummation of the change in control.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distributed in respect of pre-IPO Class B-2 Units (which were considered performance vesting units) are scheduled to vest only upon satisfaction of certain thresholds. These units generally vest as of the first date on which (i) our Sponsors have received actual cash proceeds in an amount equal to or in excess of at least two and one-half times their invested capital in Sotera Health Topco Parent, L.P. (of which the Company was a direct wholly-owned subsidiary prior to the IPO) and (ii) the Sponsors’ internal rate of return exceeds 20%, subject to such grantee’s continued services through such date. In the event of a change in control of the Company, any outstanding shares of our common stock distributed in respect of Class B-2 Units that remain unvested immediately following the consummation of such a change in control of the Company shall be immediately canceled and forfeited without compensation. Stock based compensation expense attributed to the pre-IPO Class B-2 awards was recorded in the fourth quarter of 2020 as the related performance conditions were considered probable of achievement and the implied service conditions were met. As of December 31, 2023, these awards remain unvested.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$2.0 million, $2.1 million and $2.6 million of share-based compensation expense related to pre-IPO Class B-1 Units for the years ended December 31, 2023, 2022, and 2021, respectively.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assumptions used to calculate the fair value of the pre-IPO awards were as follows: </w:t>
      </w:r>
    </w:p>
    <w:tbl>
      <w:tblPr>
        <w:tblW w:w="4172" w:type="dxa"/>
        <w:jc w:val="left"/>
        <w:tblInd w:w="0" w:type="dxa"/>
        <w:tblLayout w:type="fixed"/>
        <w:tblCellMar>
          <w:top w:w="28" w:type="dxa"/>
          <w:left w:w="28" w:type="dxa"/>
          <w:bottom w:w="28" w:type="dxa"/>
          <w:right w:w="28" w:type="dxa"/>
        </w:tblCellMar>
      </w:tblPr>
      <w:tblGrid>
        <w:gridCol w:w="1092"/>
        <w:gridCol w:w="958"/>
        <w:gridCol w:w="964"/>
        <w:gridCol w:w="109"/>
        <w:gridCol w:w="109"/>
        <w:gridCol w:w="109"/>
        <w:gridCol w:w="109"/>
        <w:gridCol w:w="203"/>
        <w:gridCol w:w="203"/>
        <w:gridCol w:w="316"/>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time until exercise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r>
    </w:tbl>
    <w:p>
      <w:pPr>
        <w:pStyle w:val="TextBody"/>
        <w:bidi w:val="0"/>
        <w:spacing w:lineRule="auto" w:line="288"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awards were no longer issued after the IPO in November 2020.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activity for the years ended December 31, 2023, 2022 and 2021 related to the restricted stock distributed to the Company service providers in respect of the pre-IPO awards (Class B-1 and B-2) is presented below: </w:t>
      </w:r>
    </w:p>
    <w:tbl>
      <w:tblPr>
        <w:tblW w:w="7060" w:type="dxa"/>
        <w:jc w:val="left"/>
        <w:tblInd w:w="0" w:type="dxa"/>
        <w:tblLayout w:type="fixed"/>
        <w:tblCellMar>
          <w:top w:w="28" w:type="dxa"/>
          <w:left w:w="28" w:type="dxa"/>
          <w:bottom w:w="28" w:type="dxa"/>
          <w:right w:w="28" w:type="dxa"/>
        </w:tblCellMar>
      </w:tblPr>
      <w:tblGrid>
        <w:gridCol w:w="715"/>
        <w:gridCol w:w="630"/>
        <w:gridCol w:w="634"/>
        <w:gridCol w:w="784"/>
        <w:gridCol w:w="784"/>
        <w:gridCol w:w="787"/>
        <w:gridCol w:w="109"/>
        <w:gridCol w:w="109"/>
        <w:gridCol w:w="109"/>
        <w:gridCol w:w="701"/>
        <w:gridCol w:w="701"/>
        <w:gridCol w:w="997"/>
      </w:tblGrid>
      <w:tr>
        <w:trPr/>
        <w:tc>
          <w:tcPr>
            <w:tcW w:w="7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Restricted Stock - Pre-IPO B-1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Restricted Stock - Pre-IPO B-2</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January 1, 2021</w:t>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2,201,239</w:t>
            </w:r>
            <w:r>
              <w:rPr>
                <w:color w:val="000000"/>
              </w:rPr>
              <w:t> </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2,323,333</w:t>
            </w:r>
            <w:r>
              <w:rPr>
                <w:color w:val="000000"/>
              </w:rPr>
              <w:t> </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(72,467)</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(299,374)</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(922,683)</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2021</w:t>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1,206,089 </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2,023,959 </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(54,333)</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(925,544)</w:t>
            </w:r>
          </w:p>
        </w:tc>
        <w:tc>
          <w:tcPr>
            <w:tcW w:w="9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(435,665)</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2022</w:t>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716,091</w:t>
            </w:r>
            <w:r>
              <w:rPr>
                <w:color w:val="000000"/>
              </w:rPr>
              <w:t> </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1,098,415</w:t>
            </w:r>
            <w:r>
              <w:rPr>
                <w:color w:val="000000"/>
              </w:rPr>
              <w:t> </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(16,243)</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(111,304)</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(347,401)</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At December 31, 2023</w:t>
            </w:r>
          </w:p>
        </w:tc>
        <w:tc>
          <w:tcPr>
            <w:tcW w:w="15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352,447</w:t>
            </w:r>
            <w:r>
              <w:rPr>
                <w:color w:val="000000"/>
              </w:rPr>
              <w:t> </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987,111</w:t>
            </w:r>
            <w:r>
              <w:rPr>
                <w:color w:val="000000"/>
              </w:rPr>
              <w:t> </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summary of the weighted average unit grant date fair value, weighted average remaining contractual term, total compensation cost and unrecognized compensation cost for the pre-IPO awards: </w:t>
      </w:r>
    </w:p>
    <w:tbl>
      <w:tblPr>
        <w:tblW w:w="10205" w:type="dxa"/>
        <w:jc w:val="left"/>
        <w:tblInd w:w="0" w:type="dxa"/>
        <w:tblLayout w:type="fixed"/>
        <w:tblCellMar>
          <w:top w:w="28" w:type="dxa"/>
          <w:left w:w="28" w:type="dxa"/>
          <w:bottom w:w="28" w:type="dxa"/>
          <w:right w:w="28" w:type="dxa"/>
        </w:tblCellMar>
      </w:tblPr>
      <w:tblGrid>
        <w:gridCol w:w="1714"/>
        <w:gridCol w:w="1432"/>
        <w:gridCol w:w="1434"/>
        <w:gridCol w:w="512"/>
        <w:gridCol w:w="1279"/>
        <w:gridCol w:w="264"/>
        <w:gridCol w:w="109"/>
        <w:gridCol w:w="109"/>
        <w:gridCol w:w="109"/>
        <w:gridCol w:w="504"/>
        <w:gridCol w:w="1257"/>
        <w:gridCol w:w="260"/>
        <w:gridCol w:w="109"/>
        <w:gridCol w:w="109"/>
        <w:gridCol w:w="109"/>
        <w:gridCol w:w="211"/>
        <w:gridCol w:w="526"/>
        <w:gridCol w:w="158"/>
      </w:tblGrid>
      <w:tr>
        <w:trPr/>
        <w:tc>
          <w:tcPr>
            <w:tcW w:w="1714"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205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Restricted Stock - Pre-IPO B-1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Restricted Stock - Pre-IPO B-2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All</w:t>
            </w:r>
          </w:p>
          <w:p>
            <w:pPr>
              <w:pStyle w:val="TableContents"/>
              <w:bidi w:val="0"/>
              <w:spacing w:lineRule="auto" w:line="288" w:before="0" w:after="0"/>
              <w:jc w:val="center"/>
              <w:rPr/>
            </w:pPr>
            <w:r>
              <w:rPr>
                <w:rFonts w:ascii="Times New Roman;sans-serif" w:hAnsi="Times New Roman;sans-serif"/>
                <w:b/>
                <w:color w:val="000000"/>
                <w:sz w:val="16"/>
              </w:rPr>
              <w:t>Awards</w:t>
            </w:r>
            <w:r>
              <w:rPr>
                <w:color w:val="000000"/>
              </w:rPr>
              <w:t xml:space="preserve"> </w:t>
            </w:r>
          </w:p>
        </w:tc>
      </w:tr>
      <w:tr>
        <w:trPr/>
        <w:tc>
          <w:tcPr>
            <w:tcW w:w="458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16"/>
                <w:u w:val="single"/>
              </w:rPr>
              <w:t>(</w:t>
            </w:r>
            <w:r>
              <w:rPr>
                <w:rFonts w:ascii="Times New Roman;sans-serif" w:hAnsi="Times New Roman;sans-serif"/>
                <w:b/>
                <w:i/>
                <w:color w:val="000000"/>
                <w:sz w:val="16"/>
                <w:u w:val="single"/>
              </w:rPr>
              <w:t>dollars in millions, except per award values)</w:t>
            </w:r>
          </w:p>
        </w:tc>
        <w:tc>
          <w:tcPr>
            <w:tcW w:w="20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Weighted average grant date fair value per unit of unvested units</w:t>
            </w:r>
            <w:r>
              <w:rPr>
                <w:rFonts w:ascii="Times New Roman;sans-serif" w:hAnsi="Times New Roman;sans-serif"/>
                <w:b w:val="false"/>
                <w:color w:val="000000"/>
                <w:sz w:val="13"/>
              </w:rPr>
              <w:t>(a)</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5.48</w:t>
            </w: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1.81</w:t>
            </w:r>
            <w:r>
              <w:rPr>
                <w:color w:val="00000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2.77</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contractual term</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N/A</w:t>
            </w:r>
          </w:p>
        </w:tc>
      </w:tr>
      <w:tr>
        <w:trPr/>
        <w:tc>
          <w:tcPr>
            <w:tcW w:w="4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cost recognized during 2023</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w:t>
            </w: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expense at December 31, 2023</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w:t>
            </w: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(a)Due to the in-kind distribution of shares of our common stock in connection with our IPO described above, the weighted average grant date fair value per unit is not comparable to the IPO share price.</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N/A – not applicable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2020 Omnibus Incentive Plan</w:t>
      </w:r>
    </w:p>
    <w:p>
      <w:pPr>
        <w:pStyle w:val="TextBody"/>
        <w:bidi w:val="0"/>
        <w:spacing w:lineRule="auto" w:line="288" w:before="240" w:after="283"/>
        <w:jc w:val="left"/>
        <w:rPr/>
      </w:pPr>
      <w:r>
        <w:rPr>
          <w:rFonts w:ascii="Times New Roman;sans-serif" w:hAnsi="Times New Roman;sans-serif"/>
          <w:b w:val="false"/>
          <w:color w:val="000000"/>
          <w:sz w:val="20"/>
        </w:rPr>
        <w:t>We maintain a long-term incentive plan (the “2020 Omnibus Incentive Plan” or the “2020 Plan”) that allows for grants of incentive stock options to employees (including employees of any of our subsidiaries), nonstatutory stock options, restricted stock awards (“RSAs”), restricted stock units (“RSUs”) and other cash-based, equity-based or equity-related awards to employees, directors, and consultants, including employees or consultants of our subsidiaries. The maximum number of shares of our common stock that may be issued unde</w:t>
      </w:r>
      <w:r>
        <w:rPr>
          <w:rFonts w:ascii="Times New Roman;sans-serif" w:hAnsi="Times New Roman;sans-serif"/>
          <w:b w:val="false"/>
          <w:color w:val="000000"/>
          <w:sz w:val="20"/>
          <w:shd w:fill="FFFFFF" w:val="clear"/>
        </w:rPr>
        <w:t xml:space="preserve">r the 2020 Plan </w:t>
      </w:r>
      <w:r>
        <w:rPr>
          <w:rFonts w:ascii="Times New Roman;sans-serif" w:hAnsi="Times New Roman;sans-serif"/>
          <w:b w:val="false"/>
          <w:color w:val="000000"/>
          <w:sz w:val="20"/>
        </w:rPr>
        <w:t xml:space="preserve">is 27.9 million. At December 31, 2023, </w:t>
      </w:r>
      <w:r>
        <w:rPr>
          <w:rFonts w:ascii="Times New Roman;sans-serif" w:hAnsi="Times New Roman;sans-serif"/>
          <w:b w:val="false"/>
          <w:color w:val="000000"/>
          <w:sz w:val="20"/>
          <w:shd w:fill="FFFFFF" w:val="clear"/>
        </w:rPr>
        <w:t>17.6 million</w:t>
      </w:r>
      <w:r>
        <w:rPr>
          <w:color w:val="000000"/>
        </w:rPr>
        <w:t xml:space="preserve"> </w:t>
      </w:r>
      <w:r>
        <w:rPr>
          <w:rFonts w:ascii="Times New Roman;sans-serif" w:hAnsi="Times New Roman;sans-serif"/>
          <w:b w:val="false"/>
          <w:color w:val="000000"/>
          <w:sz w:val="20"/>
        </w:rPr>
        <w:t>shares are available for future issuance. The Company plans to issue shares available under t</w:t>
      </w:r>
      <w:r>
        <w:rPr>
          <w:rFonts w:ascii="Times New Roman;sans-serif" w:hAnsi="Times New Roman;sans-serif"/>
          <w:b w:val="false"/>
          <w:color w:val="000000"/>
          <w:sz w:val="20"/>
          <w:shd w:fill="FFFFFF" w:val="clear"/>
        </w:rPr>
        <w:t xml:space="preserve">he 2020 </w:t>
      </w:r>
      <w:r>
        <w:rPr>
          <w:rFonts w:ascii="Times New Roman;sans-serif" w:hAnsi="Times New Roman;sans-serif"/>
          <w:b w:val="false"/>
          <w:color w:val="000000"/>
          <w:sz w:val="20"/>
        </w:rPr>
        <w:t>Plan or shares from treasury to satisfy requirements of awards paid with shares.</w:t>
      </w:r>
    </w:p>
    <w:p>
      <w:pPr>
        <w:pStyle w:val="TextBody"/>
        <w:bidi w:val="0"/>
        <w:spacing w:lineRule="auto" w:line="288" w:before="240" w:after="283"/>
        <w:jc w:val="left"/>
        <w:rPr/>
      </w:pPr>
      <w:r>
        <w:rPr>
          <w:rFonts w:ascii="Times New Roman;sans-serif" w:hAnsi="Times New Roman;sans-serif"/>
          <w:b w:val="false"/>
          <w:color w:val="000000"/>
          <w:sz w:val="20"/>
        </w:rPr>
        <w:t>We recognize share-based compensation expense at grant date fair value over the requisite service period on a straight-line basis in our Consolidated Statements of Operations and Comprehensive Income (Loss), in “Selling, general and administrative expenses”. We recognized $30.4 million</w:t>
      </w:r>
      <w:r>
        <w:rPr>
          <w:color w:val="000000"/>
          <w:shd w:fill="FFFFFF" w:val="clear"/>
        </w:rPr>
        <w:t xml:space="preserve"> </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$14.4 million for stock options and $16.0 million for RSAs and RSUs), $19.1 million</w:t>
      </w:r>
      <w:r>
        <w:rPr>
          <w:color w:val="000000"/>
          <w:shd w:fill="FFFFFF" w:val="clear"/>
        </w:rPr>
        <w:t xml:space="preserve"> </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 xml:space="preserve">$7.8 million for stock options and $11.3 million for RSUs) and $11.3 million ($5.1 million for stock options and $6.2 million for RSUs) </w:t>
      </w:r>
      <w:r>
        <w:rPr>
          <w:rFonts w:ascii="Times New Roman;sans-serif" w:hAnsi="Times New Roman;sans-serif"/>
          <w:b w:val="false"/>
          <w:color w:val="000000"/>
          <w:sz w:val="20"/>
          <w:shd w:fill="FFFFFF" w:val="clear"/>
        </w:rPr>
        <w:t>of share-based c</w:t>
      </w:r>
      <w:r>
        <w:rPr>
          <w:rFonts w:ascii="Times New Roman;sans-serif" w:hAnsi="Times New Roman;sans-serif"/>
          <w:b w:val="false"/>
          <w:color w:val="000000"/>
          <w:sz w:val="20"/>
        </w:rPr>
        <w:t>ompensation expense for these awards for the years ending December 31, 2023, 2022 and 2021,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 Black-Scholes option pricing model to estimate the fair value of stock options. Since we are a newly public company, the expected volatility is based on the volatility of similar publicly traded businesses within the same or similar industry as the Company in combination with our own volatility. We used the simplified method to estimate the expected term. The risk-free rate is based on the U.S. Treasury yield in effect at the time of the grant.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grant-date fair values of stock options and the assumptions used in estimating the fair values are as follows:</w:t>
      </w:r>
    </w:p>
    <w:tbl>
      <w:tblPr>
        <w:tblW w:w="7163" w:type="dxa"/>
        <w:jc w:val="left"/>
        <w:tblInd w:w="0" w:type="dxa"/>
        <w:tblLayout w:type="fixed"/>
        <w:tblCellMar>
          <w:top w:w="28" w:type="dxa"/>
          <w:left w:w="28" w:type="dxa"/>
          <w:bottom w:w="28" w:type="dxa"/>
          <w:right w:w="28" w:type="dxa"/>
        </w:tblCellMar>
      </w:tblPr>
      <w:tblGrid>
        <w:gridCol w:w="1496"/>
        <w:gridCol w:w="1319"/>
        <w:gridCol w:w="1324"/>
        <w:gridCol w:w="211"/>
        <w:gridCol w:w="511"/>
        <w:gridCol w:w="271"/>
        <w:gridCol w:w="211"/>
        <w:gridCol w:w="511"/>
        <w:gridCol w:w="271"/>
        <w:gridCol w:w="211"/>
        <w:gridCol w:w="511"/>
        <w:gridCol w:w="316"/>
      </w:tblGrid>
      <w:tr>
        <w:trPr/>
        <w:tc>
          <w:tcPr>
            <w:tcW w:w="1496"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option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years</w:t>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years</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years</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generally vest ratably over a period of two to four years. They have an exercise price equal to the fair market value of a share of common stock on the date of grant, and a contractual term of 10 years. The following table summarizes our stock option activity for the year ended December 31, 2023:</w:t>
      </w:r>
    </w:p>
    <w:tbl>
      <w:tblPr>
        <w:tblW w:w="10205" w:type="dxa"/>
        <w:jc w:val="left"/>
        <w:tblInd w:w="0" w:type="dxa"/>
        <w:tblLayout w:type="fixed"/>
        <w:tblCellMar>
          <w:top w:w="28" w:type="dxa"/>
          <w:left w:w="28" w:type="dxa"/>
          <w:bottom w:w="28" w:type="dxa"/>
          <w:right w:w="28" w:type="dxa"/>
        </w:tblCellMar>
      </w:tblPr>
      <w:tblGrid>
        <w:gridCol w:w="916"/>
        <w:gridCol w:w="793"/>
        <w:gridCol w:w="798"/>
        <w:gridCol w:w="495"/>
        <w:gridCol w:w="496"/>
        <w:gridCol w:w="375"/>
        <w:gridCol w:w="109"/>
        <w:gridCol w:w="109"/>
        <w:gridCol w:w="109"/>
        <w:gridCol w:w="460"/>
        <w:gridCol w:w="1380"/>
        <w:gridCol w:w="239"/>
        <w:gridCol w:w="109"/>
        <w:gridCol w:w="109"/>
        <w:gridCol w:w="109"/>
        <w:gridCol w:w="561"/>
        <w:gridCol w:w="561"/>
        <w:gridCol w:w="562"/>
        <w:gridCol w:w="109"/>
        <w:gridCol w:w="109"/>
        <w:gridCol w:w="109"/>
        <w:gridCol w:w="380"/>
        <w:gridCol w:w="923"/>
        <w:gridCol w:w="285"/>
      </w:tblGrid>
      <w:tr>
        <w:trPr/>
        <w:tc>
          <w:tcPr>
            <w:tcW w:w="91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Remaining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p>
            <w:pPr>
              <w:pStyle w:val="TableContents"/>
              <w:bidi w:val="0"/>
              <w:spacing w:lineRule="auto" w:line="288" w:before="0" w:after="0"/>
              <w:jc w:val="center"/>
              <w:rPr/>
            </w:pPr>
            <w:r>
              <w:rPr>
                <w:color w:val="000000"/>
              </w:rPr>
              <w:t> </w:t>
            </w:r>
            <w:r>
              <w:rPr>
                <w:rFonts w:ascii="Times New Roman;sans-serif" w:hAnsi="Times New Roman;sans-serif"/>
                <w:b w:val="false"/>
                <w:color w:val="000000"/>
                <w:sz w:val="16"/>
              </w:rPr>
              <w:t>(m</w:t>
            </w:r>
            <w:r>
              <w:rPr>
                <w:rFonts w:ascii="Times New Roman;sans-serif" w:hAnsi="Times New Roman;sans-serif"/>
                <w:b w:val="false"/>
                <w:i/>
                <w:color w:val="000000"/>
                <w:sz w:val="16"/>
              </w:rPr>
              <w:t>illions of U.S. dollars</w:t>
            </w:r>
            <w:r>
              <w:rPr>
                <w:rFonts w:ascii="Times New Roman;sans-serif" w:hAnsi="Times New Roman;sans-serif"/>
                <w:b w:val="false"/>
                <w:color w:val="000000"/>
                <w:sz w:val="16"/>
              </w:rPr>
              <w:t>)</w:t>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the beginning of the year</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5,990,470 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1,100,329 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(118,138)</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the end of the year</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6,972,661</w:t>
            </w:r>
            <w:r>
              <w:rPr>
                <w:color w:val="000000"/>
              </w:rPr>
              <w:t>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15.17</w:t>
            </w: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Exercisable at the end of the year</w:t>
            </w:r>
          </w:p>
        </w:tc>
        <w:tc>
          <w:tcPr>
            <w:tcW w:w="9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2,828,011</w:t>
            </w:r>
            <w:r>
              <w:rPr>
                <w:color w:val="000000"/>
              </w:rPr>
              <w:t> </w:t>
            </w:r>
          </w:p>
        </w:tc>
        <w:tc>
          <w:tcPr>
            <w:tcW w:w="3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17.08</w:t>
            </w:r>
            <w:r>
              <w:rPr>
                <w:color w:val="000000"/>
              </w:rPr>
              <w:t> </w:t>
            </w:r>
          </w:p>
        </w:tc>
        <w:tc>
          <w:tcPr>
            <w:tcW w:w="2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Unvested at the end of the year</w:t>
            </w:r>
          </w:p>
        </w:tc>
        <w:tc>
          <w:tcPr>
            <w:tcW w:w="99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4,144,650</w:t>
            </w:r>
            <w:r>
              <w:rPr>
                <w:color w:val="000000"/>
              </w:rPr>
              <w:t> </w:t>
            </w:r>
          </w:p>
        </w:tc>
        <w:tc>
          <w:tcPr>
            <w:tcW w:w="3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13.87</w:t>
            </w:r>
            <w:r>
              <w:rPr>
                <w:color w:val="000000"/>
              </w:rPr>
              <w:t> </w:t>
            </w:r>
          </w:p>
        </w:tc>
        <w:tc>
          <w:tcPr>
            <w:tcW w:w="2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doub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 total unrecognized compensation expense related to stock options expected to be recognized over the weighted-average period of approximately 1.5 years is $18.3 million. The total fair value of stock options vested during the years ended December 31, 2023, 2022 and 2021was $10.6 million, $4.4 million and $5.0 million, respectively.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RSUs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generally vest ratably over a period of one to four years and are valued based on the market price on the date of grant. The following table summarizes our unvested RSUs activity for the year ended December 31, 2023:</w:t>
      </w:r>
    </w:p>
    <w:tbl>
      <w:tblPr>
        <w:tblW w:w="8148" w:type="dxa"/>
        <w:jc w:val="left"/>
        <w:tblInd w:w="0" w:type="dxa"/>
        <w:tblLayout w:type="fixed"/>
        <w:tblCellMar>
          <w:top w:w="28" w:type="dxa"/>
          <w:left w:w="28" w:type="dxa"/>
          <w:bottom w:w="28" w:type="dxa"/>
          <w:right w:w="28" w:type="dxa"/>
        </w:tblCellMar>
      </w:tblPr>
      <w:tblGrid>
        <w:gridCol w:w="1146"/>
        <w:gridCol w:w="1008"/>
        <w:gridCol w:w="1011"/>
        <w:gridCol w:w="495"/>
        <w:gridCol w:w="496"/>
        <w:gridCol w:w="471"/>
        <w:gridCol w:w="109"/>
        <w:gridCol w:w="109"/>
        <w:gridCol w:w="109"/>
        <w:gridCol w:w="675"/>
        <w:gridCol w:w="2023"/>
        <w:gridCol w:w="496"/>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the beginning of the year</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2,482,435 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921,472 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(180,754)</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(924,317)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Unvested at the end of the year</w:t>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2,298,836</w:t>
            </w:r>
            <w:r>
              <w:rPr>
                <w:color w:val="000000"/>
              </w:rPr>
              <w:t>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13.81</w:t>
            </w:r>
            <w:r>
              <w:rPr>
                <w:color w:val="000000"/>
              </w:rPr>
              <w:t>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total unrecognized compensation expense related to RSUs expected to be recognized over the weighted-average period of approximately 1.7 years is $22.4 million. The total fair value of RSUs vested during the years ended December 31, 2023, 2022 and 2021 was $14.1 million, $5.7 million and $5.1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17.Earnings (Loss) Per Share </w:t>
      </w:r>
    </w:p>
    <w:p>
      <w:pPr>
        <w:pStyle w:val="TextBody"/>
        <w:bidi w:val="0"/>
        <w:spacing w:lineRule="auto" w:line="288" w:before="240" w:after="283"/>
        <w:jc w:val="left"/>
        <w:rPr/>
      </w:pPr>
      <w:r>
        <w:rPr>
          <w:rFonts w:ascii="Times New Roman;sans-serif" w:hAnsi="Times New Roman;sans-serif"/>
          <w:b w:val="false"/>
          <w:color w:val="000000"/>
          <w:sz w:val="20"/>
        </w:rPr>
        <w:t>Basic earnings (loss) per share represents the amount of income (loss) attributable to each common share outstanding. Diluted earnings (loss) per share represents the amount of income (loss)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w:t>
      </w:r>
      <w:r>
        <w:rPr>
          <w:rFonts w:ascii="Times New Roman;sans-serif" w:hAnsi="Times New Roman;sans-serif"/>
          <w:b w:val="false"/>
          <w:color w:val="000000"/>
          <w:sz w:val="24"/>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periods in which the Company has net income, earnings per share is calculated using the two-class method. This method is required as unvested restricted stock distributed in respect of pre-IPO Class B-1 and B-2 awards have the right to receive non-forfeitable dividends or dividend equivalents if the Company declares dividends on its common stock. Pursuant to the two-class method, earnings for each period are allocated on a pro-rata basis to common stockholders and unvested pre-IPO Class B-1 and B-2 restricted stock awards. Diluted earnings per share is computed using the more dilutive of (a) the two-class method, or (b) treasury stock method, as applicable, to the potentially dilutive instruments.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periods in which the Company has a net loss, the two-class method is not applicable because the pre-IPO Class B-1 and B-2 restricted stock awards do not participate in losses.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Our</w:t>
      </w:r>
      <w:r>
        <w:rPr>
          <w:color w:val="000000"/>
        </w:rPr>
        <w:t xml:space="preserve"> </w:t>
      </w:r>
      <w:r>
        <w:rPr>
          <w:rFonts w:ascii="Times New Roman;sans-serif" w:hAnsi="Times New Roman;sans-serif"/>
          <w:b w:val="false"/>
          <w:color w:val="000000"/>
          <w:sz w:val="20"/>
        </w:rPr>
        <w:t>basic and diluted earnings (loss) per common share are calculated as follows:</w:t>
      </w:r>
    </w:p>
    <w:tbl>
      <w:tblPr>
        <w:tblW w:w="10205" w:type="dxa"/>
        <w:jc w:val="left"/>
        <w:tblInd w:w="0" w:type="dxa"/>
        <w:tblLayout w:type="fixed"/>
        <w:tblCellMar>
          <w:top w:w="28" w:type="dxa"/>
          <w:left w:w="28" w:type="dxa"/>
          <w:bottom w:w="28" w:type="dxa"/>
          <w:right w:w="28" w:type="dxa"/>
        </w:tblCellMar>
      </w:tblPr>
      <w:tblGrid>
        <w:gridCol w:w="2396"/>
        <w:gridCol w:w="1850"/>
        <w:gridCol w:w="1858"/>
        <w:gridCol w:w="211"/>
        <w:gridCol w:w="736"/>
        <w:gridCol w:w="109"/>
        <w:gridCol w:w="109"/>
        <w:gridCol w:w="109"/>
        <w:gridCol w:w="109"/>
        <w:gridCol w:w="211"/>
        <w:gridCol w:w="878"/>
        <w:gridCol w:w="109"/>
        <w:gridCol w:w="109"/>
        <w:gridCol w:w="109"/>
        <w:gridCol w:w="109"/>
        <w:gridCol w:w="211"/>
        <w:gridCol w:w="826"/>
        <w:gridCol w:w="156"/>
      </w:tblGrid>
      <w:tr>
        <w:trPr/>
        <w:tc>
          <w:tcPr>
            <w:tcW w:w="2396"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 of U.S. dollars and share amounts (except per share amounts)</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(loss):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51,376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Allocation to participating securities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Sotera Health Company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51,089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Shares:</w:t>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basic</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281,008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Dilutive effect of potential common shares</w:t>
            </w:r>
            <w:r>
              <w:rPr>
                <w:rFonts w:ascii="Times New Roman;sans-serif" w:hAnsi="Times New Roman;sans-serif"/>
                <w:b w:val="false"/>
                <w:color w:val="000000"/>
                <w:sz w:val="13"/>
              </w:rPr>
              <w:t>(a)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 diluted</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283,222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(loss) per Common Share:</w:t>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 attributable to Sotera Health Company common stockholders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 attributable to Sotera Health Company common stockholders - diluted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(a)As the Company reported a net loss for the year ended December 31, 2022, the calculation of diluted weighted average common shares outstanding is not applicable for the year ended December 31, 2022 because the effect of including the potential common shares would be anti-dilutive.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shares does not consider the following potential common shares as the effect would be anti-dilutive:</w:t>
      </w:r>
    </w:p>
    <w:tbl>
      <w:tblPr>
        <w:tblW w:w="5646" w:type="dxa"/>
        <w:jc w:val="left"/>
        <w:tblInd w:w="0" w:type="dxa"/>
        <w:tblLayout w:type="fixed"/>
        <w:tblCellMar>
          <w:top w:w="28" w:type="dxa"/>
          <w:left w:w="28" w:type="dxa"/>
          <w:bottom w:w="28" w:type="dxa"/>
          <w:right w:w="28" w:type="dxa"/>
        </w:tblCellMar>
      </w:tblPr>
      <w:tblGrid>
        <w:gridCol w:w="907"/>
        <w:gridCol w:w="797"/>
        <w:gridCol w:w="800"/>
        <w:gridCol w:w="284"/>
        <w:gridCol w:w="287"/>
        <w:gridCol w:w="176"/>
        <w:gridCol w:w="140"/>
        <w:gridCol w:w="140"/>
        <w:gridCol w:w="140"/>
        <w:gridCol w:w="285"/>
        <w:gridCol w:w="286"/>
        <w:gridCol w:w="176"/>
        <w:gridCol w:w="140"/>
        <w:gridCol w:w="140"/>
        <w:gridCol w:w="140"/>
        <w:gridCol w:w="285"/>
        <w:gridCol w:w="286"/>
        <w:gridCol w:w="237"/>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 of share amounts</w:t>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anti-dilutive securities</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4,399</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8,457</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2,407</w:t>
            </w: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18.Leases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lease certain facilities and equipment under various non-cancelable leases. Most of our real property leases provide for renewal periods and rent escalations and stipulate that we pay taxes, maintenance, and certain other operating expenses applicable to the leased premises.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lease expense were as follows: </w:t>
      </w:r>
    </w:p>
    <w:tbl>
      <w:tblPr>
        <w:tblW w:w="6716" w:type="dxa"/>
        <w:jc w:val="left"/>
        <w:tblInd w:w="0" w:type="dxa"/>
        <w:tblLayout w:type="fixed"/>
        <w:tblCellMar>
          <w:top w:w="28" w:type="dxa"/>
          <w:left w:w="28" w:type="dxa"/>
          <w:bottom w:w="28" w:type="dxa"/>
          <w:right w:w="28" w:type="dxa"/>
        </w:tblCellMar>
      </w:tblPr>
      <w:tblGrid>
        <w:gridCol w:w="1043"/>
        <w:gridCol w:w="916"/>
        <w:gridCol w:w="920"/>
        <w:gridCol w:w="211"/>
        <w:gridCol w:w="736"/>
        <w:gridCol w:w="109"/>
        <w:gridCol w:w="109"/>
        <w:gridCol w:w="109"/>
        <w:gridCol w:w="109"/>
        <w:gridCol w:w="211"/>
        <w:gridCol w:w="721"/>
        <w:gridCol w:w="109"/>
        <w:gridCol w:w="109"/>
        <w:gridCol w:w="109"/>
        <w:gridCol w:w="109"/>
        <w:gridCol w:w="211"/>
        <w:gridCol w:w="721"/>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8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color w:val="000000"/>
                <w:sz w:val="20"/>
              </w:rPr>
              <w:t>Operating lease costs</w:t>
            </w:r>
            <w:r>
              <w:rPr>
                <w:color w:val="000000"/>
              </w:rPr>
              <w:t xml:space="preserve"> </w:t>
            </w:r>
            <w:r>
              <w:rPr>
                <w:rFonts w:ascii="Times New Roman;sans-serif" w:hAnsi="Times New Roman;sans-serif"/>
                <w:b/>
                <w:i/>
                <w:color w:val="000000"/>
                <w:sz w:val="10"/>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 costs: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 of use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Total finance lease costs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Total lease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26,466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(a)Includes $1.4 million, $1.3 million, and $0.9 million of short-term lease costs in the year ended December 31, 2023, 2022, and 2021, respectively.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terms and discount rates were as follows:</w:t>
      </w:r>
    </w:p>
    <w:tbl>
      <w:tblPr>
        <w:tblW w:w="6262" w:type="dxa"/>
        <w:jc w:val="left"/>
        <w:tblInd w:w="0" w:type="dxa"/>
        <w:tblLayout w:type="fixed"/>
        <w:tblCellMar>
          <w:top w:w="28" w:type="dxa"/>
          <w:left w:w="28" w:type="dxa"/>
          <w:bottom w:w="28" w:type="dxa"/>
          <w:right w:w="28" w:type="dxa"/>
        </w:tblCellMar>
      </w:tblPr>
      <w:tblGrid>
        <w:gridCol w:w="1292"/>
        <w:gridCol w:w="1135"/>
        <w:gridCol w:w="1143"/>
        <w:gridCol w:w="313"/>
        <w:gridCol w:w="213"/>
        <w:gridCol w:w="567"/>
        <w:gridCol w:w="170"/>
        <w:gridCol w:w="170"/>
        <w:gridCol w:w="170"/>
        <w:gridCol w:w="292"/>
        <w:gridCol w:w="219"/>
        <w:gridCol w:w="578"/>
      </w:tblGrid>
      <w:tr>
        <w:trPr/>
        <w:tc>
          <w:tcPr>
            <w:tcW w:w="12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2023 </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w:t>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 years</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years</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14.0 years</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years</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5.92</w:t>
            </w:r>
            <w:r>
              <w:rPr>
                <w:color w:val="000000"/>
              </w:rPr>
              <w:t>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5.76</w:t>
            </w:r>
            <w:r>
              <w:rPr>
                <w:color w:val="000000"/>
              </w:rPr>
              <w:t>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Supplemental cash flow information related to leases was as follows: </w:t>
      </w:r>
    </w:p>
    <w:tbl>
      <w:tblPr>
        <w:tblW w:w="9897" w:type="dxa"/>
        <w:jc w:val="left"/>
        <w:tblInd w:w="0" w:type="dxa"/>
        <w:tblLayout w:type="fixed"/>
        <w:tblCellMar>
          <w:top w:w="28" w:type="dxa"/>
          <w:left w:w="28" w:type="dxa"/>
          <w:bottom w:w="28" w:type="dxa"/>
          <w:right w:w="28" w:type="dxa"/>
        </w:tblCellMar>
      </w:tblPr>
      <w:tblGrid>
        <w:gridCol w:w="2196"/>
        <w:gridCol w:w="1929"/>
        <w:gridCol w:w="1935"/>
        <w:gridCol w:w="211"/>
        <w:gridCol w:w="736"/>
        <w:gridCol w:w="109"/>
        <w:gridCol w:w="109"/>
        <w:gridCol w:w="109"/>
        <w:gridCol w:w="109"/>
        <w:gridCol w:w="211"/>
        <w:gridCol w:w="721"/>
        <w:gridCol w:w="109"/>
        <w:gridCol w:w="109"/>
        <w:gridCol w:w="109"/>
        <w:gridCol w:w="109"/>
        <w:gridCol w:w="211"/>
        <w:gridCol w:w="721"/>
        <w:gridCol w:w="154"/>
      </w:tblGrid>
      <w:tr>
        <w:trPr/>
        <w:tc>
          <w:tcPr>
            <w:tcW w:w="2196"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0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amounts included in the measurement of lease liabilities:</w:t>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 for finance leases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cash flows for finance leases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non-cash information was as follows:</w:t>
      </w:r>
    </w:p>
    <w:tbl>
      <w:tblPr>
        <w:tblW w:w="8546" w:type="dxa"/>
        <w:jc w:val="left"/>
        <w:tblInd w:w="0" w:type="dxa"/>
        <w:tblLayout w:type="fixed"/>
        <w:tblCellMar>
          <w:top w:w="28" w:type="dxa"/>
          <w:left w:w="28" w:type="dxa"/>
          <w:bottom w:w="28" w:type="dxa"/>
          <w:right w:w="28" w:type="dxa"/>
        </w:tblCellMar>
      </w:tblPr>
      <w:tblGrid>
        <w:gridCol w:w="1821"/>
        <w:gridCol w:w="1599"/>
        <w:gridCol w:w="1604"/>
        <w:gridCol w:w="211"/>
        <w:gridCol w:w="631"/>
        <w:gridCol w:w="109"/>
        <w:gridCol w:w="109"/>
        <w:gridCol w:w="109"/>
        <w:gridCol w:w="109"/>
        <w:gridCol w:w="211"/>
        <w:gridCol w:w="616"/>
        <w:gridCol w:w="109"/>
        <w:gridCol w:w="109"/>
        <w:gridCol w:w="109"/>
        <w:gridCol w:w="109"/>
        <w:gridCol w:w="211"/>
        <w:gridCol w:w="616"/>
        <w:gridCol w:w="154"/>
      </w:tblGrid>
      <w:tr>
        <w:trPr/>
        <w:tc>
          <w:tcPr>
            <w:tcW w:w="1821"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liabilities arising from obtaining right-of-use assets:</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14,770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before="20" w:after="283"/>
        <w:jc w:val="left"/>
        <w:rPr/>
      </w:pPr>
      <w:r>
        <w:rPr/>
      </w:r>
    </w:p>
    <w:p>
      <w:pPr>
        <w:pStyle w:val="TextBody"/>
        <w:bidi w:val="0"/>
        <w:spacing w:before="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Maturities of lease liabilities as of December 31, 2023 are as follows: </w:t>
      </w:r>
    </w:p>
    <w:tbl>
      <w:tblPr>
        <w:tblW w:w="5862" w:type="dxa"/>
        <w:jc w:val="left"/>
        <w:tblInd w:w="0" w:type="dxa"/>
        <w:tblLayout w:type="fixed"/>
        <w:tblCellMar>
          <w:top w:w="28" w:type="dxa"/>
          <w:left w:w="28" w:type="dxa"/>
          <w:bottom w:w="28" w:type="dxa"/>
          <w:right w:w="28" w:type="dxa"/>
        </w:tblCellMar>
      </w:tblPr>
      <w:tblGrid>
        <w:gridCol w:w="723"/>
        <w:gridCol w:w="635"/>
        <w:gridCol w:w="637"/>
        <w:gridCol w:w="211"/>
        <w:gridCol w:w="736"/>
        <w:gridCol w:w="109"/>
        <w:gridCol w:w="109"/>
        <w:gridCol w:w="109"/>
        <w:gridCol w:w="109"/>
        <w:gridCol w:w="211"/>
        <w:gridCol w:w="736"/>
        <w:gridCol w:w="109"/>
        <w:gridCol w:w="109"/>
        <w:gridCol w:w="109"/>
        <w:gridCol w:w="109"/>
        <w:gridCol w:w="211"/>
        <w:gridCol w:w="736"/>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Operating</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Leases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Finance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Leases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19,936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11,272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10,814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9,892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8,989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74,337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80,502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31,029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110,376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141,405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(42,820)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26,021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72,564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98,585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19.Asset Retirement Obligations (“ARO”)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ARO represent the present value of future remediation costs and an increase in the carrying amounts of the related assets in property, plant and equipment in the Consolidated Balance Sheets. The capitalized future site remediation costs are depreciated and the ARO are accreted over the life of the related assets which is included in depreciation and amortization expense, respectively.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ARO is determined based on estimates requiring management judgment. Key assumptions include the timing and estimated decommissioning costs of the remediation activities and credit adjusted risk free interest rates. Changes in the assumptions based on future information may result in adjustments to the estimated obligations over time. No market risk premium has been included in the calculation for the ARO since no reliable estimate can be made by the Company. Any difference between costs incurred upon settlement of an ARO and the liability recognized for the estimated cost of asset retirements will be recognized as a gain or loss in our current period operating results.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year, we review decommissioning costs and consider changes in marketplace rates. The following table describes changes to our ARO liability during the years presented: </w:t>
      </w:r>
    </w:p>
    <w:tbl>
      <w:tblPr>
        <w:tblW w:w="5604" w:type="dxa"/>
        <w:jc w:val="left"/>
        <w:tblInd w:w="0" w:type="dxa"/>
        <w:tblLayout w:type="fixed"/>
        <w:tblCellMar>
          <w:top w:w="28" w:type="dxa"/>
          <w:left w:w="28" w:type="dxa"/>
          <w:bottom w:w="28" w:type="dxa"/>
          <w:right w:w="28" w:type="dxa"/>
        </w:tblCellMar>
      </w:tblPr>
      <w:tblGrid>
        <w:gridCol w:w="1136"/>
        <w:gridCol w:w="998"/>
        <w:gridCol w:w="1001"/>
        <w:gridCol w:w="211"/>
        <w:gridCol w:w="736"/>
        <w:gridCol w:w="109"/>
        <w:gridCol w:w="109"/>
        <w:gridCol w:w="109"/>
        <w:gridCol w:w="109"/>
        <w:gridCol w:w="211"/>
        <w:gridCol w:w="721"/>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For the Year Ended</w:t>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ARO –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45,482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settled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estimates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ARO – end of period</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45,482</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Less current portion of ARO</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Noncurrent ARO –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47,944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depreciation expense on the ARO of $0.4 million, $0.3 million and $0.4 million, for the years ended December 31, 2023, 2022, and 2021 respectively.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obligated to provide financial assurance to local and state licensing authorities for possible future decommissioning costs associated with the various facilities that hold Co-60. At December 31, 2023 and 2022, $48.2 million and $54.1 million, respectively, of the standby letters of credit referenced above and surety bonds were outstanding in favor of the various local and state licensing authorities in the event we defaulted on our decommissioning obligation.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360" w:after="283"/>
        <w:ind w:left="0" w:right="0" w:hanging="360"/>
        <w:jc w:val="left"/>
        <w:rPr/>
      </w:pPr>
      <w:r>
        <w:rPr>
          <w:rFonts w:ascii="Times New Roman;sans-serif" w:hAnsi="Times New Roman;sans-serif"/>
          <w:b/>
          <w:color w:val="000000"/>
          <w:sz w:val="20"/>
        </w:rPr>
        <w:t>20.Commitments and Continge</w:t>
      </w:r>
      <w:r>
        <w:rPr>
          <w:rFonts w:ascii="Times New Roman;sans-serif" w:hAnsi="Times New Roman;sans-serif"/>
          <w:b/>
          <w:color w:val="000000"/>
          <w:sz w:val="20"/>
          <w:shd w:fill="FFFFFF" w:val="clear"/>
        </w:rPr>
        <w:t>ncies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We depend on a limited number of suppliers and our agreements with these suppliers account for material portions of our supply and direct material costs. These costs include obligations under various supply agreements in our Nordion segment for Co-60 that are enforceable and legally binding on us. As of December 31, 2023, we had minimum purchase commitments primarily with domestic and international suppliers of raw materials for the Nordion business totaling $1,607.1 million. The terms of these long-term supply or service arrangements range from 1 to 40 years. In addition, our Sterigenics segment has obligations to purchase ethylene oxide (“EO”). Our contract to purchase EO in the U.S. requires us to purchase all of our requirements from one supplier, and our contracts to purchase EO outside the U.S. generally require that we purchase a specified percentage of our requirements for our operations in the countries covered by those contracts. </w:t>
      </w:r>
      <w:r>
        <w:rPr>
          <w:rFonts w:ascii="Times New Roman;sans-serif" w:hAnsi="Times New Roman;sans-serif"/>
          <w:b w:val="false"/>
          <w:color w:val="000000"/>
          <w:sz w:val="20"/>
        </w:rPr>
        <w:t>We expect to utilize the Co-60 and EO encompassed by these agreements in the normal course of our business and therefore our commitments under these agreements are not recognized on the consolidated balance sheets as a liability.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 We assess these regulatory and legal actions to determine if a contingent liability should be recorded. In making these determinations, we may, depending on the nature of the matter, consult with internal and external legal counsel and technical experts. We establish reserves for specific liabilities in connection with regulatory and legal actions that we determine to be both probable and reasonably estimable. The outcomes of regulatory and legal actions can be difficult to predict and are often resolved over long periods of time, making our probability and estimability determinations highly judgmental. Probability determinations require the analysis of various possible outcomes, assessments of potential damages and the impact of multiple factors beyond our control, including potential actions by others, interpretations of the law, and changes and developments in relevant facts, circumstances, regulations and other laws. If a potentially material loss contingency is not probable, but is reasonably possible, or is probable but cannot be estimated, then the nature of the contingent liability is disclosed, together with an estimate of the range of possible loss if the range is determinable and material. In certain of the matters described below, we are not able to estimate potential liability because of the uncertainties related to the outcome(s) and/or the amount(s) or range(s) of loss. The ultimate resolution of pending regulatory and legal matters in future periods, including the matters described below, may have a material adverse effect on our financial condition, results of operations and/or liquidity. The Company may also incur material defense and settlement costs, diversion of management resources and other adverse effects on our business, financial condition, and/or results of operations.</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Ethylene Oxide Tort Litigation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U.S., LLC (“Sterigenics”) and other medical supply sterilization companies have been subjected to tort lawsuits alleging various injuries caused by low-level environmental exposure to EO used at or emitted from sterilization facilities. Those lawsuits, as detailed further below, are individual claims, as opposed to class actions.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Illinois</w:t>
      </w:r>
    </w:p>
    <w:p>
      <w:pPr>
        <w:pStyle w:val="TextBody"/>
        <w:bidi w:val="0"/>
        <w:spacing w:lineRule="auto" w:line="288" w:before="240" w:after="283"/>
        <w:jc w:val="left"/>
        <w:rPr/>
      </w:pPr>
      <w:r>
        <w:rPr>
          <w:rFonts w:ascii="Times New Roman;sans-serif" w:hAnsi="Times New Roman;sans-serif"/>
          <w:b w:val="false"/>
          <w:color w:val="000000"/>
          <w:sz w:val="20"/>
        </w:rPr>
        <w:t>Subsidiaries of the Company and other parties are defendants in lawsuits in Illinois in which plaintiffs allege personal injuries and wrongful death resulting from purported use, emissions and releases of EO from or at Sterigenics’ former Willowbrook facility and seek damages and other forms of relief (the “Willowbrook Cases”).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there were jury trials in two Willowbrook Cases. The first trial resulted in a September 2022 verdict against Sterigenics and Sotera Health LLC (the “Defendant Subsidiaries”) in the amount of $358.7 million, including $320.0 million in punitive damages. The second trial resulted in a November 2022 verdict in favor of the Defendant Subsidiaries on all counts. On January 9, 2023, the Defendant Subsidiaries announced a settlement that, subject to various conditions, would resolve the then-pending or threatened 880+ Willowbrook Cases for $408.0 million, including the two cases in which there were jury trials during 2022 (“the Willowbrook Settlement”). Based on our assessment of the likelihood that the conditions to the Willowbrook term sheets would be satisfied or waived, the Company recorded a charge of $408.0 million for the year ended December 31, 2022. On June 23, 2023, the Circuit Court of Cook County entered an order confirming that the Willowbrook Settlement was a good-faith settlement under the Illinois Contribution Among Joint Tortfeasors Act. On July 6, 2023, the settled claims were dismissed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prejudice, with the Circuit Court of Cook County retaining jurisdiction to adjudicate disputes over liens on settlement proceeds to be paid to settling plaintiffs and to oversee the administration of the settlements of wrongful death cases.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Two claimants eligible to participate in the Willowbrook Settlement declined to participate and their cases remain pending in the Circuit Court of Cook County (each an “Opt-Out Case”). 23 personal injury lawsuits have been filed in the Circuit Court of Cook County since eligibility to participate in the Willowbrook Settlement closed in March 2023 (“Post-Settlement Willowbrook Cases”). Three Post-Settlement Willowbrook Cases have been removed to the United States District Court for the Northern District of Illinois. The remaining Post-Settlement Willowbrook Cases will proceed in the Circuit Court of Cook County and are expected to be consolidated for discovery and pretrial purposes only. We intend to vigorously defend the Opt-Out Cases and Post-Settlement Willowbrook Cases.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Georgia</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Defendant Subsidiaries and other parties are defendants in lawsuits in Georgia in which plaintiffs allege personal injuries, wrongful death and property devaluation resulting from use, emissions and releases of EO from or at Sterigenics’ Atlanta facility and seek damages and, in certain cases, other forms of relief (the “Atlanta Cases”).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the Defendant Subsidiaries agreed to pay $35.0 million to settle 79 of the Atlanta Cases, including a personal injury case that was scheduled to begin trial in the State Court of Gwinnett County that month, and 78 other cases being pursued by the same Plaintiff’s counsel in the personal injury case that was scheduled to begin trial in October 2023 (the “Atlanta Settlement”). The Atlanta Settlement was completed in January 2024, with the settling plaintiffs agreeing to file the necessary dismissals and, where required, motions for court approval.</w:t>
      </w:r>
    </w:p>
    <w:p>
      <w:pPr>
        <w:pStyle w:val="TextBody"/>
        <w:bidi w:val="0"/>
        <w:spacing w:lineRule="auto" w:line="288" w:before="240" w:after="283"/>
        <w:jc w:val="left"/>
        <w:rPr/>
      </w:pPr>
      <w:r>
        <w:rPr>
          <w:rFonts w:ascii="Times New Roman;sans-serif" w:hAnsi="Times New Roman;sans-serif"/>
          <w:b w:val="false"/>
          <w:color w:val="000000"/>
          <w:sz w:val="20"/>
        </w:rPr>
        <w:t>Approximately 245 personal injury and wrongful death claims remain pending in the State Court of Cobb County and have been consolidated for pretrial purposes (the “Consolidated Personal Injury Cases”).</w:t>
      </w:r>
      <w:r>
        <w:rPr>
          <w:color w:val="000000"/>
        </w:rPr>
        <w:t xml:space="preserve"> </w:t>
      </w:r>
      <w:r>
        <w:rPr>
          <w:rFonts w:ascii="Times New Roman;sans-serif" w:hAnsi="Times New Roman;sans-serif"/>
          <w:b w:val="false"/>
          <w:color w:val="000000"/>
          <w:sz w:val="20"/>
        </w:rPr>
        <w:t>The Consolidated Personal Injury Cases are proceeding under a case management order pursuant to which a “pool” of eight cases will proceed to judicial determination of general causation issues in Phase 1 and specific causation issues in Phase 2; the first trial of any “pool” case that survives Phases 1 and 2 is not expected to begin before September 2025. The remaining Consolidated Personal Injury Cases (including nine cases that include both personal injury and property claims) are stayed. Two additional personal injury lawsuits pending in Cobb County have not been consolidated. The parties have jointly asked the court to stay one of these cases along with the stayed cases in the Consolidated Personal Injury Cases. In the other case, employees of a sterilization customer of Sterigenics allege they were injured by exposure while working at the customer’s distribution facility to residual EO allegedly emanating from products of the customer that had been sterilized at Sterigenics’ Atlanta facility; discovery is underway and, pursuant to the customer’s contract with Sterigenics, the customer is indemnifying Sterigenics against this lawsuit.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Defendant Subsidiaries are also defendants in approximately 365 property devaluation lawsuits that remain pending in the State Court of Cobb County and have been consolidated for pretrial purposes (the “Consolidated Property Cases”). Ten of the Consolidated Property Cases are proceeding under case management orders while the remaining cases are stayed. Discovery in five of the cases is underway; dispositive motions remain pending in the other five.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vigorously defend the remaining Atlanta Cases.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New Mexico</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certain subsidiaries are defendants in a lawsuit in the Third Judicial District Court, Doña Ana County, New Mexico in which the New Mexico Attorney General ( “NMAG”) alleges that emissions and releases of EO from Sterigenics’ facility in Santa Teresa, New Mexico have deteriorated the air quality in Santa Teresa and surrounding communities and materially contributed to increased health risks suffered by residents of those communities. The Complaint asserted claims for public nuisance, negligence, strict liability, violations of New Mexico’s Public Nuisance Statute and Unfair Practices Act and sought various forms of relief, including injunctive relief and damages. In June 2021, the Court entered an Order Granting Preliminary Injunction prohibiting Sterigenics from allowing any uncontrolled emissions or releases of EO from the Santa Teresa facility. In December 2021, the Court entered an order establishing a protocol to monitor Sterigenics’ compliance with the preliminary injunction. Operations at the facility continue to comply with the June 2021 and December 2021 orders.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the Court granted Sterigenics’ motion for summary judgment on strict liability, the Unfair Practices Act claim, and the NMAG’s claims for decreased property values, increased healthcare costs and medical monitoring costs, and instructed the NMAG to amend its Complaint in compliance with the order and to exclude any claim for injunctive relief (the “Summary Judgment Order”). In August 2023, the NMAG sought reconsideration of the Summary Judgment Order, which was denied in December 2023. While this motion was pending, the NMAG filed an Amended Complaint. The NMAG is seeking leave to file an interlocutory appeal of the Summary Judgment Order which, if granted, would stay all proceedings in the underlying case during the appeal. In January 2024, Sterigenics filed motions to dissolve the June 2021 injunction and to dismiss the Amended Complaint. A defense motion challenging the Court’s jurisdiction over Sotera Health Company and another defendant also remains pending.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Sterigenics and certain other subsidiaries are also defendants in a lawsuit pending in the United States District Court for the District of New Mexico alleging wrongful death resulting from purported exposure to EO used, emitted and released from Sterigenics’ facility in Santa Teresa, New Mexico while the decedent was working at a different company’s facility approximately one mile away. The court has not yet entered a case management order. We intend to defend this lawsuit vigorously.</w:t>
      </w:r>
    </w:p>
    <w:p>
      <w:pPr>
        <w:pStyle w:val="TextBody"/>
        <w:bidi w:val="0"/>
        <w:spacing w:lineRule="auto" w:line="288" w:before="240" w:after="283"/>
        <w:jc w:val="center"/>
        <w:rPr/>
      </w:pPr>
      <w:r>
        <w:rPr>
          <w:rFonts w:ascii="Arial;sans-serif" w:hAnsi="Arial;sans-serif"/>
          <w:b w:val="false"/>
          <w:color w:val="000000"/>
          <w:sz w:val="20"/>
        </w:rPr>
        <w:t>*</w:t>
      </w:r>
      <w:r>
        <w:rPr>
          <w:color w:val="000000"/>
        </w:rPr>
        <w:t xml:space="preserve"> </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EO tort lawsuits may be filed in the future against the Company and/or its subsidiaries relating to Sterigenics’ Willowbrook, Atlanta, Santa Teresa or other EO facilities. Based on our view of the strength of the science and related evidence that emissions of EO from Sterigenics’ operations have not caused and could not have caused the harms alleged in such lawsuits, we believe that losses in the remaining or future EO cases are not probable. Although the Company intends to defend itself vigorously on the merits, future settlements of EO tort lawsuits are reasonably possible. The Willowbrook and Atlanta Settlements were driven by dynamics unique to the cases that were settled and thus should not give rise to presumptions that the Company will settle additional EO tort lawsuits and/or that any such settlements will be for comparable amounts.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trial and settlement outcomes can vary widely based a host of factors. EO tort lawsuits will be presided over by different judges, tried by different counsel presenting different evidence and decided by different juries. The substantive and procedural laws of jurisdictions vary and can meaningfully impact the litigation process and outcome of a case. Each plaintiff’s claim involves unique facts and evidence including the circumstances of the plaintiff’s alleged exposure, the type and severity of the plaintiff’s disease, the plaintiff’s medical history and course of treatment, the location of and other factors related to the plaintiff’s real property, and other circumstances. The outcomes of trials before juries are rarely certain and a judgment rendered or settlement reached in one case is not necessarily representative of potential outcomes of other seemingly comparable cases. As a result, it is not possible to estimate a reasonably possible loss or range of loss with respect to any future EO tort lawsuit, trial or settlement.</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Insurance Coverage for Environmental Liabilities</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environmental liability insurance policy under which we have received coverage for the EO tort lawsuits in Illinois, Georgia and New Mexico described above had limits of $10.0 million per occurrence and $20.0 million in the aggregate. Those per occurrence and aggregate limits were fully utilized in the defense of the Illinois, Georgia and New Mexico litigation. Our insurance for future alleged environmental liabilities excludes coverage for EO claims.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pursuing additional insurance coverage for our legal expenses related to EO tort lawsuits like the Illinois, Georgia and New Mexico matters described above. In 2021, Sterigenics filed an insurance coverage lawsuit in the U.S. District Court for the Northern District of Illinois relating to two commercial general liability policies issued in the 1980s (the “Northern District of Illinois Coverage Lawsuit”). The court has issued an order declaring that the defendant insurer owes Sterigenics and another insured party a duty to defend the Willowbrook Cases (the “Duty to Defend Order”) and entered judgment for Sterigenics in January 2024 in the amount of $110.2 million for certain defense costs incurred in the Willowbrook Cases as of August 2022 (the “Defense Costs Judgment”). The defendant insurer has appealed the Duty to Defend Order and Defense Costs Judgment. Sterigenics is also a party in insurance coverage lawsuits pending in the Circuit Court of Cook County, Illinois and the Delaware Superior Court relating to insurance coverage from various historical commercial general liability policies for certain EO litigation settlement amounts and defense costs that the insurer in the Northern District of Illinois Coverage Lawsuit may fail to fund. It is not possible to predict how much, if any, of the insurance proceeds sought will ultimately be recovered.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Sotera Health Company Securities Litigation &amp; Related Matters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January 2023, a stockholder class action was filed in the U.S. District Court for the Northern District of Ohio against the Company, certain past and present directors and senior executives, the Company’s private equity stockholders and the underwriters of the Company’s initial public offering (“IPO”) in November 2020 and the Company’s secondary public offering (“SPO”) in March 2021 (the “Michigan Funds Litigation”). In April 2023, the court appointed the Oakland County Employees’ Retirement System, Oakland County Voluntary Employees’ Beneficiary Association, and Wayne County Employees’ Retirement System (the “Michigan Funds”) to serve as lead plaintiff to prosecute claims on behalf of a proposed class of stockholders who acquired shares of the Company in connection with our IPO or SPO or between November 20, 2020 and September 19, 2022 (the “Proposed Class”). The Michigan Funds allege that statements made regarding the safety of the Company’s use of EO and/or its EO tort lawsuits and other risks of its EO operations violated Sections 11, 12(a)(2) and 15 of the Securities Act of 1933 (when made in the registration statements for the IPO and SPO) and Sections 10(b), Section 20(a) and Rule 10b-5 of the Securities Exchange Act of 1934 (when made in subsequent securities filings and other contexts). Defendants have moved to dismiss the Amended Complaint and that motion remains pending.</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May 2023 and July 2023, the Company received demands pursuant to 8 Del. C. §220 for inspections of its books and records from shareholders purporting to be investigating the Company’s internal operations, disclosure practices and other matters alleged and at issue in the Michigan Funds Litigation (the “220 Demands”). The Company is producing documents in response to the 220 Demands.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Company believes that the allegations and claims in the Michigan Funds Litigation and 220 Demands are without merit and plans to vigorously defend the Michigan Funds Litigation</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21.Financial Instruments and Financial Risk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Derivative Instruments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use derivatives for trading or speculative purposes and are not a party to leveraged derivatives.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Derivatives Designated in Hedge Relationships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utilizes interest rate derivatives designated in hedge relationships to manage interest rate risk associated with our variable rate borrowings. These instruments are measured at fair value with changes in fair value recorded as a component of “Accumulated other comprehensive income (loss)” on our Consolidated Balance Sheets.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we entered into an interest rate swap agreement with a notional amount of $400.0 million. The interest rate swap was effective on August 23, 2023 and expires on August 23, 2025. We have designated the interest rate swap as a cash flow hedge designed to hedge the variability of cash flows attributable to changes in the SOFR benchmark interest rate of our 2023 Term Loan (or any successor thereto). We receive interest at the one-month Term SOFR rate and pay a fixed interest rate under the terms of the swap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we entered into two interest rate cap agreements with a combined notional amount of $1,000.0 million for a total option premium of $4.1 million. The interest rate caps were effective on July 31, 2023 and expire on July 31, 2024. We have designated these interest rate caps as cash flow hedges designed to hedge the variability of cash flows attributable to changes in the benchmark interest rate of our Term Loan (or any successor thereto). Under the current terms of the loan agreement, the benchmark interest rate index transitioned from LIBOR to the Term SOFR on June 30, 2023. Accordingly, the interest rate cap agreements hedge the variability of cash flows attributable to changes in SOFR by limiting our cash flow exposure related to Term SOFR under a portion of our variable rate borrowings to 3.5%.</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we entered into two interest rate cap agreements with a combined notional amount of $1,000.0 million for a total option premium of $1.8 million. Both interest rate caps were effective on December 31, 2022 and expired on July 31, 2023. These interest rate caps are designated as cash flow hedges and were designed to hedge the variability of cash flows attributable to changes in LIBOR (or its successor), the benchmark interest rate being hedged, by limiting our cash flow exposure related to the LIBOR base rate under a portion of our variable rate borrowings to 1.0%.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Derivatives Not Designated in Hedge Relationships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from time to time, the Company enters into interest rate derivatives to manage economic risks associated with our variable rate borrowings that are not designated in hedge relationships. These instruments are recorded at fair value on the Consolidated Balance Sheets, with any changes in the value being recorded in “Interest expense, net” in the Consolidated Statements of Operations and Comprehensive Income (Loss).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routinely enters into foreign currency forward contracts to manage foreign currency exchange rate risk of our intercompany loans in certain of our international subsidiaries and non-functional currency assets and liabilities. The foreign currency forward contracts expire on a monthly basis.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Embedded Derivatives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summary of the notional and fair values of our derivative instruments: </w:t>
      </w:r>
    </w:p>
    <w:tbl>
      <w:tblPr>
        <w:tblW w:w="10205" w:type="dxa"/>
        <w:jc w:val="left"/>
        <w:tblInd w:w="0" w:type="dxa"/>
        <w:tblLayout w:type="fixed"/>
        <w:tblCellMar>
          <w:top w:w="28" w:type="dxa"/>
          <w:left w:w="28" w:type="dxa"/>
          <w:bottom w:w="28" w:type="dxa"/>
          <w:right w:w="28" w:type="dxa"/>
        </w:tblCellMar>
      </w:tblPr>
      <w:tblGrid>
        <w:gridCol w:w="925"/>
        <w:gridCol w:w="680"/>
        <w:gridCol w:w="683"/>
        <w:gridCol w:w="236"/>
        <w:gridCol w:w="873"/>
        <w:gridCol w:w="121"/>
        <w:gridCol w:w="109"/>
        <w:gridCol w:w="109"/>
        <w:gridCol w:w="109"/>
        <w:gridCol w:w="237"/>
        <w:gridCol w:w="830"/>
        <w:gridCol w:w="123"/>
        <w:gridCol w:w="310"/>
        <w:gridCol w:w="708"/>
        <w:gridCol w:w="160"/>
        <w:gridCol w:w="109"/>
        <w:gridCol w:w="109"/>
        <w:gridCol w:w="109"/>
        <w:gridCol w:w="237"/>
        <w:gridCol w:w="861"/>
        <w:gridCol w:w="122"/>
        <w:gridCol w:w="239"/>
        <w:gridCol w:w="819"/>
        <w:gridCol w:w="123"/>
        <w:gridCol w:w="270"/>
        <w:gridCol w:w="788"/>
        <w:gridCol w:w="206"/>
      </w:tblGrid>
      <w:tr>
        <w:trPr/>
        <w:tc>
          <w:tcPr>
            <w:tcW w:w="92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5"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5"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2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U.S. dollars; notional in millions, fair value in thousands)</w:t>
            </w:r>
          </w:p>
        </w:tc>
        <w:tc>
          <w:tcPr>
            <w:tcW w:w="12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Assets</w:t>
            </w:r>
          </w:p>
        </w:tc>
        <w:tc>
          <w:tcPr>
            <w:tcW w:w="11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w:t>
            </w:r>
          </w:p>
        </w:tc>
        <w:tc>
          <w:tcPr>
            <w:tcW w:w="11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Assets</w:t>
            </w:r>
          </w:p>
        </w:tc>
        <w:tc>
          <w:tcPr>
            <w:tcW w:w="12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Liabilities</w:t>
            </w:r>
          </w:p>
        </w:tc>
      </w:tr>
      <w:tr>
        <w:trPr/>
        <w:tc>
          <w:tcPr>
            <w:tcW w:w="22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hedging instruments</w:t>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1,000.0</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8,763</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400.0</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1,487</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not designated as hedging instruments</w:t>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171.0</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Embedded derivatives</w:t>
            </w:r>
            <w:r>
              <w:rPr>
                <w:rFonts w:ascii="Times New Roman;sans-serif" w:hAnsi="Times New Roman;sans-serif"/>
                <w:b w:val="false"/>
                <w:color w:val="000000"/>
                <w:sz w:val="13"/>
              </w:rPr>
              <w:t>(a)</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150.1</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1,225</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405</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1,721.1</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11,624</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414</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8"/>
        </w:rPr>
        <w:t>(a)</w:t>
      </w:r>
      <w:r>
        <w:rPr>
          <w:rFonts w:ascii="Times New Roman;sans-serif" w:hAnsi="Times New Roman;sans-serif"/>
          <w:b w:val="false"/>
          <w:color w:val="000000"/>
          <w:sz w:val="20"/>
        </w:rPr>
        <w:t>Represents the total notional amounts for certain of the Company’s supply and sales contracts accounted for as embedded derivatives.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derivatives assets and foreign currency forward contracts are included in “Prepaid expenses and other current assets” and “Accrued Liabilities” on our Consolidated Balance Sheets depending upon their position at period end. Interest rate swaps and interest rate caps are included in “Other assets” and “Noncurrent liabilities”, respectively, on the Consolidated Balance Sheets depending upon their position at period end.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activities of our derivative instruments for the periods presented, and the line item they are recorded in the Consolidated Statements of Operations and Comprehensive Income (Loss): </w:t>
      </w:r>
    </w:p>
    <w:tbl>
      <w:tblPr>
        <w:tblW w:w="10205" w:type="dxa"/>
        <w:jc w:val="left"/>
        <w:tblInd w:w="0" w:type="dxa"/>
        <w:tblLayout w:type="fixed"/>
        <w:tblCellMar>
          <w:top w:w="28" w:type="dxa"/>
          <w:left w:w="28" w:type="dxa"/>
          <w:bottom w:w="28" w:type="dxa"/>
          <w:right w:w="28" w:type="dxa"/>
        </w:tblCellMar>
      </w:tblPr>
      <w:tblGrid>
        <w:gridCol w:w="2454"/>
        <w:gridCol w:w="2131"/>
        <w:gridCol w:w="2138"/>
        <w:gridCol w:w="266"/>
        <w:gridCol w:w="515"/>
        <w:gridCol w:w="109"/>
        <w:gridCol w:w="109"/>
        <w:gridCol w:w="109"/>
        <w:gridCol w:w="109"/>
        <w:gridCol w:w="266"/>
        <w:gridCol w:w="515"/>
        <w:gridCol w:w="109"/>
        <w:gridCol w:w="109"/>
        <w:gridCol w:w="109"/>
        <w:gridCol w:w="109"/>
        <w:gridCol w:w="211"/>
        <w:gridCol w:w="678"/>
        <w:gridCol w:w="159"/>
      </w:tblGrid>
      <w:tr>
        <w:trPr/>
        <w:tc>
          <w:tcPr>
            <w:tcW w:w="2454"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2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Ended December 31,</w:t>
            </w:r>
          </w:p>
        </w:tc>
        <w:tc>
          <w:tcPr>
            <w:tcW w:w="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7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interest rate derivatives recorded in interest expense, net</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Realized (gain) loss on interest rate derivatives recorded in interest expense, net</w:t>
            </w:r>
            <w:r>
              <w:rPr>
                <w:rFonts w:ascii="Times New Roman;sans-serif" w:hAnsi="Times New Roman;sans-serif"/>
                <w:b w:val="false"/>
                <w:color w:val="000000"/>
                <w:sz w:val="13"/>
              </w:rPr>
              <w:t>(a)</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embedded derivatives recorded in other (income)/ expense, net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on foreign currency forward contracts recorded in foreign exchange (gain) loss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foreign currency forward contracts recorded in foreign exchange (gain) loss</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0" w:after="0"/>
        <w:ind w:left="0" w:right="0" w:hanging="630"/>
        <w:jc w:val="left"/>
        <w:rPr/>
      </w:pPr>
      <w:r>
        <w:rPr>
          <w:rFonts w:ascii="Times New Roman;sans-serif" w:hAnsi="Times New Roman;sans-serif"/>
          <w:b w:val="false"/>
          <w:color w:val="000000"/>
          <w:sz w:val="19"/>
        </w:rPr>
        <w:t>(a)    </w:t>
      </w:r>
      <w:r>
        <w:rPr>
          <w:rFonts w:ascii="Times New Roman;sans-serif" w:hAnsi="Times New Roman;sans-serif"/>
          <w:b w:val="false"/>
          <w:color w:val="000000"/>
          <w:sz w:val="18"/>
        </w:rPr>
        <w:t xml:space="preserve">For the years ended </w:t>
      </w:r>
      <w:r>
        <w:rPr>
          <w:rFonts w:ascii="Times New Roman;sans-serif" w:hAnsi="Times New Roman;sans-serif"/>
          <w:b w:val="false"/>
          <w:color w:val="000000"/>
          <w:sz w:val="20"/>
        </w:rPr>
        <w:t>December 31, 2023 and December 31, 2022</w:t>
      </w:r>
      <w:r>
        <w:rPr>
          <w:rFonts w:ascii="Times New Roman;sans-serif" w:hAnsi="Times New Roman;sans-serif"/>
          <w:b w:val="false"/>
          <w:color w:val="000000"/>
          <w:sz w:val="18"/>
        </w:rPr>
        <w:t>, amounts represent periodic settlement of interest rate caps and swaps.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reclassify approximately $8.7 million of after-tax net gains on derivative instruments from accumulated other comprehensive income (loss) to income during the next 12 months associated with our cash flow hedges. Refer to Note 14, “Other Comprehensive Income (Loss)” for unrealized gains on interest rate derivatives, net of applicable tax, recorded in other comprehensive income (loss) and amounts reclassified from accumulated other comprehensive income to interest expense, net of applicable tax, during the years ended December 31, 2023 and December 31,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Credit Risk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financial assets, including cash and cash equivalents, are exposed to credit risk.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exposed, in our normal course of business, to credit risk from our customers. As of December 31, 2023 and 2022, accounts receivable was net of an allowance for uncollectible accounts of $4.7 million and $1.9 million, respectively.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credit team evaluates and regularly monitors changes in the credit risk of our customers. We routinely assess the collectability of accounts receivable and maintain an adequate allowance for uncollectible accounts to address potential credit losses. The process includes a review of customer financial information and credit ratings, current market conditions as well as the expected future economic conditions that may impact the collection of trade receivables. We regularly review our customers’ past due amounts through an analysis of aged accounts receivables, specific customer past due aging amounts, and the history of trade receivables written off. Upon concluding that a receivable balance is not collectible, the balance is written off against the allowance for uncollectible accounts.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Fair Value Hierarchy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discloses the fair value our financial assets and liabilities: </w:t>
      </w:r>
    </w:p>
    <w:tbl>
      <w:tblPr>
        <w:tblW w:w="9912" w:type="dxa"/>
        <w:jc w:val="left"/>
        <w:tblInd w:w="0" w:type="dxa"/>
        <w:tblLayout w:type="fixed"/>
        <w:tblCellMar>
          <w:top w:w="28" w:type="dxa"/>
          <w:left w:w="28" w:type="dxa"/>
          <w:bottom w:w="28" w:type="dxa"/>
          <w:right w:w="28" w:type="dxa"/>
        </w:tblCellMar>
      </w:tblPr>
      <w:tblGrid>
        <w:gridCol w:w="1583"/>
        <w:gridCol w:w="1395"/>
        <w:gridCol w:w="1401"/>
        <w:gridCol w:w="109"/>
        <w:gridCol w:w="109"/>
        <w:gridCol w:w="109"/>
        <w:gridCol w:w="313"/>
        <w:gridCol w:w="936"/>
        <w:gridCol w:w="161"/>
        <w:gridCol w:w="109"/>
        <w:gridCol w:w="109"/>
        <w:gridCol w:w="109"/>
        <w:gridCol w:w="211"/>
        <w:gridCol w:w="406"/>
        <w:gridCol w:w="109"/>
        <w:gridCol w:w="109"/>
        <w:gridCol w:w="109"/>
        <w:gridCol w:w="109"/>
        <w:gridCol w:w="248"/>
        <w:gridCol w:w="743"/>
        <w:gridCol w:w="109"/>
        <w:gridCol w:w="109"/>
        <w:gridCol w:w="109"/>
        <w:gridCol w:w="109"/>
        <w:gridCol w:w="211"/>
        <w:gridCol w:w="406"/>
        <w:gridCol w:w="109"/>
        <w:gridCol w:w="109"/>
        <w:gridCol w:w="154"/>
      </w:tblGrid>
      <w:tr>
        <w:trPr/>
        <w:tc>
          <w:tcPr>
            <w:tcW w:w="158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263" w:type="dxa"/>
            <w:gridSpan w:val="2"/>
            <w:tcBorders/>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Level 1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Level 2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Level 3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Derivatives designated as hedging instruments</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8,763</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1,487</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Derivatives not designated as hedging instruments</w:t>
            </w:r>
            <w:r>
              <w:rPr>
                <w:rFonts w:ascii="Times New Roman;sans-serif" w:hAnsi="Times New Roman;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Embedded derivative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1,225</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405</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Current portion of long-term debt</w:t>
            </w:r>
            <w:r>
              <w:rPr>
                <w:rFonts w:ascii="Times New Roman;sans-serif" w:hAnsi="Times New Roman;sans-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due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4,797</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Long-Term Debt</w:t>
            </w:r>
            <w:r>
              <w:rPr>
                <w:rFonts w:ascii="Times New Roman;sans-serif" w:hAnsi="Times New Roman;sans-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1,751,197</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1,758,163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due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472,477</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492,500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Finance Lease Obligations (with current portion)</w:t>
            </w:r>
            <w:r>
              <w:rPr>
                <w:rFonts w:ascii="Times New Roman;sans-serif" w:hAnsi="Times New Roman;sans-serif"/>
                <w:b w:val="false"/>
                <w:color w:val="000000"/>
                <w:sz w:val="13"/>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72,564</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72,564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896" w:type="dxa"/>
        <w:jc w:val="left"/>
        <w:tblInd w:w="0" w:type="dxa"/>
        <w:tblLayout w:type="fixed"/>
        <w:tblCellMar>
          <w:top w:w="28" w:type="dxa"/>
          <w:left w:w="28" w:type="dxa"/>
          <w:bottom w:w="28" w:type="dxa"/>
          <w:right w:w="28" w:type="dxa"/>
        </w:tblCellMar>
      </w:tblPr>
      <w:tblGrid>
        <w:gridCol w:w="1583"/>
        <w:gridCol w:w="1395"/>
        <w:gridCol w:w="1401"/>
        <w:gridCol w:w="109"/>
        <w:gridCol w:w="109"/>
        <w:gridCol w:w="109"/>
        <w:gridCol w:w="285"/>
        <w:gridCol w:w="977"/>
        <w:gridCol w:w="147"/>
        <w:gridCol w:w="109"/>
        <w:gridCol w:w="109"/>
        <w:gridCol w:w="109"/>
        <w:gridCol w:w="211"/>
        <w:gridCol w:w="406"/>
        <w:gridCol w:w="109"/>
        <w:gridCol w:w="109"/>
        <w:gridCol w:w="109"/>
        <w:gridCol w:w="109"/>
        <w:gridCol w:w="249"/>
        <w:gridCol w:w="727"/>
        <w:gridCol w:w="109"/>
        <w:gridCol w:w="109"/>
        <w:gridCol w:w="109"/>
        <w:gridCol w:w="109"/>
        <w:gridCol w:w="211"/>
        <w:gridCol w:w="406"/>
        <w:gridCol w:w="109"/>
        <w:gridCol w:w="109"/>
        <w:gridCol w:w="154"/>
      </w:tblGrid>
      <w:tr>
        <w:trPr/>
        <w:tc>
          <w:tcPr>
            <w:tcW w:w="158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263" w:type="dxa"/>
            <w:gridSpan w:val="2"/>
            <w:tcBorders/>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Level 1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Level 2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Level 3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Derivatives designated as hedging instruments</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Derivatives not designated as hedging instruments</w:t>
            </w:r>
            <w:r>
              <w:rPr>
                <w:rFonts w:ascii="Times New Roman;sans-serif" w:hAnsi="Times New Roman;sans-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Current portion of long-term debt</w:t>
            </w:r>
            <w:r>
              <w:rPr>
                <w:rFonts w:ascii="Times New Roman;sans-serif" w:hAnsi="Times New Roman;sans-serif"/>
                <w:b w:val="false"/>
                <w:color w:val="000000"/>
                <w:sz w:val="13"/>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196,672 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Long-Term Debt</w:t>
            </w:r>
            <w:r>
              <w:rPr>
                <w:rFonts w:ascii="Times New Roman;sans-serif" w:hAnsi="Times New Roman;sans-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due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1,747,115 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Finance Lease Obligations (with current portion)</w:t>
            </w:r>
            <w:r>
              <w:rPr>
                <w:rFonts w:ascii="Times New Roman;sans-serif" w:hAnsi="Times New Roman;sans-serif"/>
                <w:b w:val="false"/>
                <w:color w:val="000000"/>
                <w:sz w:val="13"/>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(a)Derivatives designated as hedging instruments are measured at fair value with changes in fair value recorded as a component of accumulated other comprehensive income (loss). Interest rate caps and swaps are valued using pricing models that incorporate observable market inputs including interest rate curves and yield curves. Additional information is provided in Note 1, “Significant Accounting Policies”.</w:t>
      </w:r>
    </w:p>
    <w:p>
      <w:pPr>
        <w:pStyle w:val="TextBody"/>
        <w:bidi w:val="0"/>
        <w:spacing w:lineRule="auto" w:line="26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(b)Derivatives that are not designated as hedging instruments are measured at fair value with gains or losses recognized immediately in the Consolidated Statements of Operations and Comprehensive Income (Loss). Refer also to Note 1, “Significant Accounting Policies”. Embedded derivatives are valued using internally developed models that rely on observable market inputs, including foreign currency forward curves. Foreign currency forward contracts are valued by reference to changes in foreign currency exchange rate over the life of the contract. Interest rate caps are valued using pricing models that incorporate observable market inputs including interest rate and yield curves.</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(c)Carrying amounts of current portion of long-term debt and long-term debt instruments are reported net of discounts and debt issuance costs. The estimated fair value of these instruments is based upon quoted prices for the term loans due in 2026 in inactive markets as provided by an independent fixed income security pricing service.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(d)Refer to Note 18, “Leases”. Fair value approximates carrying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(e)Carrying amounts of current portion of long-term debt for the year ended December 31, 2022 are reported net of discounts and debt issuance costs. Fair value approximates carrying value for the year ended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22.Segment and Geographic Information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evaluates performance and allocates resources based on net revenues and segment income after the elimination of intercompany activities. The accounting policies of our reportable segments are the same as those described in Note 1, “Significant Accounting Policies”.</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Sterigenics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provides outsourced terminal sterilization and irradiation services for the medical device, pharmaceutical, food safety and advanced applications markets using three major technologies: gamma irradiation, EO processing and E-beam irradiation.</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Nordion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 </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Nelson Labs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Nelson Labs provides outsourced microbiological and analytical chemistry testing and advisory services for the medical device and pharmaceutical industries. </w:t>
      </w:r>
    </w:p>
    <w:p>
      <w:pPr>
        <w:pStyle w:val="TextBody"/>
        <w:bidi w:val="0"/>
        <w:spacing w:lineRule="auto" w:line="288" w:before="24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Segment Revenue Concentrations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three customers reported within the Nordion segment individually represented 10% or more of the segment’s total net revenues. These customers represented 20.1%, 14.8%, and 13.9% of the total segment’s external net revenues for the year ended December 31, 2023. For the year ended December 31, 2022, five customers reported within the Nordion segment individually represented 10% or more of the segment’s total net revenues. These customers represented 17.7%, 13.6%, 11.2%, 10.7%, and 10.2% of the total segment’s external net revenues for the year ended December 31, 2022. For the year ended December 31, 2021, four customers reported within the Nordion segment individually represented 10% or more of the segment’s total net revenues. These customers represented 15.1%, 12.7%, 11.5%, 11.1% of the total segment’s external net revenues for the year ended December 31, 2021.</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information for each of our segments is presented in the following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bl>
      <w:tblPr>
        <w:tblW w:w="6447" w:type="dxa"/>
        <w:jc w:val="left"/>
        <w:tblInd w:w="0" w:type="dxa"/>
        <w:tblLayout w:type="fixed"/>
        <w:tblCellMar>
          <w:top w:w="28" w:type="dxa"/>
          <w:left w:w="28" w:type="dxa"/>
          <w:bottom w:w="28" w:type="dxa"/>
          <w:right w:w="28" w:type="dxa"/>
        </w:tblCellMar>
      </w:tblPr>
      <w:tblGrid>
        <w:gridCol w:w="723"/>
        <w:gridCol w:w="635"/>
        <w:gridCol w:w="637"/>
        <w:gridCol w:w="211"/>
        <w:gridCol w:w="991"/>
        <w:gridCol w:w="109"/>
        <w:gridCol w:w="109"/>
        <w:gridCol w:w="109"/>
        <w:gridCol w:w="109"/>
        <w:gridCol w:w="211"/>
        <w:gridCol w:w="976"/>
        <w:gridCol w:w="109"/>
        <w:gridCol w:w="109"/>
        <w:gridCol w:w="109"/>
        <w:gridCol w:w="109"/>
        <w:gridCol w:w="211"/>
        <w:gridCol w:w="826"/>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Segment revenues</w:t>
            </w:r>
            <w:r>
              <w:rPr>
                <w:rFonts w:ascii="Times New Roman;sans-serif" w:hAnsi="Times New Roman;sans-serif"/>
                <w:b w:val="false"/>
                <w:color w:val="000000"/>
                <w:sz w:val="13"/>
              </w:rPr>
              <w:t>(a)</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667,130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571,829 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160,459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140,507 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221,699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1,049,288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Segment income</w:t>
            </w:r>
            <w:r>
              <w:rPr>
                <w:rFonts w:ascii="Times New Roman;sans-serif" w:hAnsi="Times New Roman;sans-serif"/>
                <w:b w:val="false"/>
                <w:color w:val="000000"/>
                <w:sz w:val="13"/>
              </w:rPr>
              <w:t>(b)</w:t>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362,212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310,470 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96,678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82,673 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69,139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segment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528,029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(a)Revenues are reported net of intersegment sales. Our Nordion segment recognized $43.9 million, $52.4 million and $34.1 million in revenues from sales to our Sterigenics segment for the years ended December 31, 2023, 2022 and 2021, respectively, that is not reflected in net revenues in the table above. Intersegment sales for Sterigenics and Nelson Labs are immaterial for all periods presented.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(b)Segment income is only provided on a net basis to the chief operating decision maker and is reported net of intersegment profits.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operating expenses for executive management, accounting, information technology, legal, human resources, treasury, investor relations, corporate development, tax, purchasing, and marketing not directly incurred by a segment are allocated to the segments based on total net revenue. Corporate operating expenses that are directly incurred by a segment are reflected in each segment’s income.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by segment for the years ended December 31, 2023, 2022 and 2021 were as follows:</w:t>
      </w:r>
    </w:p>
    <w:tbl>
      <w:tblPr>
        <w:tblW w:w="6492" w:type="dxa"/>
        <w:jc w:val="left"/>
        <w:tblInd w:w="0" w:type="dxa"/>
        <w:tblLayout w:type="fixed"/>
        <w:tblCellMar>
          <w:top w:w="28" w:type="dxa"/>
          <w:left w:w="28" w:type="dxa"/>
          <w:bottom w:w="28" w:type="dxa"/>
          <w:right w:w="28" w:type="dxa"/>
        </w:tblCellMar>
      </w:tblPr>
      <w:tblGrid>
        <w:gridCol w:w="848"/>
        <w:gridCol w:w="745"/>
        <w:gridCol w:w="747"/>
        <w:gridCol w:w="211"/>
        <w:gridCol w:w="841"/>
        <w:gridCol w:w="109"/>
        <w:gridCol w:w="109"/>
        <w:gridCol w:w="109"/>
        <w:gridCol w:w="109"/>
        <w:gridCol w:w="211"/>
        <w:gridCol w:w="826"/>
        <w:gridCol w:w="109"/>
        <w:gridCol w:w="109"/>
        <w:gridCol w:w="109"/>
        <w:gridCol w:w="109"/>
        <w:gridCol w:w="211"/>
        <w:gridCol w:w="826"/>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163,043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38,351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capital expenditures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214,975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and depreciation and amortization expense by segment are not readily available and are not reported separately to the chief operating decision maker.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segment income to consolidated income (loss) before taxes is as follows: </w:t>
      </w:r>
    </w:p>
    <w:tbl>
      <w:tblPr>
        <w:tblW w:w="10205" w:type="dxa"/>
        <w:jc w:val="left"/>
        <w:tblInd w:w="0" w:type="dxa"/>
        <w:tblLayout w:type="fixed"/>
        <w:tblCellMar>
          <w:top w:w="28" w:type="dxa"/>
          <w:left w:w="28" w:type="dxa"/>
          <w:bottom w:w="28" w:type="dxa"/>
          <w:right w:w="28" w:type="dxa"/>
        </w:tblCellMar>
      </w:tblPr>
      <w:tblGrid>
        <w:gridCol w:w="2212"/>
        <w:gridCol w:w="1886"/>
        <w:gridCol w:w="1893"/>
        <w:gridCol w:w="211"/>
        <w:gridCol w:w="841"/>
        <w:gridCol w:w="109"/>
        <w:gridCol w:w="109"/>
        <w:gridCol w:w="109"/>
        <w:gridCol w:w="109"/>
        <w:gridCol w:w="211"/>
        <w:gridCol w:w="886"/>
        <w:gridCol w:w="109"/>
        <w:gridCol w:w="109"/>
        <w:gridCol w:w="109"/>
        <w:gridCol w:w="109"/>
        <w:gridCol w:w="211"/>
        <w:gridCol w:w="826"/>
        <w:gridCol w:w="156"/>
      </w:tblGrid>
      <w:tr>
        <w:trPr/>
        <w:tc>
          <w:tcPr>
            <w:tcW w:w="2212"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Ended December 31,</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9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Segment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528,029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Less adjustments: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expense, net</w:t>
            </w:r>
            <w:r>
              <w:rPr>
                <w:rFonts w:ascii="Times New Roman;sans-serif" w:hAnsi="Times New Roman;sans-serif"/>
                <w:b w:val="false"/>
                <w:color w:val="000000"/>
                <w:sz w:val="10"/>
              </w:rPr>
              <w:t>(a)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116,068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Depreciation and amortization</w:t>
            </w:r>
            <w:r>
              <w:rPr>
                <w:rFonts w:ascii="Times New Roman;sans-serif" w:hAnsi="Times New Roman;sans-serif"/>
                <w:b w:val="false"/>
                <w:color w:val="000000"/>
                <w:sz w:val="10"/>
              </w:rPr>
              <w:t>(b)</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157,925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Share-based compensation</w:t>
            </w:r>
            <w:r>
              <w:rPr>
                <w:rFonts w:ascii="Times New Roman;sans-serif" w:hAnsi="Times New Roman;sans-serif"/>
                <w:b w:val="false"/>
                <w:color w:val="000000"/>
                <w:sz w:val="10"/>
              </w:rPr>
              <w:t>(c)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32,364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(Gain) loss on foreign currency and derivatives not designated as hedging instruments, net</w:t>
            </w:r>
            <w:r>
              <w:rPr>
                <w:rFonts w:ascii="Times New Roman;sans-serif" w:hAnsi="Times New Roman;sans-serif"/>
                <w:b w:val="false"/>
                <w:color w:val="000000"/>
                <w:sz w:val="10"/>
              </w:rPr>
              <w:t>(d)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Acquisition and divestiture related charges, net</w:t>
            </w:r>
            <w:r>
              <w:rPr>
                <w:rFonts w:ascii="Times New Roman;sans-serif" w:hAnsi="Times New Roman;sans-serif"/>
                <w:b w:val="false"/>
                <w:color w:val="000000"/>
                <w:sz w:val="10"/>
              </w:rPr>
              <w:t>(e)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Business optimization project expenses</w:t>
            </w:r>
            <w:r>
              <w:rPr>
                <w:rFonts w:ascii="Times New Roman;sans-serif" w:hAnsi="Times New Roman;sans-serif"/>
                <w:b w:val="false"/>
                <w:color w:val="000000"/>
                <w:sz w:val="10"/>
              </w:rPr>
              <w:t>(f)</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Plant closure expenses</w:t>
            </w:r>
            <w:r>
              <w:rPr>
                <w:rFonts w:ascii="Times New Roman;sans-serif" w:hAnsi="Times New Roman;sans-serif"/>
                <w:b w:val="false"/>
                <w:color w:val="000000"/>
                <w:sz w:val="10"/>
              </w:rPr>
              <w:t>(g)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Impairment of investment in unconsolidated affiliate</w:t>
            </w:r>
            <w:r>
              <w:rPr>
                <w:rFonts w:ascii="Times New Roman;sans-serif" w:hAnsi="Times New Roman;sans-serif"/>
                <w:b w:val="false"/>
                <w:color w:val="000000"/>
                <w:sz w:val="10"/>
              </w:rPr>
              <w:t>(h)</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Loss on extinguishment of debt</w:t>
            </w:r>
            <w:r>
              <w:rPr>
                <w:rFonts w:ascii="Times New Roman;sans-serif" w:hAnsi="Times New Roman;sans-serif"/>
                <w:b w:val="false"/>
                <w:color w:val="000000"/>
                <w:sz w:val="10"/>
              </w:rPr>
              <w:t>(i)</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Professional services relating to EO sterilization facilities</w:t>
            </w:r>
            <w:r>
              <w:rPr>
                <w:rFonts w:ascii="Times New Roman;sans-serif" w:hAnsi="Times New Roman;sans-serif"/>
                <w:b w:val="false"/>
                <w:color w:val="000000"/>
                <w:sz w:val="10"/>
              </w:rPr>
              <w:t>(j)</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72,122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Illinois EO litigation settlement</w:t>
            </w:r>
            <w:r>
              <w:rPr>
                <w:rFonts w:ascii="Times New Roman;sans-serif" w:hAnsi="Times New Roman;sans-serif"/>
                <w:b w:val="false"/>
                <w:color w:val="000000"/>
                <w:sz w:val="13"/>
              </w:rPr>
              <w:t>(k)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Georgia EO litigation settlement</w:t>
            </w:r>
            <w:r>
              <w:rPr>
                <w:rFonts w:ascii="Times New Roman;sans-serif" w:hAnsi="Times New Roman;sans-serif"/>
                <w:b w:val="false"/>
                <w:color w:val="000000"/>
                <w:sz w:val="13"/>
              </w:rPr>
              <w:t>(l)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Accretion of asset retirement obligation</w:t>
            </w:r>
            <w:r>
              <w:rPr>
                <w:rFonts w:ascii="Times New Roman;sans-serif" w:hAnsi="Times New Roman;sans-serif"/>
                <w:b w:val="false"/>
                <w:color w:val="000000"/>
                <w:sz w:val="10"/>
              </w:rPr>
              <w:t>(m)</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ans-serif" w:hAnsi="Times New Roman;sans-serif"/>
                <w:b w:val="false"/>
                <w:color w:val="000000"/>
                <w:sz w:val="20"/>
              </w:rPr>
              <w:t>COVID-19 expenses</w:t>
            </w:r>
            <w:r>
              <w:rPr>
                <w:rFonts w:ascii="Times New Roman;sans-serif" w:hAnsi="Times New Roman;sans-serif"/>
                <w:b w:val="false"/>
                <w:color w:val="000000"/>
                <w:sz w:val="13"/>
              </w:rPr>
              <w:t>(n)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Consolidated income (loss) before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106,027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175,716 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(a)The year ended December 31, 2023 excludes $26.8 million of interest expense, net on Term Loan B attributable to the loan proceeds that were used to fund the $408.0 million Illinois EO litigation settlement. The year ended December 31, 2022 excludes a $1.7 million unrealized loss on interest rate derivatives not designated as hedging instruments.</w:t>
      </w:r>
    </w:p>
    <w:p>
      <w:pPr>
        <w:pStyle w:val="TextBody"/>
        <w:bidi w:val="0"/>
        <w:spacing w:lineRule="auto" w:line="288" w:before="40" w:after="283"/>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(b)Includes depreciation of Co-60 held at gamma irradiation sites.</w:t>
      </w:r>
    </w:p>
    <w:p>
      <w:pPr>
        <w:pStyle w:val="TextBody"/>
        <w:bidi w:val="0"/>
        <w:spacing w:lineRule="auto" w:line="288" w:before="40" w:after="283"/>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(c)Represents share-based compensation expense to employees and non-employee directors. See Note 16, “Share-Based Compensation” for further information.</w:t>
      </w:r>
    </w:p>
    <w:p>
      <w:pPr>
        <w:pStyle w:val="TextBody"/>
        <w:bidi w:val="0"/>
        <w:spacing w:lineRule="auto" w:line="288" w:before="40" w:after="283"/>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(d)Represents the effects of (i) fluctuations in foreign currency exchange rates, (ii) non-cash mark-to-fair value of embedded derivatives relating to certain customer and supply contracts at Nordion, and (iii) unrealized gains and losses on interest rate derivatives not designated as hedging instruments. </w:t>
      </w:r>
    </w:p>
    <w:p>
      <w:pPr>
        <w:pStyle w:val="TextBody"/>
        <w:bidi w:val="0"/>
        <w:spacing w:lineRule="auto" w:line="288" w:before="40" w:after="283"/>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(e)Represents (i) certain direct and incremental costs related to the acquisitions of RCA, the noncontrolling interests in our China subsidiaries, BioScience Labs in 2021, Iotron in July 2020, the first quarter 2021 gain on the mandatorily redeemable noncontrolling interest in Nelson Labs Fairfield, and certain related integration efforts as a result of those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a $3.4 million gain recognized in the third quarter of 2021 related to the settlement of an insurance claim for Nordion that existed at the time of our acquisition of the business in 2014, and (v) a $5.1 million non-cash gain recognized in the fourth quarter of 2021 arising from the derecognition of an ARO liability no longer attributable to Nordion pursuant to the terms of the sale of the Medical Isotopes business in 2018. </w:t>
      </w:r>
    </w:p>
    <w:p>
      <w:pPr>
        <w:pStyle w:val="TextBody"/>
        <w:bidi w:val="0"/>
        <w:spacing w:lineRule="auto" w:line="288" w:before="40" w:after="283"/>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(f)Represents professional fees, exit costs, severance and other payroll costs, and other costs associated with business optimization and cost savings projects relating to the integration of recent acquisitions, operating structure realignment and other process enhancement projects. </w:t>
      </w:r>
    </w:p>
    <w:p>
      <w:pPr>
        <w:pStyle w:val="TextBody"/>
        <w:bidi w:val="0"/>
        <w:spacing w:lineRule="auto" w:line="288" w:before="40" w:after="283"/>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(g)Represents professional fees, severance and other payroll costs, and other costs including ongoing lease and utility expenses associated with the closure of the Willowbrook, Illinois facility. The year ended December 31, 2023 also includes a $1.0 million cancellation fee received from a tenant in connection with the termination of an office space lease at the Nordion facility.</w:t>
      </w:r>
    </w:p>
    <w:p>
      <w:pPr>
        <w:pStyle w:val="TextBody"/>
        <w:bidi w:val="0"/>
        <w:spacing w:lineRule="auto" w:line="288" w:before="40" w:after="283"/>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(h)Represents an impairment charge on an equity method investment in a joint venture. Refer to Note 1, “Significant Accounting Policies”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fcb9a1dd2c5241fc889f8362a6f7e54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Sotera Health Company </w:t>
      </w:r>
    </w:p>
    <w:p>
      <w:pPr>
        <w:pStyle w:val="TextBody"/>
        <w:bidi w:val="0"/>
        <w:spacing w:lineRule="auto" w:line="288" w:before="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40" w:after="283"/>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(i)Represents expenses incurred in connection with the repricing of our Term Loan in January 2021 and full redemption of the First Lien Notes in August 2021, including a prepayment premium and accelerated amortization of prior debt issuance and discount costs. </w:t>
      </w:r>
    </w:p>
    <w:p>
      <w:pPr>
        <w:pStyle w:val="TextBody"/>
        <w:bidi w:val="0"/>
        <w:spacing w:lineRule="auto" w:line="288" w:before="40" w:after="283"/>
        <w:ind w:left="0" w:right="0" w:hanging="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(j)Represents litigation and other professional fees associated with our EO sterilization facilities. This includes $26.8 million of interest expense, net for the year ended December 31, 2023 associated with Term Loan B that was issued to finance the $408.0 million settlement of 880 pending and threatened EO claims against the Defendant Subsidiaries in Illinois under Settlement Agreements entered into on March 28, 2023. See Note 20, “Commitments and Contingencies”.</w:t>
      </w:r>
    </w:p>
    <w:p>
      <w:pPr>
        <w:pStyle w:val="TextBody"/>
        <w:bidi w:val="0"/>
        <w:spacing w:lineRule="auto" w:line="288" w:before="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(k)Represents the cost to settle 880 pending and threatened EO claims against the Defendant Subsidiaries in Illinois pursuant to Settlement Agreements entered into on March 28, 2023. See Note 20, “Commitments and Contingencies”.</w:t>
      </w:r>
    </w:p>
    <w:p>
      <w:pPr>
        <w:pStyle w:val="TextBody"/>
        <w:bidi w:val="0"/>
        <w:spacing w:lineRule="auto" w:line="288" w:before="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(l)Represents the cost to settle 79 pending EO claims against the Defendant Subsidiaries in Georgia under a Settlement Term Sheet entered into on December 21, 2023. See Note 20, “Commitments and Contingencies”.</w:t>
      </w:r>
    </w:p>
    <w:p>
      <w:pPr>
        <w:pStyle w:val="TextBody"/>
        <w:bidi w:val="0"/>
        <w:spacing w:lineRule="auto" w:line="288" w:before="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(m)Represents non-cash accretion of asset retirement obligations related to Co-60 gamma and EO processing facilities, which are based on estimated site remediation costs for any future decommissioning of these facilities and are accreted over the life of the asset.</w:t>
      </w:r>
    </w:p>
    <w:p>
      <w:pPr>
        <w:pStyle w:val="TextBody"/>
        <w:bidi w:val="0"/>
        <w:spacing w:lineRule="auto" w:line="288" w:before="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(n)Represents non-recurring costs associated with the COVID-19 pandemic, including incremental costs to implement workplace health and safety measures.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Geographic Information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revenues for geographic area are reported by the country’s origin of the revenues. </w:t>
      </w:r>
    </w:p>
    <w:tbl>
      <w:tblPr>
        <w:tblW w:w="6462" w:type="dxa"/>
        <w:jc w:val="left"/>
        <w:tblInd w:w="0" w:type="dxa"/>
        <w:tblLayout w:type="fixed"/>
        <w:tblCellMar>
          <w:top w:w="28" w:type="dxa"/>
          <w:left w:w="28" w:type="dxa"/>
          <w:bottom w:w="28" w:type="dxa"/>
          <w:right w:w="28" w:type="dxa"/>
        </w:tblCellMar>
      </w:tblPr>
      <w:tblGrid>
        <w:gridCol w:w="728"/>
        <w:gridCol w:w="640"/>
        <w:gridCol w:w="642"/>
        <w:gridCol w:w="211"/>
        <w:gridCol w:w="991"/>
        <w:gridCol w:w="109"/>
        <w:gridCol w:w="109"/>
        <w:gridCol w:w="109"/>
        <w:gridCol w:w="109"/>
        <w:gridCol w:w="211"/>
        <w:gridCol w:w="976"/>
        <w:gridCol w:w="109"/>
        <w:gridCol w:w="109"/>
        <w:gridCol w:w="109"/>
        <w:gridCol w:w="109"/>
        <w:gridCol w:w="211"/>
        <w:gridCol w:w="82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Ended December 31,</w:t>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590,967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192,050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187,542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78,729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1,049,288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1,003,687 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931,478 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‘Other’ category above is primarily comprised of net revenues from Asian and Latin American countries that individually represent 3% or less of our total net revenues.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Long-lived assets are based on physical locations and are comprised of the net book value of property, plant, and equipment. </w:t>
      </w:r>
    </w:p>
    <w:tbl>
      <w:tblPr>
        <w:tblW w:w="4674" w:type="dxa"/>
        <w:jc w:val="left"/>
        <w:tblInd w:w="0" w:type="dxa"/>
        <w:tblLayout w:type="fixed"/>
        <w:tblCellMar>
          <w:top w:w="28" w:type="dxa"/>
          <w:left w:w="28" w:type="dxa"/>
          <w:bottom w:w="28" w:type="dxa"/>
          <w:right w:w="28" w:type="dxa"/>
        </w:tblCellMar>
      </w:tblPr>
      <w:tblGrid>
        <w:gridCol w:w="723"/>
        <w:gridCol w:w="635"/>
        <w:gridCol w:w="637"/>
        <w:gridCol w:w="211"/>
        <w:gridCol w:w="841"/>
        <w:gridCol w:w="109"/>
        <w:gridCol w:w="109"/>
        <w:gridCol w:w="109"/>
        <w:gridCol w:w="109"/>
        <w:gridCol w:w="211"/>
        <w:gridCol w:w="826"/>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(thousands of U.S. dollars)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494,793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170,669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181,628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99,824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946,914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774,527 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‘Other’ category above is primarily comprised of long-lived assets in Asian and Latin American countries that individually represent 5% or less of our total long-lived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333" w:before="0" w:after="0"/>
        <w:jc w:val="left"/>
        <w:rPr/>
      </w:pPr>
      <w:hyperlink w:anchor="ifcb9a1dd2c5241fc889f8362a6f7e549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Sotera Health Company</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Schedule II – Valuation and Qualifying Accounts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12"/>
        <w:gridCol w:w="1124"/>
        <w:gridCol w:w="1138"/>
        <w:gridCol w:w="230"/>
        <w:gridCol w:w="671"/>
        <w:gridCol w:w="120"/>
        <w:gridCol w:w="109"/>
        <w:gridCol w:w="109"/>
        <w:gridCol w:w="109"/>
        <w:gridCol w:w="211"/>
        <w:gridCol w:w="616"/>
        <w:gridCol w:w="109"/>
        <w:gridCol w:w="109"/>
        <w:gridCol w:w="109"/>
        <w:gridCol w:w="109"/>
        <w:gridCol w:w="212"/>
        <w:gridCol w:w="686"/>
        <w:gridCol w:w="109"/>
        <w:gridCol w:w="109"/>
        <w:gridCol w:w="109"/>
        <w:gridCol w:w="109"/>
        <w:gridCol w:w="291"/>
        <w:gridCol w:w="667"/>
        <w:gridCol w:w="152"/>
        <w:gridCol w:w="109"/>
        <w:gridCol w:w="109"/>
        <w:gridCol w:w="109"/>
        <w:gridCol w:w="267"/>
        <w:gridCol w:w="782"/>
        <w:gridCol w:w="200"/>
      </w:tblGrid>
      <w:tr>
        <w:trPr/>
        <w:tc>
          <w:tcPr>
            <w:tcW w:w="131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Balance at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Beginning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Charges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(credits) to</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costs and</w:t>
            </w:r>
          </w:p>
          <w:p>
            <w:pPr>
              <w:pStyle w:val="TableContents"/>
              <w:bidi w:val="0"/>
              <w:spacing w:lineRule="auto" w:line="240" w:before="0" w:after="0"/>
              <w:jc w:val="center"/>
              <w:rPr/>
            </w:pPr>
            <w:r>
              <w:rPr>
                <w:rFonts w:ascii="Times New Roman;sans-serif" w:hAnsi="Times New Roman;sans-serif"/>
                <w:b/>
                <w:color w:val="000000"/>
                <w:sz w:val="16"/>
              </w:rPr>
              <w:t>expense</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Deductions</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Translation</w:t>
            </w:r>
          </w:p>
          <w:p>
            <w:pPr>
              <w:pStyle w:val="TableContents"/>
              <w:bidi w:val="0"/>
              <w:spacing w:lineRule="auto" w:line="240" w:before="0" w:after="0"/>
              <w:jc w:val="center"/>
              <w:rPr/>
            </w:pPr>
            <w:r>
              <w:rPr>
                <w:rFonts w:ascii="Times New Roman;sans-serif" w:hAnsi="Times New Roman;sans-serif"/>
                <w:b/>
                <w:color w:val="000000"/>
                <w:sz w:val="16"/>
              </w:rPr>
              <w:t>Adjustments</w:t>
            </w:r>
            <w:r>
              <w:rPr>
                <w:rFonts w:ascii="Times New Roman;sans-serif" w:hAnsi="Times New Roman;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Balance at End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of Period</w:t>
            </w:r>
          </w:p>
        </w:tc>
      </w:tr>
      <w:tr>
        <w:trPr/>
        <w:tc>
          <w:tcPr>
            <w:tcW w:w="3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Deducted from asset accounts:</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uncollectible accounts receivable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valuation allowance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125,435 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2022</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Deducted from asset accounts:</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uncollectible accounts receivable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valuation allowance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2021</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Deducted from asset accounts:</w:t>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uncollectible accounts receivable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valuation allowance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54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(1)For the year ended December 31, 2023, certain charges were recorded as a reduction to revenue </w:t>
      </w:r>
    </w:p>
    <w:p>
      <w:pPr>
        <w:pStyle w:val="TextBody"/>
        <w:bidi w:val="0"/>
        <w:spacing w:lineRule="auto" w:line="288" w:before="0" w:after="0"/>
        <w:ind w:left="0" w:right="0" w:hanging="54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(2)Uncollectible accounts written off, net of recoveries </w:t>
      </w:r>
    </w:p>
    <w:p>
      <w:pPr>
        <w:pStyle w:val="TextBody"/>
        <w:bidi w:val="0"/>
        <w:spacing w:lineRule="auto" w:line="288" w:before="0" w:after="0"/>
        <w:ind w:left="0" w:right="0" w:hanging="54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(3)Change in foreign currency exchange rates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333" w:before="0" w:after="0"/>
        <w:jc w:val="left"/>
        <w:rPr/>
      </w:pPr>
      <w:hyperlink w:anchor="ifcb9a1dd2c5241fc889f8362a6f7e549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has evaluated the effectiveness of the Company’s “disclosure controls and procedures” (as defined in Rules 13a-15(e) and 15d-15(e) under the Securities Exchange Act of 1934, as amended (Exchange Act)). Based upon their evaluation, the Chief Executive Officer and Chief Financial Officer concluded that, as of the end of the period covered by this Annual Report on Form 10-K, our disclosure controls and procedures are effective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management of Sotera Health Company is responsible for establishing and maintaining adequate internal control over financial reporting as defined in Exchange Act Rule 13a-15(f). Using criteria set forth by the Committee of Sponsoring Organizations of the Treadway Commission (2013 framework) (“COSO”) in Internal Control-Integrated Framework, Sotera Health Company’s management assessed the effectiveness of the Company’s internal control over financial reporting as of December 31, 2023. Based on this assessment, management concluded that the Company’s internal control over financial reporting was effective as of December 31,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the Company’s internal control over financial reporting as of December 31, 2023 has been audited by Ernst &amp; Young LLP, an independent registered public accounting firm, as stated in their report, which is included in this Annual Report on Form 10-K and is included in this Item 9A. of this Form 10-K below.</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2023, there were no changes in our internal control over financial reporting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80" w:after="283"/>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Sotera Health Company</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Opinion on Internal Control Over Financial Reporting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Sotera Health Company’s internal control over financial reporting as of December 31, 2023, based on criteria established in Internal Control — Integrated Framework issued by the Committee of Sponsoring Organizations of the Treadway Commission (2013 framework) (the COSO criteria). In our opinion, Sotera Health Company (the Company) maintained, in all material respects, effective internal control over financial reporting as of December 31, 2023, based on the COSO criteria.</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2023 consolidated financial statements of the Company and our report dated February 27, 2024 expressed an unqualified opinion thereon.</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Definition and Limitations of Internal Control Over Financial Reporting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Cleveland, Ohio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333" w:before="0" w:after="0"/>
        <w:jc w:val="left"/>
        <w:rPr/>
      </w:pPr>
      <w:hyperlink w:anchor="ifcb9a1dd2c5241fc889f8362a6f7e549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(as that term is defined in Regulation S-K, Item 408).</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Offer Letter Amendment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26, 2024, we amended Mr. Lyons’ offer letter to provide for a one-time payment of $100,000 to defray costs associated with his commuting to Cleveland, Ohio (the “Commuting Bonus”). This payment will be made in the first payroll cycle in April, 2024. If Mr. Lyons terminates his employment with the Company for any reason other than death or disability; or the Company terminates his employment for “Cause” (as defined in Mr. Lyons’ offer letter) prior to the second anniversary of the commencement of Mr. Lyons’ employment, Mr. Lyons will be obligated to repay, on a pre-tax basis, a pro-rata portion of the Commuting Bonus within five business days of his termination of employment.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333" w:before="0" w:after="0"/>
        <w:jc w:val="left"/>
        <w:rPr/>
      </w:pPr>
      <w:hyperlink w:anchor="ifcb9a1dd2c5241fc889f8362a6f7e549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sections entitled “Board Composition, Nominations Process and Director Qualifications” and “Corporate Governance” that will be included in our Definitive Proxy Statement for the 2024 Annual Meeting of Stockholders, which will be filed with the SEC within 120 days after the fiscal year ended December 31,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about our executive officers as of February 20, 2024: </w:t>
      </w:r>
    </w:p>
    <w:tbl>
      <w:tblPr>
        <w:tblW w:w="7199" w:type="dxa"/>
        <w:jc w:val="left"/>
        <w:tblInd w:w="0" w:type="dxa"/>
        <w:tblLayout w:type="fixed"/>
        <w:tblCellMar>
          <w:top w:w="28" w:type="dxa"/>
          <w:left w:w="28" w:type="dxa"/>
          <w:bottom w:w="28" w:type="dxa"/>
          <w:right w:w="28" w:type="dxa"/>
        </w:tblCellMar>
      </w:tblPr>
      <w:tblGrid>
        <w:gridCol w:w="831"/>
        <w:gridCol w:w="730"/>
        <w:gridCol w:w="734"/>
        <w:gridCol w:w="144"/>
        <w:gridCol w:w="144"/>
        <w:gridCol w:w="146"/>
        <w:gridCol w:w="1305"/>
        <w:gridCol w:w="1305"/>
        <w:gridCol w:w="1860"/>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Name</w:t>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Age </w:t>
            </w:r>
          </w:p>
        </w:tc>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Position</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B. Petras, Jr.</w:t>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Jonathan (Jon) Lyons</w:t>
            </w:r>
          </w:p>
        </w:tc>
        <w:tc>
          <w:tcPr>
            <w:tcW w:w="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(Mike) P. Rutz</w:t>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of Sterigenics</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Alexander (Alex) Dimitrief</w:t>
            </w:r>
          </w:p>
        </w:tc>
        <w:tc>
          <w:tcPr>
            <w:tcW w:w="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and Secretary</w:t>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 forth below is a brief description of the business experience of our executive officers.</w:t>
      </w:r>
    </w:p>
    <w:p>
      <w:pPr>
        <w:pStyle w:val="TextBody"/>
        <w:bidi w:val="0"/>
        <w:spacing w:lineRule="auto" w:line="288" w:before="240" w:after="283"/>
        <w:jc w:val="left"/>
        <w:rPr/>
      </w:pPr>
      <w:r>
        <w:rPr>
          <w:rFonts w:ascii="Times New Roman;sans-serif" w:hAnsi="Times New Roman;sans-serif"/>
          <w:b w:val="false"/>
          <w:i/>
          <w:color w:val="000000"/>
          <w:sz w:val="20"/>
        </w:rPr>
        <w:t xml:space="preserve">Michael B. Petras, Jr. </w:t>
      </w:r>
      <w:r>
        <w:rPr>
          <w:rFonts w:ascii="Times New Roman;sans-serif" w:hAnsi="Times New Roman;sans-serif"/>
          <w:b w:val="false"/>
          <w:color w:val="000000"/>
          <w:sz w:val="20"/>
        </w:rPr>
        <w:t>has</w:t>
      </w:r>
      <w:r>
        <w:rPr>
          <w:color w:val="000000"/>
        </w:rPr>
        <w:t xml:space="preserve"> </w:t>
      </w:r>
      <w:r>
        <w:rPr>
          <w:rFonts w:ascii="Times New Roman;sans-serif" w:hAnsi="Times New Roman;sans-serif"/>
          <w:b w:val="false"/>
          <w:color w:val="000000"/>
          <w:sz w:val="20"/>
        </w:rPr>
        <w:t xml:space="preserve">served as our Chief Executive Officer since June 2016 and as the Chairman of our board of directors since October 2020 and served as the Chairman of the board of managers of Sotera Health Topco, L.P. (“Topco Parent”) from January 2019 and as a member of Topco Parent’s board of managers from June 2016 until the completion of the IPO. Prior to joining Sotera Health, Mr. Petras served as chief executive officer of Post-Acute Solutions at Cardinal Health, Inc., a multinational healthcare services company, from 2015 to 2016 and chief executive officer of Cardinal Health at-Home at Cardinal Health, Inc. from 2013 to 2015. From 2011 to 2013, he was the chief executive officer for AssuraMed Holdings, Inc., a medical products supplier owned by the Clayton, Dubilier &amp; Rice and Goldman Sachs private equity firms, which was sold to Cardinal Health, Inc. in 2013. From 2008 to 2011, Mr. Petras was president and chief executive officer at GE Lighting, a General Electric Company (“GE”) business unit. During his over 20 year career at GE, he held several management positions in multiple disciplines. Mr. Petras holds a B.S.B.A. in finance from John Carroll University and an M.B.A. in marketing from Case Western Reserve University. He was selected to serve on our board of directors because of his perspective as our Chief Executive Officer as well as his extensive commercial, financial and general management experience across many global industries. </w:t>
      </w:r>
    </w:p>
    <w:p>
      <w:pPr>
        <w:pStyle w:val="TextBody"/>
        <w:bidi w:val="0"/>
        <w:spacing w:lineRule="auto" w:line="288" w:before="240" w:after="283"/>
        <w:jc w:val="left"/>
        <w:rPr/>
      </w:pPr>
      <w:r>
        <w:rPr>
          <w:rFonts w:ascii="Times New Roman;sans-serif" w:hAnsi="Times New Roman;sans-serif"/>
          <w:b w:val="false"/>
          <w:i/>
          <w:color w:val="000000"/>
          <w:sz w:val="20"/>
        </w:rPr>
        <w:t>Jonathan (Jon) M. Lyons</w:t>
      </w:r>
      <w:r>
        <w:rPr>
          <w:color w:val="000000"/>
        </w:rPr>
        <w:t xml:space="preserve"> </w:t>
      </w:r>
      <w:r>
        <w:rPr>
          <w:rFonts w:ascii="Times New Roman;sans-serif" w:hAnsi="Times New Roman;sans-serif"/>
          <w:b w:val="false"/>
          <w:color w:val="000000"/>
          <w:sz w:val="20"/>
        </w:rPr>
        <w:t>has served as our Chief Financial Officer since June 2023. Prior to joining Sotera Health, Mr. Lyons served as Vice President, Corporate FP&amp;A of Owens Corning, a global leader specializing in building and construction materials. Mr. Lyons joined Owens Corning in 2010 as Assistant Treasurer and also served as the company’s Treasurer from 2011 to 2014. Mr. Lyons also spent eight years with Cardinal Health, holding several senior leadership roles in treasury, FP&amp;A, investor relations and tax after beginning his career in public accounting. Mr. Lyons holds an M.B.A. from The Ohio State University and a B.S. in Accounting from Kent State University.</w:t>
      </w:r>
    </w:p>
    <w:p>
      <w:pPr>
        <w:pStyle w:val="TextBody"/>
        <w:bidi w:val="0"/>
        <w:spacing w:lineRule="auto" w:line="288" w:before="240" w:after="283"/>
        <w:jc w:val="left"/>
        <w:rPr/>
      </w:pPr>
      <w:r>
        <w:rPr>
          <w:rFonts w:ascii="Times New Roman;sans-serif" w:hAnsi="Times New Roman;sans-serif"/>
          <w:b w:val="false"/>
          <w:i/>
          <w:color w:val="000000"/>
          <w:sz w:val="20"/>
        </w:rPr>
        <w:t>Michael (Mike) P. Rutz</w:t>
      </w:r>
      <w:r>
        <w:rPr>
          <w:color w:val="000000"/>
        </w:rPr>
        <w:t xml:space="preserve"> </w:t>
      </w:r>
      <w:r>
        <w:rPr>
          <w:rFonts w:ascii="Times New Roman;sans-serif" w:hAnsi="Times New Roman;sans-serif"/>
          <w:b w:val="false"/>
          <w:color w:val="000000"/>
          <w:sz w:val="20"/>
        </w:rPr>
        <w:t xml:space="preserve">has served as President of Sterigenics since October 2020. Prior to that, Mr. Rutz was Chief Operating Officer of Sterigenics from May 2020 to October 2020. Prior to joining Sotera Health, he was senior vice president and general manager of the Semiconductor Business Unit at Littlefuse, Inc., a multinational electronic manufacturing company, where he was responsible for leading sales, marketing, product development, operations and business development for power and protection-based semiconductor products. Mr. Rutz joined Littlefuse in 2014 as senior vice president of global operations, overseeing the company’s manufacturing, procurement, planning, quality, and operational excellence initiatives. Prior to joining Littlefuse, Mr. Rutz served as senior vice president global supply chain at WMS Gaming, a Chicago-based manufacturer of equipment and software for the gaming industry. Mr. Rutz also spent 16 years with Motorola in the paging, cellular and networking groups, most recently as vice president, networks supply chain. Mr. Rutz holds a Bachelor’s degree in mechanical engineering from the University of Michigan and Master’s degrees in mechanical engineering and management from the Massachusetts Institute of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333" w:before="0" w:after="0"/>
        <w:jc w:val="left"/>
        <w:rPr/>
      </w:pPr>
      <w:hyperlink w:anchor="ifcb9a1dd2c5241fc889f8362a6f7e549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left"/>
        <w:rPr/>
      </w:pPr>
      <w:r>
        <w:rPr>
          <w:rFonts w:ascii="Times New Roman;sans-serif" w:hAnsi="Times New Roman;sans-serif"/>
          <w:b w:val="false"/>
          <w:i/>
          <w:color w:val="000000"/>
          <w:sz w:val="20"/>
        </w:rPr>
        <w:t xml:space="preserve">Alexander (Alex) Dimitrief </w:t>
      </w:r>
      <w:r>
        <w:rPr>
          <w:rFonts w:ascii="Times New Roman;sans-serif" w:hAnsi="Times New Roman;sans-serif"/>
          <w:b w:val="false"/>
          <w:color w:val="000000"/>
          <w:sz w:val="20"/>
        </w:rPr>
        <w:t>has served as our Senior Vice President, General Counsel and Secretary since November 2022. Prior to joining Sotera Health, from February 2020 to October 2022, he was a partner at Zeughauser Group, a legal management consulting firm, where he remains as an advisor. Mr. Dimitrief was a senior fellow and distinguished adjunct professor at New York Law School from August 2020 to December 2022 and a lecturer on law at Harvard Law School from September 2019 to December 2022. Mr. Dimitrief previously served in a variety of leadership roles at General Electric. Mr. Dimitrief was president and CEO of GE’s Global Growth Organization from 2018 until his retirement from GE in January 2019. He previously served as GE’s senior vice president and general counsel from 2015 to 2018 and held other senior legal roles at GE beginning in 2007. Mr. Dimitrief came to GE from Kirkland &amp; Ellis LLP, where he practiced law for twenty years. Mr. Dimitrief holds a B.A. in economics and political science from Yale College and a J.D. from Harvard Law School. He also serves as an independent director of Eos Energy Enterprises and on the Advisory Board of Cresset.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information that will be included in our Definitive Proxy Statement for the 2024 Annual Meeting of Shareholders, which will be filed with the SEC within 120 days after the fiscal year ended December 31, 2023, except as to information required pursuant to Item 402(v) of SEC Regulation S-K relating to pay versus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information that will be included in our Definitive Proxy Statement for the 2024 Annual Meeting of Shareholders, which will be filed with the SEC within 120 days after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information that will be included in our Definitive Proxy Statement for the 2024 Annual Meeting of Shareholders, which will be filed with the SEC within 120 days after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information that will be included in our Definitive Proxy Statement for the 2024 Annual Meeting of Shareholders, which will be filed with the SEC within 120 days after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333" w:before="0" w:after="0"/>
        <w:jc w:val="left"/>
        <w:rPr/>
      </w:pPr>
      <w:hyperlink w:anchor="ifcb9a1dd2c5241fc889f8362a6f7e549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(a)Documents Filed with Report</w:t>
      </w:r>
    </w:p>
    <w:p>
      <w:pPr>
        <w:pStyle w:val="TextBody"/>
        <w:bidi w:val="0"/>
        <w:spacing w:lineRule="auto" w:line="288" w:before="12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(1)Consolidated Financial Statements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are filed as part of this Annual Report on Form 10-K under Item 8, “Financial Statements and Supplementary Data”</w:t>
      </w:r>
    </w:p>
    <w:p>
      <w:pPr>
        <w:pStyle w:val="TextBody"/>
        <w:bidi w:val="0"/>
        <w:spacing w:lineRule="auto" w:line="288" w:before="12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(2)Financial Statement Schedules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II - Valuation and Qualifying Accounts for the years ended December 31, 2023, 2022 and 2021</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schedules for which provision is made in the applicable accounting regulation of the Securities and Exchange Commission are not required under the related instructions or are inapplicable, and therefore, have been omitted.</w:t>
      </w:r>
    </w:p>
    <w:p>
      <w:pPr>
        <w:pStyle w:val="TextBody"/>
        <w:bidi w:val="0"/>
        <w:spacing w:lineRule="auto" w:line="288" w:before="12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(3)Exhibits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listed in the following Exhibit Index are filed, furnished, or incorporated by reference as part of this Annual Report on Form 10-K.</w:t>
      </w:r>
    </w:p>
    <w:tbl>
      <w:tblPr>
        <w:tblW w:w="10205"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1369"/>
        <w:gridCol w:w="1271"/>
        <w:gridCol w:w="1275"/>
        <w:gridCol w:w="109"/>
        <w:gridCol w:w="109"/>
        <w:gridCol w:w="109"/>
        <w:gridCol w:w="441"/>
        <w:gridCol w:w="441"/>
        <w:gridCol w:w="442"/>
        <w:gridCol w:w="109"/>
        <w:gridCol w:w="109"/>
        <w:gridCol w:w="109"/>
        <w:gridCol w:w="195"/>
        <w:gridCol w:w="195"/>
        <w:gridCol w:w="196"/>
        <w:gridCol w:w="344"/>
        <w:gridCol w:w="304"/>
        <w:gridCol w:w="189"/>
        <w:gridCol w:w="245"/>
        <w:gridCol w:w="245"/>
        <w:gridCol w:w="246"/>
        <w:gridCol w:w="230"/>
        <w:gridCol w:w="230"/>
        <w:gridCol w:w="330"/>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8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7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2021-03-09</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2021-03-09</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Description of our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2021-03-09</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Amended and Restated Registration Rights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2021-03-09</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Employment Agreement by and between Sotera Health Company and Michael B. Petras, Jr., dated as of November 10,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2020-11-12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Executed Employment Offer by Sotera Health Company and Michael F. Biehl dated as of July 18,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Executed Restrictive Covenants Agreement by and between Sotera Health Company and Michael F. Biehl dated as of July 20,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Executed Employment Offer by Sotera Health Company and Alex Dimitrief dated as of October 28,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Executed Restrictive Covenants Agreement by and between Sotera Health Company and Alex Dimitrief, dated as of November 1,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Cash Retention Bonus Agreement by and between Michael Rutz and Sotera Health Company dated as of November 7,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c20231231_exhibitx10x7.htm">
              <w:r>
                <w:rPr>
                  <w:rStyle w:val="InternetLink"/>
                  <w:rFonts w:ascii="Times New Roman;sans-serif" w:hAnsi="Times New Roman;sans-serif"/>
                  <w:b w:val="false"/>
                  <w:color w:val="000080"/>
                  <w:sz w:val="20"/>
                  <w:u w:val="single"/>
                </w:rPr>
                <w:t>Executed</w:t>
              </w:r>
            </w:hyperlink>
            <w:hyperlink w:anchor="shc20231231_exhibitx10x7.htm">
              <w:r>
                <w:rPr>
                  <w:rStyle w:val="InternetLink"/>
                  <w:rFonts w:ascii="Times New Roman;sans-serif" w:hAnsi="Times New Roman;sans-serif"/>
                  <w:b w:val="false"/>
                  <w:color w:val="000080"/>
                  <w:sz w:val="20"/>
                  <w:u w:val="single"/>
                </w:rPr>
                <w:t xml:space="preserve"> Amended and Restated</w:t>
              </w:r>
            </w:hyperlink>
            <w:hyperlink w:anchor="shc20231231_exhibitx10x7.htm">
              <w:r>
                <w:rPr>
                  <w:rStyle w:val="InternetLink"/>
                  <w:rFonts w:ascii="Times New Roman;sans-serif" w:hAnsi="Times New Roman;sans-serif"/>
                  <w:b w:val="false"/>
                  <w:color w:val="000080"/>
                  <w:sz w:val="20"/>
                  <w:u w:val="single"/>
                </w:rPr>
                <w:t xml:space="preserve"> Employment Offer by Sotera Health Company and Jonathan M. Lyons dated as of</w:t>
              </w:r>
            </w:hyperlink>
            <w:hyperlink w:anchor="shc20231231_exhibitx10x7.htm">
              <w:r>
                <w:rPr>
                  <w:rStyle w:val="InternetLink"/>
                  <w:rFonts w:ascii="Times New Roman;sans-serif" w:hAnsi="Times New Roman;sans-serif"/>
                  <w:b w:val="false"/>
                  <w:color w:val="000080"/>
                  <w:sz w:val="20"/>
                  <w:u w:val="single"/>
                </w:rPr>
                <w:t xml:space="preserve"> February 26, 20</w:t>
              </w:r>
            </w:hyperlink>
            <w:hyperlink w:anchor="shc20231231_exhibitx10x7.htm">
              <w:r>
                <w:rPr>
                  <w:rStyle w:val="InternetLink"/>
                  <w:rFonts w:ascii="Times New Roman;sans-serif" w:hAnsi="Times New Roman;sans-serif"/>
                  <w:b w:val="false"/>
                  <w:color w:val="000080"/>
                  <w:sz w:val="20"/>
                  <w:u w:val="single"/>
                </w:rPr>
                <w:t>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333" w:before="0" w:after="0"/>
        <w:jc w:val="left"/>
        <w:rPr/>
      </w:pPr>
      <w:hyperlink w:anchor="ifcb9a1dd2c5241fc889f8362a6f7e549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1579"/>
        <w:gridCol w:w="1299"/>
        <w:gridCol w:w="1303"/>
        <w:gridCol w:w="109"/>
        <w:gridCol w:w="109"/>
        <w:gridCol w:w="109"/>
        <w:gridCol w:w="386"/>
        <w:gridCol w:w="386"/>
        <w:gridCol w:w="387"/>
        <w:gridCol w:w="109"/>
        <w:gridCol w:w="109"/>
        <w:gridCol w:w="109"/>
        <w:gridCol w:w="195"/>
        <w:gridCol w:w="195"/>
        <w:gridCol w:w="196"/>
        <w:gridCol w:w="340"/>
        <w:gridCol w:w="293"/>
        <w:gridCol w:w="158"/>
        <w:gridCol w:w="245"/>
        <w:gridCol w:w="245"/>
        <w:gridCol w:w="246"/>
        <w:gridCol w:w="213"/>
        <w:gridCol w:w="213"/>
        <w:gridCol w:w="309"/>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7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7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Executed Restrictive Covenants Agreement by and between Sotera Health Company and Jonathan M. Lyons dated as of June 26,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2023-08-03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Sotera Health Company Supplemental Retirement Benefit Plan, effective as of January 1,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2020-11-12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Sotera Health Company 2020 Omnibus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2020-11-12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Form of Sotera Health Company 2020 Omnibus Incentive Plan Restricted Stock Unit Grant Notice and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2020-11-12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Form of Sotera Health Company 2020 Omnibus Incentive Plan Stock Option Grant Notice and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2020-11-12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Form of Indemnification Agreement entered into between the Registrant and each director and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2020-11-02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Stockholders’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2021-03-09</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2019 Credit Agreement, dated as of December 13, 2019, among the Registrant, Sotera Health Holdings, LLC, the lenders and issuing banks party thereto and Jefferies Finance LLC, as first lien administrative agent and first lien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Guarantee Agreement, dated as of December 13, 2019, among the Registrant, Sotera Health Holdings, LLC, the other guarantors party thereto and Jefferies Finance LLC, as first lien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Collateral Agreement, dated as of December 13, 2019, among the Registrant, Sotera Health Holdings, LLC, the other guarantors party thereto and Jefferies Finance LLC, as first lien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Patent Security Agreement, dated as of December 13, 2019, between Sterigenics U.S., LLC and Jefferies Finance LLC,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Trademark Security Agreement, dated as of December 13, 2019, between Sterigenics U.S., LLC and Jefferies Finance LLC,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Trademark Security Agreement, dated as of December 13, 2019, between Nelson Laboratories, LLC and Jefferies Finance LLC,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Trademark Security Agreement, dated as of December 13, 2019, between Sotera Health LLC and Jefferies Finance LLC,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2020-10-23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333" w:before="0" w:after="0"/>
        <w:jc w:val="left"/>
        <w:rPr/>
      </w:pPr>
      <w:hyperlink w:anchor="ifcb9a1dd2c5241fc889f8362a6f7e549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1755"/>
        <w:gridCol w:w="1259"/>
        <w:gridCol w:w="1263"/>
        <w:gridCol w:w="109"/>
        <w:gridCol w:w="109"/>
        <w:gridCol w:w="109"/>
        <w:gridCol w:w="367"/>
        <w:gridCol w:w="367"/>
        <w:gridCol w:w="368"/>
        <w:gridCol w:w="109"/>
        <w:gridCol w:w="109"/>
        <w:gridCol w:w="109"/>
        <w:gridCol w:w="195"/>
        <w:gridCol w:w="195"/>
        <w:gridCol w:w="196"/>
        <w:gridCol w:w="267"/>
        <w:gridCol w:w="267"/>
        <w:gridCol w:w="241"/>
        <w:gridCol w:w="245"/>
        <w:gridCol w:w="245"/>
        <w:gridCol w:w="246"/>
        <w:gridCol w:w="208"/>
        <w:gridCol w:w="208"/>
        <w:gridCol w:w="296"/>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7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7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Copyright Security Agreement, dated as of December 13, 2019, among Jefferies Finance LLC and Nelson Laboratories, LLC,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First Lien Pari Passu Intercreditor Agreement, dated as of July 31, 2020, among Sotera Health Holdings, LLC, the Registrant, Jefferies Finance LLC as Collateral Agent and Authorized Representative, and Wilmington Trust, National Association as Additional First Lien Collateral Agent and Initial Authorized Representative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First Lien Collateral Agreement, dated as of July 31, 2020, among the Registrant, Sotera Health Holdings, LLC, the other grantors party thereto and Wilmington Trust, National Association, as first lien notes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Patent Security Agreement, dated as of July 31, 2020, between Sterigenics U.S., LLC and Wilmington Trust, National Association, as first lien notes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Trademark Security Agreement, dated as of July 31, 2020, between Sotera Health Holdings LLC and Wilmington Trust, National Association, as first lien notes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Copyright Security Agreement, dated as of July 31, 2020, between Nelson Laboratories, LLC and Wilmington Trust, National Association, as first lien notes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2020-10-23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Restated Supply Agreement, dated as of October 6, 2020, between Balchem Corporation and Sterigenics U.S., LLC, Sterigenics S. De R.L. De C.V., Sterigenics Costa Rica S.R.L. and Sterigenics EO Canada,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2020-11-18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Form of Restricted Stock Agreement and Acknowledgement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2020-11-12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333-249648</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2020-11-12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Employment Agreement by and between Sotera Health LLC and Michael P. Rutz, dated as of May 21,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2021-03-09</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333" w:before="0" w:after="0"/>
        <w:jc w:val="left"/>
        <w:rPr/>
      </w:pPr>
      <w:hyperlink w:anchor="ifcb9a1dd2c5241fc889f8362a6f7e549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1599"/>
        <w:gridCol w:w="1386"/>
        <w:gridCol w:w="1390"/>
        <w:gridCol w:w="109"/>
        <w:gridCol w:w="109"/>
        <w:gridCol w:w="109"/>
        <w:gridCol w:w="368"/>
        <w:gridCol w:w="368"/>
        <w:gridCol w:w="369"/>
        <w:gridCol w:w="109"/>
        <w:gridCol w:w="109"/>
        <w:gridCol w:w="109"/>
        <w:gridCol w:w="195"/>
        <w:gridCol w:w="195"/>
        <w:gridCol w:w="196"/>
        <w:gridCol w:w="263"/>
        <w:gridCol w:w="263"/>
        <w:gridCol w:w="144"/>
        <w:gridCol w:w="245"/>
        <w:gridCol w:w="245"/>
        <w:gridCol w:w="246"/>
        <w:gridCol w:w="208"/>
        <w:gridCol w:w="208"/>
        <w:gridCol w:w="300"/>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6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7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 xml:space="preserve">Incremental Facility Amendment to the 2019 Credit Agreement, dated as of December 17, 2020, among Sotera Health Company, Sotera Health Holdings, LLC, the Incremental Amendment Revolving Lends party thereto, Jefferies Finance LLC, as First Lien Administrative Agent, each Issuing Bank and the Other Loan Parties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2021-03-09</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Refinancing Amendment to the First Lien 2019 Credit Agreement, dated as of January 20, 2021, among Sotera Health Company, Sotera Health Holdings, LLC, the Refinancing Lenders Party thereto, the Revolving Lenders party to the First Lien Credit Agreement and Jefferies Finance LLC, as First Lien Administrative Agent and First Lien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2021-03-09</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Revolving Facilities Amendment to the 2019 Credit Agreement, dated as of March 26, 2021, among Sotera Health Company, Sotera Health Holdings, LLC, the Refinancing Lenders Party thereto, the Revolving Lenders party to the First Lien Credit Agreement and Jefferies Finance LLC, as First Lien Administrative Agent and First Lien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2021-05-13</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Amendment to First Lien 2019 Credit Agreement, dated as of December 23, 2021 by and among Sotera Health Company, Sotera Health Holdings, LLC, and JPMorgan Chase Bank, N.A. as First Lien Administrative Agent and First Lien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2022-03-01</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tcMar>
              <w:top w:w="0" w:type="dxa"/>
              <w:left w:w="0" w:type="dxa"/>
              <w:bottom w:w="0" w:type="dxa"/>
              <w:right w:w="0" w:type="dxa"/>
            </w:tcMar>
            <w:vAlign w:val="center"/>
          </w:tcPr>
          <w:p>
            <w:pPr>
              <w:pStyle w:val="TableContents"/>
              <w:bidi w:val="0"/>
              <w:spacing w:lineRule="auto" w:line="240" w:before="191" w:after="283"/>
              <w:jc w:val="left"/>
              <w:rPr/>
            </w:pPr>
            <w:hyperlink r:id="rId44">
              <w:r>
                <w:rPr>
                  <w:rStyle w:val="InternetLink"/>
                  <w:rFonts w:ascii="Times New Roman;sans-serif" w:hAnsi="Times New Roman;sans-serif"/>
                  <w:b w:val="false"/>
                  <w:color w:val="0000FF"/>
                  <w:sz w:val="20"/>
                  <w:u w:val="single"/>
                </w:rPr>
                <w:t>Amendment to First Lien 2019 Credit Agreement, dated as of March 24, 2022, by and among Sotera Health Company, Sotera Health Holdings, LLC, and JPMorgan Chase Bank, N.A. as First Lien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2023 Credit Agreement dated as of February 23, 2023 among the Registrant, Sotera Health Holdings, LLC, the Lenders party thereto and JPMorgan Chase Bank, N.A., as First Lien Administrative Agent and First Lien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First Lien Guarantee Agreement dated as of February 23, 2023, among the Registrant, Sotera Health Holdings, LLC, the other guarantors party thereto and JPMorgan Chase Bank, N.A., as First Lien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First Lien Collateral Agreement dated as of February 23, 2023, among the Registrant, Sotera Health Holdings, LLC, the other grantors party thereto and JPMorgan Chase Bank, N.A., as First Lien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333" w:before="0" w:after="0"/>
        <w:jc w:val="left"/>
        <w:rPr/>
      </w:pPr>
      <w:hyperlink w:anchor="ifcb9a1dd2c5241fc889f8362a6f7e549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1601"/>
        <w:gridCol w:w="1387"/>
        <w:gridCol w:w="1391"/>
        <w:gridCol w:w="109"/>
        <w:gridCol w:w="109"/>
        <w:gridCol w:w="109"/>
        <w:gridCol w:w="367"/>
        <w:gridCol w:w="367"/>
        <w:gridCol w:w="368"/>
        <w:gridCol w:w="109"/>
        <w:gridCol w:w="109"/>
        <w:gridCol w:w="109"/>
        <w:gridCol w:w="195"/>
        <w:gridCol w:w="195"/>
        <w:gridCol w:w="196"/>
        <w:gridCol w:w="263"/>
        <w:gridCol w:w="263"/>
        <w:gridCol w:w="144"/>
        <w:gridCol w:w="245"/>
        <w:gridCol w:w="245"/>
        <w:gridCol w:w="246"/>
        <w:gridCol w:w="208"/>
        <w:gridCol w:w="208"/>
        <w:gridCol w:w="299"/>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6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7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First Lien Pari Passu Intercreditor Agreement dated as of February 23, 2023, among Sotera Health Holdings, LLC, the Registrant, the other grantors party thereto and JPMorgan Chase Bank, N.A.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Copyright Security Agreement, dated as of February 23, 2023, among Nelson Laboratories, LLC and JPMorgan Chase Bank, N.A.,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Trademark Security Agreement, dated as of February 23, 2023, among Nelson Laboratories Bozeman, LLC and JPMorgan Chase Bank, N.A.,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Trademark Security Agreement, dated as of February 23, 2023, among Regulatory Compliance Associates Inc. and JPMorgan Chase Bank, N.A.,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20"/>
                  <w:u w:val="single"/>
                </w:rPr>
                <w:t>Trademark Security Agreement, dated as of February 23, 2023, among Sotera Health Holdings, LLC and JPMorgan Chase Bank, N.A.,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80"/>
                  <w:sz w:val="20"/>
                  <w:u w:val="single"/>
                </w:rPr>
                <w:t>Incremental Facility Amendment No. 2, dated as of March 21, 2023, to the First Lien Credit Agreement dated as of December 13, 2019 by and among Sotera Health Company, Sotera</w:t>
              </w:r>
            </w:hyperlink>
            <w:hyperlink r:id="rId54">
              <w:r>
                <w:rPr>
                  <w:rStyle w:val="InternetLink"/>
                  <w:rFonts w:ascii="Times New Roman;sans-serif" w:hAnsi="Times New Roman;sans-serif"/>
                  <w:b w:val="false"/>
                  <w:color w:val="000080"/>
                  <w:sz w:val="20"/>
                  <w:u w:val="single"/>
                </w:rPr>
                <w:t xml:space="preserve"> </w:t>
              </w:r>
            </w:hyperlink>
            <w:hyperlink r:id="rId55">
              <w:r>
                <w:rPr>
                  <w:rStyle w:val="InternetLink"/>
                  <w:rFonts w:ascii="Times New Roman;sans-serif" w:hAnsi="Times New Roman;sans-serif"/>
                  <w:b w:val="false"/>
                  <w:color w:val="000080"/>
                  <w:sz w:val="20"/>
                  <w:u w:val="single"/>
                </w:rPr>
                <w:t>Health Holdings, LLC, certain subsidiaries of Sotera Health Company, JPMorgan Chase Bank, N.A., as First Lien Administrative Agent and the lenders and issuing banks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2023-03-22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80"/>
                  <w:sz w:val="20"/>
                  <w:u w:val="single"/>
                </w:rPr>
                <w:t>Amendment, dated as of June 22, 2023, to the First Lien Credit Agreement dated as of December 13, 2019 by and among Sotera Health Company, Sotera Health Holdings, LLC, certain</w:t>
              </w:r>
            </w:hyperlink>
            <w:hyperlink r:id="rId57">
              <w:r>
                <w:rPr>
                  <w:rStyle w:val="InternetLink"/>
                  <w:rFonts w:ascii="Times New Roman;sans-serif" w:hAnsi="Times New Roman;sans-serif"/>
                  <w:b w:val="false"/>
                  <w:color w:val="000080"/>
                  <w:sz w:val="20"/>
                  <w:u w:val="single"/>
                </w:rPr>
                <w:t xml:space="preserve"> </w:t>
              </w:r>
            </w:hyperlink>
            <w:hyperlink r:id="rId58">
              <w:r>
                <w:rPr>
                  <w:rStyle w:val="InternetLink"/>
                  <w:rFonts w:ascii="Times New Roman;sans-serif" w:hAnsi="Times New Roman;sans-serif"/>
                  <w:b w:val="false"/>
                  <w:color w:val="000080"/>
                  <w:sz w:val="20"/>
                  <w:u w:val="single"/>
                </w:rPr>
                <w:t>subsidiaries of Sotera Health Company, JPMorgan Chase Bank, N.A., as First Lien Administrative Agent and the lenders and issuing banks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2023-06-22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FF"/>
                  <w:sz w:val="20"/>
                  <w:u w:val="single"/>
                </w:rPr>
                <w:t>Willowbrook Group Settlement Term Sheet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FF"/>
                  <w:sz w:val="20"/>
                  <w:u w:val="single"/>
                </w:rPr>
                <w:t>Willowbrook Trial Plaintiffs Settlement Term Sheet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FF"/>
                  <w:sz w:val="20"/>
                  <w:u w:val="single"/>
                </w:rPr>
                <w:t>Settlement Agreement dated as of March 28, 2023 by and among Sotera Health LLC, Sterigenics U.S., LLC and Plaintiffs’ Counsel (Illinois Ethylene Oxide Tort Litigation)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2023-05-08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ans-serif" w:hAnsi="Times New Roman;sans-serif"/>
                  <w:b w:val="false"/>
                  <w:color w:val="0000FF"/>
                  <w:sz w:val="20"/>
                  <w:u w:val="single"/>
                </w:rPr>
                <w:t>Willowbrook Group Settlement Agreement dated as of March 28, 2023 by and among Sotera Health LLC, Sterigenics U.S., LLC and Plaintiff's Executive Committee (Illinois Ethylene Oxide Tort Litigation)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2023-05-08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lineRule="auto" w:line="333" w:before="0" w:after="0"/>
        <w:jc w:val="left"/>
        <w:rPr/>
      </w:pPr>
      <w:hyperlink w:anchor="ifcb9a1dd2c5241fc889f8362a6f7e549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1547"/>
        <w:gridCol w:w="1309"/>
        <w:gridCol w:w="1313"/>
        <w:gridCol w:w="109"/>
        <w:gridCol w:w="109"/>
        <w:gridCol w:w="109"/>
        <w:gridCol w:w="410"/>
        <w:gridCol w:w="410"/>
        <w:gridCol w:w="411"/>
        <w:gridCol w:w="109"/>
        <w:gridCol w:w="109"/>
        <w:gridCol w:w="109"/>
        <w:gridCol w:w="195"/>
        <w:gridCol w:w="195"/>
        <w:gridCol w:w="196"/>
        <w:gridCol w:w="271"/>
        <w:gridCol w:w="271"/>
        <w:gridCol w:w="165"/>
        <w:gridCol w:w="245"/>
        <w:gridCol w:w="245"/>
        <w:gridCol w:w="246"/>
        <w:gridCol w:w="221"/>
        <w:gridCol w:w="221"/>
        <w:gridCol w:w="317"/>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7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ans-serif" w:hAnsi="Times New Roman;sans-serif"/>
                  <w:b w:val="false"/>
                  <w:color w:val="0000FF"/>
                  <w:sz w:val="20"/>
                  <w:u w:val="single"/>
                </w:rPr>
                <w:t>Form of Sotera Health Company 2020 Omnibus Incentive Plan Restricted Stock Unit Grant Notice (As Amended) and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ans-serif" w:hAnsi="Times New Roman;sans-serif"/>
                  <w:b w:val="false"/>
                  <w:color w:val="0000FF"/>
                  <w:sz w:val="20"/>
                  <w:u w:val="single"/>
                </w:rPr>
                <w:t>Form of Sotera Health Company 2020 Omnibus Incentive Plan Stock Option Grant Notice (As Amended) and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001-39729</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2023-02-28</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c20231231_exhibitx21x1.htm">
              <w:r>
                <w:rPr>
                  <w:rStyle w:val="InternetLink"/>
                  <w:rFonts w:ascii="Times New Roman;sans-serif" w:hAnsi="Times New Roman;sans-serif"/>
                  <w:b w:val="false"/>
                  <w:color w:val="0000FF"/>
                  <w:sz w:val="20"/>
                  <w:u w:val="single"/>
                </w:rPr>
                <w:t>List of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c20231231_exhibitx23x1.htm">
              <w:r>
                <w:rPr>
                  <w:rStyle w:val="InternetLink"/>
                  <w:rFonts w:ascii="Times New Roman;sans-serif" w:hAnsi="Times New Roman;sans-serif"/>
                  <w:b w:val="false"/>
                  <w:color w:val="0000FF"/>
                  <w:sz w:val="20"/>
                  <w:u w:val="single"/>
                </w:rPr>
                <w:t>Consent of Ernst &amp; Young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c20231231_exhibitx31x1.htm">
              <w:r>
                <w:rPr>
                  <w:rStyle w:val="InternetLink"/>
                  <w:rFonts w:ascii="Times New Roman;sans-serif" w:hAnsi="Times New Roman;sans-serif"/>
                  <w:b w:val="false"/>
                  <w:color w:val="0000FF"/>
                  <w:sz w:val="20"/>
                  <w:u w:val="single"/>
                </w:rPr>
                <w:t>Certification of Principal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c20231231_exhibitx31x2.htm">
              <w:r>
                <w:rPr>
                  <w:rStyle w:val="InternetLink"/>
                  <w:rFonts w:ascii="Times New Roman;sans-serif" w:hAnsi="Times New Roman;sans-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c20231231_exhibitx32x1.htm">
              <w:r>
                <w:rPr>
                  <w:rStyle w:val="InternetLink"/>
                  <w:rFonts w:ascii="Times New Roman;sans-serif" w:hAnsi="Times New Roman;sans-serif"/>
                  <w:b w:val="false"/>
                  <w:color w:val="0000FF"/>
                  <w:sz w:val="20"/>
                  <w:u w:val="single"/>
                </w:rPr>
                <w:t>Certifications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c20231231_exhibitx97x1.htm">
              <w:r>
                <w:rPr>
                  <w:rStyle w:val="InternetLink"/>
                  <w:rFonts w:ascii="Times New Roman;sans-serif" w:hAnsi="Times New Roman;sans-serif"/>
                  <w:b w:val="false"/>
                  <w:color w:val="0000FF"/>
                  <w:sz w:val="20"/>
                  <w:u w:val="single"/>
                </w:rPr>
                <w:t>Sotera Health Company Policy for the Recovery of Erroneously Awarded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XBRL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Inline XBRL Taxonomy Extension Presentation Linkbase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lineRule="auto" w:line="333" w:before="0" w:after="0"/>
        <w:jc w:val="left"/>
        <w:rPr/>
      </w:pPr>
      <w:hyperlink w:anchor="ifcb9a1dd2c5241fc889f8362a6f7e549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Denotes management contract or compensatory plan or arrangement.</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Certain confidential portions of this exhibit have been redacted pursuant to Item 601(b)(10)(iv) of Regulation S-K. The omitted information is (i) not material, and (ii) would likely cause us competitive harm if publicly disclosed. We agree to furnish supplementally an unredacted copy of the exhibit to the Securities and Exchange Commission on its request.</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Certain confidential portions of this exhibit have been redacted pursuant to Item 601(b)(10)(iv) of Regulation S-K. The omitted information is (i) not material, and (ii) the type of information that the registrant treats as private and confidential. We agree to furnish supplementally an unredacted copy of the exhibit to the Securities and Exchange Commission on its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lineRule="auto" w:line="333" w:before="0" w:after="0"/>
        <w:jc w:val="left"/>
        <w:rPr/>
      </w:pPr>
      <w:hyperlink w:anchor="ifcb9a1dd2c5241fc889f8362a6f7e549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459" w:type="dxa"/>
        <w:jc w:val="left"/>
        <w:tblInd w:w="0" w:type="dxa"/>
        <w:tblLayout w:type="fixed"/>
        <w:tblCellMar>
          <w:top w:w="28" w:type="dxa"/>
          <w:left w:w="28" w:type="dxa"/>
          <w:bottom w:w="28" w:type="dxa"/>
          <w:right w:w="28" w:type="dxa"/>
        </w:tblCellMar>
      </w:tblPr>
      <w:tblGrid>
        <w:gridCol w:w="124"/>
        <w:gridCol w:w="109"/>
        <w:gridCol w:w="109"/>
        <w:gridCol w:w="288"/>
        <w:gridCol w:w="288"/>
        <w:gridCol w:w="288"/>
        <w:gridCol w:w="507"/>
        <w:gridCol w:w="507"/>
        <w:gridCol w:w="507"/>
        <w:gridCol w:w="507"/>
        <w:gridCol w:w="507"/>
        <w:gridCol w:w="7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SOTERA HEALTH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B. Petras, Jr.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B. Petras, Jr.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483" w:type="dxa"/>
        <w:jc w:val="left"/>
        <w:tblInd w:w="0" w:type="dxa"/>
        <w:tblLayout w:type="fixed"/>
        <w:tblCellMar>
          <w:top w:w="28" w:type="dxa"/>
          <w:left w:w="28" w:type="dxa"/>
          <w:bottom w:w="28" w:type="dxa"/>
          <w:right w:w="28" w:type="dxa"/>
        </w:tblCellMar>
      </w:tblPr>
      <w:tblGrid>
        <w:gridCol w:w="758"/>
        <w:gridCol w:w="666"/>
        <w:gridCol w:w="675"/>
        <w:gridCol w:w="109"/>
        <w:gridCol w:w="109"/>
        <w:gridCol w:w="109"/>
        <w:gridCol w:w="1359"/>
        <w:gridCol w:w="1359"/>
        <w:gridCol w:w="1377"/>
        <w:gridCol w:w="109"/>
        <w:gridCol w:w="109"/>
        <w:gridCol w:w="109"/>
        <w:gridCol w:w="477"/>
        <w:gridCol w:w="477"/>
        <w:gridCol w:w="681"/>
      </w:tblGrid>
      <w:tr>
        <w:trPr/>
        <w:tc>
          <w:tcPr>
            <w:tcW w:w="75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B. Petras,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Chairman and Chief Executive Officer </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B. Petras,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Jonathon M. Lyons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b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Jonathon M. Lyons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Ruoxi Chen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Ruoxi Chen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Sean L. Cunningham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Sean L. Cunningham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Donnini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A. Donnini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Karen A. Flynn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Karen A. Flynn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Ann R. Klee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Ann R. Klee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B. Knauss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B. Knauss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Constantine S. Mihas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Constantine S. Mihas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James C. Neary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C. Neary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Vincent K. Petrella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Vincent K. Petrella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E. Wheadon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E. Wheadon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10.7</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2024</w:t>
      </w:r>
    </w:p>
    <w:p>
      <w:pPr>
        <w:pStyle w:val="TextBody"/>
        <w:bidi w:val="0"/>
        <w:spacing w:lineRule="auto" w:line="288" w:before="200" w:after="283"/>
        <w:jc w:val="left"/>
        <w:rPr>
          <w:color w:val="000000"/>
        </w:rPr>
      </w:pP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Jonathan Lyons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Dear Jon,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Congratulations on the opportunity to join Sotera Health Company (the “Company”) as its Senior Vice President and Chief Financial Officer. This letter will recap the key elements of our offer. This letter amends and restates the prior offer letter you received from Sotera Health Company dated May 31, 2023.</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 xml:space="preserve">Start Date: </w:t>
      </w:r>
      <w:r>
        <w:rPr>
          <w:rFonts w:ascii="Times New Roman;sans-serif" w:hAnsi="Times New Roman;sans-serif"/>
          <w:b w:val="false"/>
          <w:color w:val="000000"/>
          <w:sz w:val="20"/>
        </w:rPr>
        <w:t xml:space="preserve">Your employment will commence on June 26, 2023.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Reporting</w:t>
      </w:r>
      <w:r>
        <w:rPr>
          <w:rFonts w:ascii="Times New Roman;sans-serif" w:hAnsi="Times New Roman;sans-serif"/>
          <w:b w:val="false"/>
          <w:color w:val="000000"/>
          <w:sz w:val="20"/>
        </w:rPr>
        <w:t>: You will report to Michael Petras, Chief Executive Officer, Sotera Health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Status &amp; Salary</w:t>
      </w:r>
      <w:r>
        <w:rPr>
          <w:rFonts w:ascii="Times New Roman;sans-serif" w:hAnsi="Times New Roman;sans-serif"/>
          <w:b w:val="false"/>
          <w:color w:val="000000"/>
          <w:sz w:val="20"/>
        </w:rPr>
        <w:t>: You will be employed as a full-time, exempt, salaried employee. Your starting salary will be $475,000 annually, payable on a bi-weekly basis. The Company may review and/or revise your salary from time to time, in its sole discretion.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 xml:space="preserve">Annual Incentive Plan: </w:t>
      </w:r>
      <w:r>
        <w:rPr>
          <w:rFonts w:ascii="Times New Roman;sans-serif" w:hAnsi="Times New Roman;sans-serif"/>
          <w:b w:val="false"/>
          <w:color w:val="000000"/>
          <w:sz w:val="20"/>
        </w:rPr>
        <w:t xml:space="preserve">You will be eligible to participate in the Annual Incentive Plan, on the terms and conditions set forth therein, at a target of 70% of your base annual salary. For 2023, your participation in the AIP will be prorated based on your hire date.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Sign-on Bonus</w:t>
      </w:r>
      <w:r>
        <w:rPr>
          <w:rFonts w:ascii="Times New Roman;sans-serif" w:hAnsi="Times New Roman;sans-serif"/>
          <w:b w:val="false"/>
          <w:color w:val="000000"/>
          <w:sz w:val="20"/>
        </w:rPr>
        <w:t xml:space="preserve">: You will be eligible for $200,000 to replace the forgone value of your annual cash incentive award from your former employer. This bonus will be payable within the first payroll cycle after your start date.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Long-Term Incentive Plan</w:t>
      </w:r>
      <w:r>
        <w:rPr>
          <w:rFonts w:ascii="Times New Roman;sans-serif" w:hAnsi="Times New Roman;sans-serif"/>
          <w:b w:val="false"/>
          <w:color w:val="000000"/>
          <w:sz w:val="20"/>
        </w:rPr>
        <w:t>: In August of 2023, you will be eligible for an equity award with a grant date fair value of $1,000,000 comprised of restricted stock units for foregone long-term incentives from your prior employer. You will also be eligible for an annual award with a target grant date fair value of $1,200,000 subject to the approval of the Leadership Development and Compensation Committee of the Company’s Board of Directors and the Board of Directors. This award will be comprised of stock options and restricted stock units and will be prorated 50% for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Please note that this is the value of your initial grant and the value of future grants, if any, may vary. Your equity award will be subject to and contingent upon your acceptance of, the terms and conditions of the Sotera Health Company 2020 Omnibus Incentive Plan, as well as any applicable grant notices and agreements associated with your award. Additional information will be provided upon acceptance of this offer.</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Benefits Program</w:t>
      </w:r>
      <w:r>
        <w:rPr>
          <w:rFonts w:ascii="Times New Roman;sans-serif" w:hAnsi="Times New Roman;sans-serif"/>
          <w:b w:val="false"/>
          <w:color w:val="000000"/>
          <w:sz w:val="20"/>
        </w:rPr>
        <w:t>: You are eligible to participate in the Company’s benefits program, including but not limited to medical, dental, vision and 401(k) plan with company match. All plans are in accordance with the terms and conditions of that program and associated insurance policies, as may be in effect from time to time. The Company reserves the right to amend or discontinue its benefits program at any time, with or without advance notice.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Vacation</w:t>
      </w:r>
      <w:r>
        <w:rPr>
          <w:rFonts w:ascii="Times New Roman;sans-serif" w:hAnsi="Times New Roman;sans-serif"/>
          <w:b w:val="false"/>
          <w:color w:val="000000"/>
          <w:sz w:val="20"/>
        </w:rPr>
        <w:t>: You are entitled to four (4) weeks of vacation annually, subject to the terms and conditions of the Company’s vacation policy as may be in effect from time to time. Your vacation time will be prorated during your first year of employment, according to your hire date.</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857885"/>
                <wp:effectExtent l="0" t="0" r="0" b="0"/>
                <wp:wrapNone/>
                <wp:docPr id="137" name="Frame133"/>
                <a:graphic xmlns:a="http://schemas.openxmlformats.org/drawingml/2006/main">
                  <a:graphicData uri="http://schemas.microsoft.com/office/word/2010/wordprocessingShape">
                    <wps:wsp>
                      <wps:cNvSpPr txBox="1"/>
                      <wps:spPr>
                        <a:xfrm>
                          <a:off x="0" y="0"/>
                          <a:ext cx="6480175" cy="857885"/>
                        </a:xfrm>
                        <a:prstGeom prst="rect"/>
                        <a:solidFill>
                          <a:srgbClr val="FFFFFF"/>
                        </a:solidFill>
                      </wps:spPr>
                      <wps:txbx>
                        <w:txbxContent>
                          <w:p>
                            <w:pPr>
                              <w:pStyle w:val="TextBody"/>
                              <w:bidi w:val="0"/>
                              <w:spacing w:lineRule="auto" w:line="319" w:before="0" w:after="140"/>
                              <w:jc w:val="left"/>
                              <w:rPr>
                                <w:rFonts w:ascii="Calibri;sans-serif" w:hAnsi="Calibri;sans-serif"/>
                                <w:b/>
                                <w:color w:val="FFFFFF"/>
                                <w:sz w:val="24"/>
                              </w:rPr>
                            </w:pPr>
                            <w:r>
                              <w:rPr>
                                <w:rFonts w:ascii="Calibri;sans-serif" w:hAnsi="Calibri;sans-serif"/>
                                <w:b/>
                                <w:color w:val="FFFFFF"/>
                                <w:sz w:val="24"/>
                              </w:rPr>
                              <w:t>9100 South Hills Boulevard, Suite 300</w:t>
                            </w:r>
                            <w:r>
                              <w:br w:type="page"/>
                            </w:r>
                          </w:p>
                          <w:p>
                            <w:pPr>
                              <w:pStyle w:val="TextBody"/>
                              <w:bidi w:val="0"/>
                              <w:spacing w:lineRule="auto" w:line="319" w:before="0" w:after="140"/>
                              <w:jc w:val="right"/>
                              <w:rPr>
                                <w:rFonts w:ascii="Calibri;sans-serif" w:hAnsi="Calibri;sans-serif"/>
                                <w:b/>
                                <w:color w:val="FFFFFF"/>
                                <w:sz w:val="24"/>
                              </w:rPr>
                            </w:pPr>
                            <w:r>
                              <w:rPr>
                                <w:rFonts w:ascii="Calibri;sans-serif" w:hAnsi="Calibri;sans-serif"/>
                                <w:b/>
                                <w:color w:val="FFFFFF"/>
                                <w:sz w:val="24"/>
                              </w:rPr>
                              <w:t xml:space="preserve">Broadview Heights, OH 44147 </w:t>
                            </w:r>
                          </w:p>
                          <w:p>
                            <w:pPr>
                              <w:pStyle w:val="TextBody"/>
                              <w:bidi w:val="0"/>
                              <w:spacing w:lineRule="auto" w:line="319" w:before="0" w:after="0"/>
                              <w:jc w:val="right"/>
                              <w:rPr>
                                <w:rFonts w:ascii="Calibri;sans-serif" w:hAnsi="Calibri;sans-serif"/>
                                <w:b/>
                                <w:color w:val="FFFFFF"/>
                                <w:sz w:val="24"/>
                              </w:rPr>
                            </w:pPr>
                            <w:r>
                              <w:rPr>
                                <w:rFonts w:ascii="Calibri;sans-serif" w:hAnsi="Calibri;sans-serif"/>
                                <w:b/>
                                <w:color w:val="FFFFFF"/>
                                <w:sz w:val="24"/>
                              </w:rPr>
                              <w:t>440-262-1410 | soterahealth.com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140"/>
                        <w:jc w:val="left"/>
                        <w:rPr>
                          <w:rFonts w:ascii="Calibri;sans-serif" w:hAnsi="Calibri;sans-serif"/>
                          <w:b/>
                          <w:color w:val="FFFFFF"/>
                          <w:sz w:val="24"/>
                        </w:rPr>
                      </w:pPr>
                      <w:r>
                        <w:rPr>
                          <w:rFonts w:ascii="Calibri;sans-serif" w:hAnsi="Calibri;sans-serif"/>
                          <w:b/>
                          <w:color w:val="FFFFFF"/>
                          <w:sz w:val="24"/>
                        </w:rPr>
                        <w:t>9100 South Hills Boulevard, Suite 300</w:t>
                      </w:r>
                    </w:p>
                    <w:p>
                      <w:pPr>
                        <w:pStyle w:val="TextBody"/>
                        <w:bidi w:val="0"/>
                        <w:spacing w:lineRule="auto" w:line="319" w:before="0" w:after="140"/>
                        <w:jc w:val="right"/>
                        <w:rPr>
                          <w:rFonts w:ascii="Calibri;sans-serif" w:hAnsi="Calibri;sans-serif"/>
                          <w:b/>
                          <w:color w:val="FFFFFF"/>
                          <w:sz w:val="24"/>
                        </w:rPr>
                      </w:pPr>
                      <w:r>
                        <w:rPr>
                          <w:rFonts w:ascii="Calibri;sans-serif" w:hAnsi="Calibri;sans-serif"/>
                          <w:b/>
                          <w:color w:val="FFFFFF"/>
                          <w:sz w:val="24"/>
                        </w:rPr>
                        <w:t xml:space="preserve">Broadview Heights, OH 44147 </w:t>
                      </w:r>
                    </w:p>
                    <w:p>
                      <w:pPr>
                        <w:pStyle w:val="TextBody"/>
                        <w:bidi w:val="0"/>
                        <w:spacing w:lineRule="auto" w:line="319" w:before="0" w:after="0"/>
                        <w:jc w:val="right"/>
                        <w:rPr>
                          <w:rFonts w:ascii="Calibri;sans-serif" w:hAnsi="Calibri;sans-serif"/>
                          <w:b/>
                          <w:color w:val="FFFFFF"/>
                          <w:sz w:val="24"/>
                        </w:rPr>
                      </w:pPr>
                      <w:r>
                        <w:rPr>
                          <w:rFonts w:ascii="Calibri;sans-serif" w:hAnsi="Calibri;sans-serif"/>
                          <w:b/>
                          <w:color w:val="FFFFFF"/>
                          <w:sz w:val="24"/>
                        </w:rPr>
                        <w:t>440-262-1410 | soterahealth.com</w:t>
                      </w:r>
                    </w:p>
                  </w:txbxContent>
                </v:textbox>
                <w10:wrap type="none"/>
              </v:rect>
            </w:pict>
          </mc:Fallback>
        </mc:AlternateConten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 xml:space="preserve">Termination of Employment: </w:t>
      </w:r>
      <w:r>
        <w:rPr>
          <w:rFonts w:ascii="Times New Roman;sans-serif" w:hAnsi="Times New Roman;sans-serif"/>
          <w:b w:val="false"/>
          <w:color w:val="000000"/>
          <w:sz w:val="20"/>
        </w:rPr>
        <w:t>In the event your employment is terminated by the Company without Cause you will be eligible for one (1) year separation pay equal to one (1) year of continued base salary (the “Separation Payments”). Payment of the Separation Payments shall be made in accordance with the Company’s normal payroll practices and shall commence on the sixtieth (60th) day following the date of your termination of employment (the “Release Date”) subject to your execution and delivery to the Company of a general release in a form acceptable to the Company (and such release being in full force and effect and having not been timely revoked in accordance with its terms) (the “Release Requirement”) and (B) you shall be entitled to receive such Separation Payments only so long as you have not breached any of the provisions of such general release or any restrictive covenants to which you are subject. If the Release Requirement is satisfied, then the portion of the Separation Payments which would otherwise have been paid during the period between the date of termination of employment and the Release Date shall instead be paid as soon as reasonably practicable following the Release Date. If the Release Requirement is not satisfied as of the Release Date, you shall not be entitled to any Separation Payments and the Company shall have no further obligations in connection with the Separation Payments. For purposes hereof, “Cause” means (i) your intentional unauthorized use or disclosure of the confidential information or trade secrets of the Company and its affiliates or any of their respective customers or suppliers, (ii) conviction of, a plea of “guilty” or “no contest” to, or indictment for a felony under the laws of the United States, Canada or any province or state thereof or the laws of any other jurisdiction in which you reside, (iii) your engagement in any fraud, willful misconduct or gross neglect in the performance of your duties hereunder, or in any other willful misconduct which has caused material injury to the Company or any of its affiliates or any of their respective customers or suppliers, (iv) your willfully engaging in any act or omission involving dishonesty, breach of trust, unethical business conduct or moral turpitude, in each case involving the Company or any of its affiliates, or any of their respective customers or suppliers, (v) your failure to perform lawful assigned duties or (vi) any breach by you of any restrictive covenant to which you are subject.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Commuting Bonus:</w:t>
      </w:r>
      <w:r>
        <w:rPr>
          <w:color w:val="000000"/>
        </w:rPr>
        <w:t xml:space="preserve"> </w:t>
      </w:r>
      <w:r>
        <w:rPr>
          <w:rFonts w:ascii="Times New Roman;sans-serif" w:hAnsi="Times New Roman;sans-serif"/>
          <w:b w:val="false"/>
          <w:color w:val="000000"/>
          <w:sz w:val="20"/>
        </w:rPr>
        <w:t>You will be eligible for a one-time payment of $100,000 to defray costs associated with commuting to Cleveland, Ohio. This payment will be made in the first payroll cycle in April, 2024.</w:t>
      </w:r>
    </w:p>
    <w:p>
      <w:pPr>
        <w:pStyle w:val="TextBody"/>
        <w:bidi w:val="0"/>
        <w:spacing w:lineRule="auto" w:line="288" w:before="200" w:after="200"/>
        <w:ind w:left="0" w:right="0" w:hanging="360"/>
        <w:jc w:val="both"/>
        <w:rPr/>
      </w:pPr>
      <w:r>
        <w:rPr>
          <w:color w:val="000000"/>
        </w:rPr>
        <w:t>•</w:t>
      </w:r>
      <w:r>
        <w:rPr>
          <w:rFonts w:ascii="Times New Roman;sans-serif" w:hAnsi="Times New Roman;sans-serif"/>
          <w:b/>
          <w:color w:val="000000"/>
          <w:sz w:val="20"/>
        </w:rPr>
        <w:t>Pay-Back Provision:</w:t>
      </w:r>
      <w:r>
        <w:rPr>
          <w:color w:val="000000"/>
        </w:rPr>
        <w:t xml:space="preserve"> </w:t>
      </w:r>
      <w:r>
        <w:rPr>
          <w:rFonts w:ascii="Times New Roman;sans-serif" w:hAnsi="Times New Roman;sans-serif"/>
          <w:b w:val="false"/>
          <w:color w:val="000000"/>
          <w:sz w:val="20"/>
        </w:rPr>
        <w:t xml:space="preserve">In the event you terminate your employment for any reason other than death or disability; or the Company terminates your employment for Cause within 24 months after your start date, by your signature below, you acknowledge and agree to pay back to Sotera Health a pro-rata portion of your sign-on bonus and commuting bonus (on a pre-tax basis) within 5 business days of your termination of employment.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Your employment with the Company is “at will”; it is for no specified term and may be terminated by you or the Company at any time, with or without cause or advance notice. This letter may be executed in counterparts and shall be binding upon the parties upon execution and may only be amended in writing signed by each of the parties hereto. The Company reserves the right to add, delete, or modify all plans, program, policies, procedures, and guidelines at any time, provided, however, that such actions shall not modify the compensation and benefits specifically provided to you under this letter. This letter constitutes the complete agreement between you and the Company with respect to the subject matter hereof, and supersedes any prior understandings or agreements with respect thereto, and shall be governed by the internal substantive laws of the state of Delaware. All compensation and benefits described herein will be subject to applicable tax withholding.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intent of the parties is that payments and benefits under this letter comply with or be exempt from Section 409A of the Internal Revenue Code of 1986, as amended (the “Code”) and the regulations and guidance promulgated thereunder (collectively “Code Section 409A”) and, accordingly, to the maximum extent permitted, this letter shall be interpreted to be exempt from or in compliance therewith. In no event whatsoever shall the Company be liable for any additional tax, interest or penalty that may be imposed on you by Code Section 409A or damages for failing to comply with Code Section 409A.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offer is contingent upon favorable references and successful completion of background and drug screens.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condition of your employment, you will be required to provide the Company with documents establishing your identity and right to work in the United States. These documents must be provided to the Company within three days after your employment start date. In addition, you will also be required to sign a restrictive covenants agreement in a form customary for senior executives covering non-competition and non-solicitation (while employed and for one year post employment) and confidentiality.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Jon, we look forward to you joining the Company and becoming part of our team. We are sure you will find your career with us both challenging and rewarding. To confirm your acceptance of this offer of employment on the terms and conditions set out above, please sign below and return to me.</w:t>
      </w:r>
    </w:p>
    <w:p>
      <w:pPr>
        <w:pStyle w:val="TextBody"/>
        <w:bidi w:val="0"/>
        <w:spacing w:before="0" w:after="200"/>
        <w:jc w:val="left"/>
        <w:rPr/>
      </w:pPr>
      <w:r>
        <w:rPr/>
      </w:r>
    </w:p>
    <w:p>
      <w:pPr>
        <w:pStyle w:val="TextBody"/>
        <w:bidi w:val="0"/>
        <w:spacing w:before="0" w:after="20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Sincerely, </w:t>
      </w:r>
    </w:p>
    <w:p>
      <w:pPr>
        <w:pStyle w:val="TextBody"/>
        <w:bidi w:val="0"/>
        <w:spacing w:before="0" w:after="0"/>
        <w:jc w:val="left"/>
        <w:rPr/>
      </w:pPr>
      <w:r>
        <w:rPr/>
      </w:r>
    </w:p>
    <w:p>
      <w:pPr>
        <w:pStyle w:val="TextBody"/>
        <w:bidi w:val="0"/>
        <w:spacing w:before="0" w:after="0"/>
        <w:jc w:val="left"/>
        <w:rPr/>
      </w:pPr>
      <w:r>
        <w:rPr/>
      </w:r>
    </w:p>
    <w:tbl>
      <w:tblPr>
        <w:tblW w:w="3269" w:type="dxa"/>
        <w:jc w:val="left"/>
        <w:tblInd w:w="0" w:type="dxa"/>
        <w:tblLayout w:type="fixed"/>
        <w:tblCellMar>
          <w:top w:w="28" w:type="dxa"/>
          <w:left w:w="28" w:type="dxa"/>
          <w:bottom w:w="28" w:type="dxa"/>
          <w:right w:w="28" w:type="dxa"/>
        </w:tblCellMar>
      </w:tblPr>
      <w:tblGrid>
        <w:gridCol w:w="1045"/>
        <w:gridCol w:w="917"/>
        <w:gridCol w:w="1307"/>
      </w:tblGrid>
      <w:tr>
        <w:trPr/>
        <w:tc>
          <w:tcPr>
            <w:tcW w:w="104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B. Petras, Jr.</w:t>
            </w:r>
          </w:p>
        </w:tc>
      </w:tr>
      <w:tr>
        <w:trPr/>
        <w:tc>
          <w:tcPr>
            <w:tcW w:w="32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B. Petras, Jr.</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Sotera Health Company</w:t>
            </w:r>
          </w:p>
        </w:tc>
      </w:tr>
    </w:tbl>
    <w:p>
      <w:pPr>
        <w:pStyle w:val="TextBody"/>
        <w:bidi w:val="0"/>
        <w:spacing w:before="0" w:after="200"/>
        <w:jc w:val="both"/>
        <w:rPr/>
      </w:pPr>
      <w:r>
        <w:rPr/>
      </w:r>
    </w:p>
    <w:p>
      <w:pPr>
        <w:pStyle w:val="TextBody"/>
        <w:bidi w:val="0"/>
        <w:spacing w:lineRule="auto" w:line="288" w:before="0" w:after="200"/>
        <w:jc w:val="both"/>
        <w:rPr/>
      </w:pPr>
      <w:r>
        <w:rPr>
          <w:rFonts w:ascii="Times New Roman;sans-serif" w:hAnsi="Times New Roman;sans-serif"/>
          <w:b w:val="false"/>
          <w:i/>
          <w:color w:val="000000"/>
          <w:sz w:val="20"/>
        </w:rPr>
        <w:t xml:space="preserve">By my signature below, I confirm that I have read, understand and agree with the terms of this offer. </w:t>
      </w:r>
      <w:r>
        <w:rPr>
          <w:color w:val="000000"/>
        </w:rPr>
        <w:t>                                                </w:t>
      </w:r>
    </w:p>
    <w:p>
      <w:pPr>
        <w:pStyle w:val="TextBody"/>
        <w:bidi w:val="0"/>
        <w:spacing w:before="0" w:after="200"/>
        <w:jc w:val="both"/>
        <w:rPr/>
      </w:pPr>
      <w:r>
        <w:rPr/>
      </w:r>
    </w:p>
    <w:tbl>
      <w:tblPr>
        <w:tblW w:w="2565" w:type="dxa"/>
        <w:jc w:val="left"/>
        <w:tblInd w:w="0" w:type="dxa"/>
        <w:tblLayout w:type="fixed"/>
        <w:tblCellMar>
          <w:top w:w="28" w:type="dxa"/>
          <w:left w:w="28" w:type="dxa"/>
          <w:bottom w:w="28" w:type="dxa"/>
          <w:right w:w="28" w:type="dxa"/>
        </w:tblCellMar>
      </w:tblPr>
      <w:tblGrid>
        <w:gridCol w:w="820"/>
        <w:gridCol w:w="720"/>
        <w:gridCol w:w="1025"/>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 Lyons</w:t>
            </w:r>
          </w:p>
        </w:tc>
      </w:tr>
      <w:tr>
        <w:trPr/>
        <w:tc>
          <w:tcPr>
            <w:tcW w:w="25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Lyons (please print)</w:t>
            </w:r>
          </w:p>
        </w:tc>
      </w:tr>
    </w:tbl>
    <w:p>
      <w:pPr>
        <w:pStyle w:val="TextBody"/>
        <w:bidi w:val="0"/>
        <w:spacing w:before="0" w:after="0"/>
        <w:jc w:val="left"/>
        <w:rPr/>
      </w:pPr>
      <w:r>
        <w:rPr/>
      </w:r>
    </w:p>
    <w:tbl>
      <w:tblPr>
        <w:tblW w:w="3599" w:type="dxa"/>
        <w:jc w:val="left"/>
        <w:tblInd w:w="0" w:type="dxa"/>
        <w:tblLayout w:type="fixed"/>
        <w:tblCellMar>
          <w:top w:w="28" w:type="dxa"/>
          <w:left w:w="28" w:type="dxa"/>
          <w:bottom w:w="28" w:type="dxa"/>
          <w:right w:w="28" w:type="dxa"/>
        </w:tblCellMar>
      </w:tblPr>
      <w:tblGrid>
        <w:gridCol w:w="1151"/>
        <w:gridCol w:w="1013"/>
        <w:gridCol w:w="1435"/>
      </w:tblGrid>
      <w:tr>
        <w:trPr/>
        <w:tc>
          <w:tcPr>
            <w:tcW w:w="11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 Lyons / February 16, 2024</w:t>
            </w:r>
          </w:p>
        </w:tc>
      </w:tr>
      <w:tr>
        <w:trPr/>
        <w:tc>
          <w:tcPr>
            <w:tcW w:w="35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Signature/Date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3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SOTERA HEALTH COMPANY</w:t>
      </w:r>
    </w:p>
    <w:p>
      <w:pPr>
        <w:pStyle w:val="TextBody"/>
        <w:bidi w:val="0"/>
        <w:spacing w:lineRule="auto" w:line="288" w:before="240" w:after="283"/>
        <w:jc w:val="left"/>
        <w:rPr/>
      </w:pPr>
      <w:r>
        <w:rPr>
          <w:rFonts w:ascii="Times New Roman;sans-serif" w:hAnsi="Times New Roman;sans-serif"/>
          <w:b w:val="false"/>
          <w:color w:val="000000"/>
          <w:sz w:val="20"/>
        </w:rPr>
        <w:t xml:space="preserve">The following is a list of subsidiaries of Sotera Health Company, omitting subsidiaries which are dormant entities without any operations and holding no or </w:t>
      </w:r>
      <w:r>
        <w:rPr>
          <w:rFonts w:ascii="Times New Roman;sans-serif" w:hAnsi="Times New Roman;sans-serif"/>
          <w:b w:val="false"/>
          <w:i/>
          <w:color w:val="000000"/>
          <w:sz w:val="20"/>
        </w:rPr>
        <w:t>de minimis assets</w:t>
      </w:r>
      <w:r>
        <w:rPr>
          <w:rFonts w:ascii="Times New Roman;sans-serif" w:hAnsi="Times New Roman;sans-serif"/>
          <w:b w:val="false"/>
          <w:color w:val="000000"/>
          <w:sz w:val="20"/>
        </w:rPr>
        <w:t>, and which, considered in the aggregate as a single subsidiary, would not constitute a significant subsidiary as of February 27, 2024.</w:t>
      </w:r>
    </w:p>
    <w:tbl>
      <w:tblPr>
        <w:tblW w:w="7241" w:type="dxa"/>
        <w:jc w:val="center"/>
        <w:tblInd w:w="0" w:type="dxa"/>
        <w:tblLayout w:type="fixed"/>
        <w:tblCellMar>
          <w:top w:w="28" w:type="dxa"/>
          <w:left w:w="28" w:type="dxa"/>
          <w:bottom w:w="28" w:type="dxa"/>
          <w:right w:w="28" w:type="dxa"/>
        </w:tblCellMar>
      </w:tblPr>
      <w:tblGrid>
        <w:gridCol w:w="1554"/>
        <w:gridCol w:w="1366"/>
        <w:gridCol w:w="1370"/>
        <w:gridCol w:w="109"/>
        <w:gridCol w:w="109"/>
        <w:gridCol w:w="109"/>
        <w:gridCol w:w="767"/>
        <w:gridCol w:w="767"/>
        <w:gridCol w:w="1090"/>
      </w:tblGrid>
      <w:tr>
        <w:trPr/>
        <w:tc>
          <w:tcPr>
            <w:tcW w:w="15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Jurisdiction of Incorporation</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Companhia Brasileira de Esterilização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DEROSS Holding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Laboratories,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Laboratories Bozeman,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Laboratories Fairfield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Laboratories Fairfield,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Laboratories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Nelson Labs NV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 US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Nordion (US)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Compliance Associates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REVISS Services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RSI Leasing,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Sotera Health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Sotera Health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Sotera Health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Belgium Fleurus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Belgium Petit Rechain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Brasil Participaçãos EIRELI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Costa Rica,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Costa Rica</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Denmark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Denmark</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EO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France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Italy S.p.A.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NV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Radiation Technologies,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Radiation Technologies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Radiation Technologies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Radiation Technologies IN,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Shanghai E-beam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Shanghai ETO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Thailand,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Thailand</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Sterigenics U.S.,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 1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 2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Unidade de Esterilização Cotia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 (Form S-8 No. 333-250894) pertaining to the Sotera Health Company 2020 Omnibus Incentive Plan of our reports dated February 27, 2024, with respect to the consolidated financial statements and schedule of Sotera Health Company, and the effectiveness of internal control over financial reporting of Sotera Health Company, included in this Annual Report (Form 10-K) for the year ended December 31, 2023.</w:t>
      </w:r>
    </w:p>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Cleveland, Ohio</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before="0" w:after="0"/>
        <w:ind w:left="0" w:right="0" w:firstLine="14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 Michael B. Petras, Jr., certify that:</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Sotera Health Company;</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48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    </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Michael B. Petras, Jr.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B. Petras, Jr.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p>
      <w:pPr>
        <w:pStyle w:val="TextBody"/>
        <w:bidi w:val="0"/>
        <w:spacing w:lineRule="auto" w:line="288"/>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Executive Officer)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before="0" w:after="0"/>
        <w:ind w:left="0" w:right="0" w:firstLine="144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2002</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 Jonathan M. Lyons, certify that:</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Sotera Health Company;</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48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Jonathan M. Lyons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Jonathan M. Lyons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p>
      <w:pPr>
        <w:pStyle w:val="TextBody"/>
        <w:bidi w:val="0"/>
        <w:spacing w:lineRule="auto" w:line="288"/>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Financial Officer)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OF PRINCIPAL EXECUTIVE OFFICER AND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Pursuant to section 906 of the Sarbanes-Oxley Act of 2002 (subsections (a) and (b) of Section 1350, Chapter 63 of Title 18, United States Code), each of the undersigned officers of Sotera Health Company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do hereby certify, to each such officer’s knowledge, that the Annual Report on Form 10-K for the year ended December 31, 2023 of the Company fully complies with the requirements of Section 13(a) or 15(d) of the Securities Exchange Act of 1934 and information contained in the Form 10-K fairly presents, in all material respects, the financial condition and results of operations of the Company.</w:t>
      </w:r>
    </w:p>
    <w:tbl>
      <w:tblPr>
        <w:tblW w:w="6824" w:type="dxa"/>
        <w:jc w:val="left"/>
        <w:tblInd w:w="0" w:type="dxa"/>
        <w:tblLayout w:type="fixed"/>
        <w:tblCellMar>
          <w:top w:w="28" w:type="dxa"/>
          <w:left w:w="28" w:type="dxa"/>
          <w:bottom w:w="28" w:type="dxa"/>
          <w:right w:w="28" w:type="dxa"/>
        </w:tblCellMar>
      </w:tblPr>
      <w:tblGrid>
        <w:gridCol w:w="792"/>
        <w:gridCol w:w="696"/>
        <w:gridCol w:w="702"/>
        <w:gridCol w:w="1356"/>
        <w:gridCol w:w="1356"/>
        <w:gridCol w:w="1922"/>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27, 2024</w:t>
            </w:r>
          </w:p>
        </w:tc>
        <w:tc>
          <w:tcPr>
            <w:tcW w:w="4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Michael B. Petras, Jr.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B. Petras, Jr.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Chairman and Chief Executive Officer</w:t>
            </w:r>
          </w:p>
          <w:p>
            <w:pPr>
              <w:pStyle w:val="TableContents"/>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27, 2024</w:t>
            </w:r>
          </w:p>
        </w:tc>
        <w:tc>
          <w:tcPr>
            <w:tcW w:w="4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 Lyons</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Jonathan M. Lyons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Senior Vice President and Chief Financial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certifications are furnished and are not deemed filed with the Securities and Exchange Commission for purposes of Section 18 of the Securities Exchange Act of 1934, as amended (Exchange Act), and are not deemed to be incorporated by reference into any filing of Sotera Health Company under the Securities Act of 1933, as amended, or the Exchange Act, except to the extent that Sotera Health Company specifically incorporates them by reference.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97.1</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SOTERA HEALTH COMPANY </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POLICY FOR THE RECOVERY OF</w:t>
        <w:br/>
        <w:t>ERRONEOUSLY AWARDED COMPENSATION</w:t>
      </w:r>
    </w:p>
    <w:p>
      <w:pPr>
        <w:pStyle w:val="TextBody"/>
        <w:bidi w:val="0"/>
        <w:spacing w:lineRule="auto" w:line="240" w:before="0" w:after="2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Purpose</w:t>
      </w:r>
      <w:r>
        <w:rPr>
          <w:rFonts w:ascii="Times New Roman;sans-serif" w:hAnsi="Times New Roman;sans-serif"/>
          <w:b w:val="false"/>
          <w:color w:val="000000"/>
          <w:sz w:val="24"/>
        </w:rPr>
        <w:t xml:space="preserve">. The purpose of this Policy is to describe the circumstances in which Executive Officers will be required to repay or return Erroneously Awarded Compensation to the Company in accordance with the Clawback Rules. Executive Officers shall be required to sign and return to the Company the Acknowledgement and Acceptance Form attached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pursuant to which Executive Officers will acknowledge that they are bound by the terms of this Policy; provided, however, that this Policy shall apply to, and be enforceable against, any Executive Officer and his or her successors (as specified in Section 11 of this Policy) regardless whether such an Executive Officer properly signs and returns to the Company an Acknowledgement and Acceptance Form and regardless whether an Executive Officer is aware of his or her status as such. </w:t>
      </w:r>
    </w:p>
    <w:p>
      <w:pPr>
        <w:pStyle w:val="TextBody"/>
        <w:bidi w:val="0"/>
        <w:spacing w:lineRule="auto" w:line="240" w:before="0" w:after="2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Administration</w:t>
      </w:r>
      <w:r>
        <w:rPr>
          <w:rFonts w:ascii="Times New Roman;sans-serif" w:hAnsi="Times New Roman;sans-serif"/>
          <w:b w:val="false"/>
          <w:color w:val="000000"/>
          <w:sz w:val="24"/>
        </w:rPr>
        <w:t>. Except as specifically set forth otherwise, this Policy shall be administered by the Administrator. Any determinations made by the Administrator shall be final and binding on all affected individuals and need not be uniform with respect to each individual covered by this Policy. Subject to any limitation under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pStyle w:val="TextBody"/>
        <w:bidi w:val="0"/>
        <w:spacing w:lineRule="auto" w:line="240" w:before="0" w:after="2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For purposes of this Policy, the following capitalized terms shall have the meanings set forth below.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i/>
          <w:color w:val="000000"/>
          <w:sz w:val="24"/>
        </w:rPr>
        <w:t>Accounting Restatement</w:t>
      </w:r>
      <w:r>
        <w:rPr>
          <w:color w:val="000000"/>
        </w:rPr>
        <w:t xml:space="preserve">” </w:t>
      </w:r>
      <w:r>
        <w:rPr>
          <w:rFonts w:ascii="Times New Roman;sans-serif" w:hAnsi="Times New Roman;sans-serif"/>
          <w:b w:val="false"/>
          <w:color w:val="000000"/>
          <w:sz w:val="24"/>
        </w:rPr>
        <w:t>shall mean an accounting restatement required to comply with any financial reporting requirement under the securities laws, including (i) a restatement of financial statements issued for previous periods required to correct an error that is material to the previously issued financial statements (a “Big R” restatement); or (ii) a restatement of the comparative financial statements for prior reporting periods in the current year financial statement that is required to prevent the correction in the current period of an error immaterial to prior periods from resulting in a material misstatement in the current period financial statement (a “little r” restatement)</w:t>
      </w:r>
      <w:r>
        <w:rPr>
          <w:rFonts w:ascii="Arial;sans-serif" w:hAnsi="Arial;sans-serif"/>
          <w:b w:val="false"/>
          <w:color w:val="333333"/>
          <w:sz w:val="24"/>
        </w:rPr>
        <w: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i/>
          <w:color w:val="000000"/>
          <w:sz w:val="24"/>
        </w:rPr>
        <w:t>Administrator</w:t>
      </w:r>
      <w:r>
        <w:rPr>
          <w:color w:val="000000"/>
        </w:rPr>
        <w:t xml:space="preserve">” </w:t>
      </w:r>
      <w:r>
        <w:rPr>
          <w:rFonts w:ascii="Times New Roman;sans-serif" w:hAnsi="Times New Roman;sans-serif"/>
          <w:b w:val="false"/>
          <w:color w:val="000000"/>
          <w:sz w:val="24"/>
        </w:rPr>
        <w:t>shall mean the Committee or any other committee designated by the Board to administer the Policy, and in the absence of such designation, the Board.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i/>
          <w:color w:val="000000"/>
          <w:sz w:val="24"/>
        </w:rPr>
        <w:t>Board</w:t>
      </w:r>
      <w:r>
        <w:rPr>
          <w:color w:val="000000"/>
        </w:rPr>
        <w:t xml:space="preserve">” </w:t>
      </w:r>
      <w:r>
        <w:rPr>
          <w:rFonts w:ascii="Times New Roman;sans-serif" w:hAnsi="Times New Roman;sans-serif"/>
          <w:b w:val="false"/>
          <w:color w:val="000000"/>
          <w:sz w:val="24"/>
        </w:rPr>
        <w:t>shall mean the Board of Directors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i/>
          <w:color w:val="000000"/>
          <w:sz w:val="24"/>
        </w:rPr>
        <w:t>Clawback Eligible Incentive Compensation</w:t>
      </w:r>
      <w:r>
        <w:rPr>
          <w:color w:val="000000"/>
        </w:rPr>
        <w:t xml:space="preserve">” </w:t>
      </w:r>
      <w:r>
        <w:rPr>
          <w:rFonts w:ascii="Times New Roman;sans-serif" w:hAnsi="Times New Roman;sans-serif"/>
          <w:b w:val="false"/>
          <w:color w:val="000000"/>
          <w:sz w:val="24"/>
        </w:rPr>
        <w:t>shall mean, with respect to each individual who served as an Executive Officer at any time during the applicable performance period for any Incentive-Based Compensation (whether or not such individual is serving as an Executive Officer at the time the Erroneously Awarded Compensation is required to be repaid to the Company), all Incentive-Based Compensation Received by such individual: (i) on or after the Effective Date; (ii) after beginning service as an Executive Officer; (iii) while the Company has a class of securities listed on the Listing Exchange; and (iv) during the applicable Clawback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color w:val="000000"/>
        </w:rPr>
        <w:t>“</w:t>
      </w:r>
      <w:r>
        <w:rPr>
          <w:rFonts w:ascii="Times New Roman;sans-serif" w:hAnsi="Times New Roman;sans-serif"/>
          <w:b/>
          <w:i/>
          <w:color w:val="000000"/>
          <w:sz w:val="24"/>
        </w:rPr>
        <w:t>Clawback Period</w:t>
      </w:r>
      <w:r>
        <w:rPr>
          <w:color w:val="000000"/>
        </w:rPr>
        <w:t xml:space="preserve">” </w:t>
      </w:r>
      <w:r>
        <w:rPr>
          <w:rFonts w:ascii="Times New Roman;sans-serif" w:hAnsi="Times New Roman;sans-serif"/>
          <w:b w:val="false"/>
          <w:color w:val="000000"/>
          <w:sz w:val="24"/>
        </w:rPr>
        <w:t>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color w:val="000000"/>
        </w:rPr>
        <w:t>“</w:t>
      </w:r>
      <w:r>
        <w:rPr>
          <w:rFonts w:ascii="Times New Roman;sans-serif" w:hAnsi="Times New Roman;sans-serif"/>
          <w:b/>
          <w:i/>
          <w:color w:val="000000"/>
          <w:sz w:val="24"/>
        </w:rPr>
        <w:t>Clawback Rules</w:t>
      </w:r>
      <w:r>
        <w:rPr>
          <w:color w:val="000000"/>
        </w:rPr>
        <w:t xml:space="preserve">” </w:t>
      </w:r>
      <w:r>
        <w:rPr>
          <w:rFonts w:ascii="Times New Roman;sans-serif" w:hAnsi="Times New Roman;sans-serif"/>
          <w:b w:val="false"/>
          <w:color w:val="000000"/>
          <w:sz w:val="24"/>
        </w:rPr>
        <w:t>shall mean Section 10D of the Exchange Act and any applicable rules or standards adopted by the SEC thereunder (including Rule 10D-1 under the Exchange Act) or the Listing Exchange pursuant to Rule 10D-1 under the Exchange Act (including Nasdaq Stock Market Listing Rule 5608), in each case as may be in effect from time to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color w:val="000000"/>
        </w:rPr>
        <w:t>“</w:t>
      </w:r>
      <w:r>
        <w:rPr>
          <w:rFonts w:ascii="Times New Roman;sans-serif" w:hAnsi="Times New Roman;sans-serif"/>
          <w:b/>
          <w:i/>
          <w:color w:val="000000"/>
          <w:sz w:val="24"/>
        </w:rPr>
        <w:t>Committee</w:t>
      </w:r>
      <w:r>
        <w:rPr>
          <w:color w:val="000000"/>
        </w:rPr>
        <w:t xml:space="preserve">” </w:t>
      </w:r>
      <w:r>
        <w:rPr>
          <w:rFonts w:ascii="Times New Roman;sans-serif" w:hAnsi="Times New Roman;sans-serif"/>
          <w:b w:val="false"/>
          <w:color w:val="000000"/>
          <w:sz w:val="24"/>
        </w:rPr>
        <w:t>shall mean the Leadership Development and Compensation Committee of the Board.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color w:val="000000"/>
        </w:rPr>
        <w:t>“</w:t>
      </w:r>
      <w:r>
        <w:rPr>
          <w:rFonts w:ascii="Times New Roman;sans-serif" w:hAnsi="Times New Roman;sans-serif"/>
          <w:b/>
          <w:i/>
          <w:color w:val="000000"/>
          <w:sz w:val="24"/>
        </w:rPr>
        <w:t>Company</w:t>
      </w:r>
      <w:r>
        <w:rPr>
          <w:color w:val="000000"/>
        </w:rPr>
        <w:t xml:space="preserve">” </w:t>
      </w:r>
      <w:r>
        <w:rPr>
          <w:rFonts w:ascii="Times New Roman;sans-serif" w:hAnsi="Times New Roman;sans-serif"/>
          <w:b w:val="false"/>
          <w:color w:val="000000"/>
          <w:sz w:val="24"/>
        </w:rPr>
        <w:t>shall mean Sotera Health Company (and, as the Administrator determines is applicable, together with each of its direct and indirect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i/>
          <w:color w:val="000000"/>
          <w:sz w:val="24"/>
        </w:rPr>
        <w:t>Effective Date</w:t>
      </w:r>
      <w:r>
        <w:rPr>
          <w:color w:val="000000"/>
        </w:rPr>
        <w:t xml:space="preserve">” </w:t>
      </w:r>
      <w:r>
        <w:rPr>
          <w:rFonts w:ascii="Times New Roman;sans-serif" w:hAnsi="Times New Roman;sans-serif"/>
          <w:b w:val="false"/>
          <w:color w:val="000000"/>
          <w:sz w:val="24"/>
        </w:rPr>
        <w:t>shall mean October 2, 2023.</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color w:val="000000"/>
        </w:rPr>
        <w:t>“</w:t>
      </w:r>
      <w:r>
        <w:rPr>
          <w:rFonts w:ascii="Times New Roman;sans-serif" w:hAnsi="Times New Roman;sans-serif"/>
          <w:b/>
          <w:i/>
          <w:color w:val="000000"/>
          <w:sz w:val="24"/>
        </w:rPr>
        <w:t>Erroneously Awarded Compensation</w:t>
      </w:r>
      <w:r>
        <w:rPr>
          <w:color w:val="000000"/>
        </w:rPr>
        <w:t xml:space="preserve">” </w:t>
      </w:r>
      <w:r>
        <w:rPr>
          <w:rFonts w:ascii="Times New Roman;sans-serif" w:hAnsi="Times New Roman;sans-serif"/>
          <w:b w:val="false"/>
          <w:color w:val="000000"/>
          <w:sz w:val="24"/>
        </w:rPr>
        <w:t>shall mean, with respect to each Executive Officer in connection with an Accounting Restatement, the amount of Clawback Eligible Incentive Compensation that exceeds the amount of Clawback Eligible Incentive Compensation that would have been Received had it been determined based on the restated amounts, computed without regard to any taxes paid.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(k)</w:t>
      </w:r>
      <w:r>
        <w:rPr>
          <w:color w:val="000000"/>
        </w:rPr>
        <w:t>“</w:t>
      </w:r>
      <w:r>
        <w:rPr>
          <w:rFonts w:ascii="Times New Roman;sans-serif" w:hAnsi="Times New Roman;sans-serif"/>
          <w:b/>
          <w:i/>
          <w:color w:val="000000"/>
          <w:sz w:val="24"/>
        </w:rPr>
        <w:t>Executive Officer</w:t>
      </w:r>
      <w:r>
        <w:rPr>
          <w:color w:val="000000"/>
        </w:rPr>
        <w:t xml:space="preserve">” </w:t>
      </w:r>
      <w:r>
        <w:rPr>
          <w:rFonts w:ascii="Times New Roman;sans-serif" w:hAnsi="Times New Roman;sans-serif"/>
          <w:b w:val="false"/>
          <w:color w:val="000000"/>
          <w:sz w:val="24"/>
        </w:rPr>
        <w:t xml:space="preserve">shall mean any individual who is or was an executive officer as determined by the Administrator in accordance with the definition of “executive officer” as set forth in the Clawback Rules and any other senior executive, employee or other personnel of the Company who may from time to time be deemed subject to the Policy by the Administrator. For the avoidance of doubt, the Administrator shall have full discretion to determine which individuals in the Company shall be considered an “Executive Officer” for purposes of this Policy.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(l)</w:t>
      </w:r>
      <w:r>
        <w:rPr>
          <w:color w:val="000000"/>
        </w:rPr>
        <w:t>“</w:t>
      </w:r>
      <w:r>
        <w:rPr>
          <w:rFonts w:ascii="Times New Roman;sans-serif" w:hAnsi="Times New Roman;sans-serif"/>
          <w:b/>
          <w:i/>
          <w:color w:val="000000"/>
          <w:sz w:val="24"/>
        </w:rPr>
        <w:t>Exchange Act</w:t>
      </w:r>
      <w:r>
        <w:rPr>
          <w:color w:val="000000"/>
        </w:rPr>
        <w:t xml:space="preserve">” </w:t>
      </w:r>
      <w:r>
        <w:rPr>
          <w:rFonts w:ascii="Times New Roman;sans-serif" w:hAnsi="Times New Roman;sans-serif"/>
          <w:b w:val="false"/>
          <w:color w:val="000000"/>
          <w:sz w:val="24"/>
        </w:rPr>
        <w:t xml:space="preserve">shall mean the Securities Exchange Act of 1934, as amended, and the rules and regulations promulgated thereunder.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(m)</w:t>
      </w:r>
      <w:r>
        <w:rPr>
          <w:color w:val="000000"/>
        </w:rPr>
        <w:t>“</w:t>
      </w:r>
      <w:r>
        <w:rPr>
          <w:rFonts w:ascii="Times New Roman;sans-serif" w:hAnsi="Times New Roman;sans-serif"/>
          <w:b/>
          <w:i/>
          <w:color w:val="000000"/>
          <w:sz w:val="24"/>
        </w:rPr>
        <w:t>Financial Reporting Measures</w:t>
      </w:r>
      <w:r>
        <w:rPr>
          <w:color w:val="000000"/>
        </w:rPr>
        <w:t xml:space="preserve">” </w:t>
      </w:r>
      <w:r>
        <w:rPr>
          <w:rFonts w:ascii="Times New Roman;sans-serif" w:hAnsi="Times New Roman;sans-serif"/>
          <w:b w:val="false"/>
          <w:color w:val="000000"/>
          <w:sz w:val="24"/>
        </w:rPr>
        <w:t>shall mean measures that are determined and presented in accordance with the accounting principles used in preparing the Company’s or, to the extent applicable, any of its subsidiaries’ financial statements, and any measures that are derived wholly or in part from such measures. Stock price and total shareholder return shall for purposes of this Policy be considered Financial Reporting Measures. For the avoidance of doubt, a Financial Reporting Measure need not be presented within the Company’s financial statements or included in a filing with the SEC.</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(n)</w:t>
      </w:r>
      <w:r>
        <w:rPr>
          <w:color w:val="000000"/>
        </w:rPr>
        <w:t>“</w:t>
      </w:r>
      <w:r>
        <w:rPr>
          <w:rFonts w:ascii="Times New Roman;sans-serif" w:hAnsi="Times New Roman;sans-serif"/>
          <w:b/>
          <w:i/>
          <w:color w:val="000000"/>
          <w:sz w:val="24"/>
        </w:rPr>
        <w:t>Incentive-Based Compensation</w:t>
      </w:r>
      <w:r>
        <w:rPr>
          <w:color w:val="000000"/>
        </w:rPr>
        <w:t xml:space="preserve">” </w:t>
      </w:r>
      <w:r>
        <w:rPr>
          <w:rFonts w:ascii="Times New Roman;sans-serif" w:hAnsi="Times New Roman;sans-serif"/>
          <w:b w:val="false"/>
          <w:color w:val="000000"/>
          <w:sz w:val="24"/>
        </w:rPr>
        <w:t>shall mean any compensation that is granted, earned or vested based wholly or in part upon the attainment of a Financial Reporting Measure. For the avoidance of doubt, Incentive-Based Compensation includes proceeds received upon the sale of shares acquired through an incentive plan that were granted or vested based wholly or in part on satisfying a Financial Reporting Measure.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(o)</w:t>
      </w:r>
      <w:r>
        <w:rPr>
          <w:color w:val="000000"/>
        </w:rPr>
        <w:t>“</w:t>
      </w:r>
      <w:r>
        <w:rPr>
          <w:rFonts w:ascii="Times New Roman;sans-serif" w:hAnsi="Times New Roman;sans-serif"/>
          <w:b/>
          <w:i/>
          <w:color w:val="000000"/>
          <w:sz w:val="24"/>
        </w:rPr>
        <w:t>Impracticable</w:t>
      </w:r>
      <w:r>
        <w:rPr>
          <w:color w:val="000000"/>
        </w:rPr>
        <w:t xml:space="preserve">” </w:t>
      </w:r>
      <w:r>
        <w:rPr>
          <w:rFonts w:ascii="Times New Roman;sans-serif" w:hAnsi="Times New Roman;sans-serif"/>
          <w:b w:val="false"/>
          <w:color w:val="000000"/>
          <w:sz w:val="24"/>
        </w:rPr>
        <w:t xml:space="preserve">shall mean, in accordance with the good faith determination of the Committee, or if the Committee does not consist of independent directors, a majority of the independent directors serving on the Board, that either: (i) the direct expenses paid to a third party to assist in enforcing the Policy against an Executive Officer would exceed the amount to be recovered, after the Company has made a reasonable attempt to recover the applicable Erroneously Awarded Compensation, documented such reasonable attempt(s) and provided such documentation to the Listing Exchange; (ii) recovery would violate Delaware law where that law was adopted prior to November 28, 2022, provided that, before concluding that it would be Impracticable to recover any amount of Erroneously Awarded Compensation based on violation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home country law, the Company has obtained an opinion of home country counsel, acceptable to the Listing Exchange, that recovery would result in such a violation and a copy of the opinion is provided to the Listing Exchange; or (iii) 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(p)</w:t>
      </w:r>
      <w:r>
        <w:rPr>
          <w:color w:val="000000"/>
        </w:rPr>
        <w:t>“</w:t>
      </w:r>
      <w:r>
        <w:rPr>
          <w:rFonts w:ascii="Times New Roman;sans-serif" w:hAnsi="Times New Roman;sans-serif"/>
          <w:b/>
          <w:i/>
          <w:color w:val="000000"/>
          <w:sz w:val="24"/>
        </w:rPr>
        <w:t>Listing Exchange</w:t>
      </w:r>
      <w:r>
        <w:rPr>
          <w:color w:val="000000"/>
        </w:rPr>
        <w:t xml:space="preserve">” </w:t>
      </w:r>
      <w:r>
        <w:rPr>
          <w:rFonts w:ascii="Times New Roman;sans-serif" w:hAnsi="Times New Roman;sans-serif"/>
          <w:b w:val="false"/>
          <w:color w:val="000000"/>
          <w:sz w:val="24"/>
        </w:rPr>
        <w:t>shall mean the Nasdaq Stock Market or such other U.S. national securities exchange or national securities association on which the Company’s securities are listed.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(q)</w:t>
      </w:r>
      <w:r>
        <w:rPr>
          <w:color w:val="000000"/>
        </w:rPr>
        <w:t>“</w:t>
      </w:r>
      <w:r>
        <w:rPr>
          <w:rFonts w:ascii="Times New Roman;sans-serif" w:hAnsi="Times New Roman;sans-serif"/>
          <w:b/>
          <w:i/>
          <w:color w:val="000000"/>
          <w:sz w:val="24"/>
        </w:rPr>
        <w:t>Method of Recovery</w:t>
      </w:r>
      <w:r>
        <w:rPr>
          <w:color w:val="000000"/>
        </w:rPr>
        <w:t xml:space="preserve">” </w:t>
      </w:r>
      <w:r>
        <w:rPr>
          <w:rFonts w:ascii="Times New Roman;sans-serif" w:hAnsi="Times New Roman;sans-serif"/>
          <w:b w:val="false"/>
          <w:color w:val="000000"/>
          <w:sz w:val="24"/>
        </w:rPr>
        <w:t>shall include, but is not limited to: (i) requiring reimbursement of Erroneously Awarded Compensation; (ii) seeking recovery of any gain realized on the vesting, exercise, settlement, sale, transfer, or other disposition of any equity-based awards; (iii) offsetting the Erroneously Awarded Compensation from any compensation otherwise owed by the Company to the Executive Officer; (iv) cancelling outstanding vested or unvested equity awards; and/or (v) taking any other remedial and recovery action permitted by applicable law, as determined by the Administrator.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(r)</w:t>
      </w:r>
      <w:r>
        <w:rPr>
          <w:color w:val="000000"/>
        </w:rPr>
        <w:t>“</w:t>
      </w:r>
      <w:r>
        <w:rPr>
          <w:rFonts w:ascii="Times New Roman;sans-serif" w:hAnsi="Times New Roman;sans-serif"/>
          <w:b/>
          <w:i/>
          <w:color w:val="000000"/>
          <w:sz w:val="24"/>
        </w:rPr>
        <w:t>Policy</w:t>
      </w:r>
      <w:r>
        <w:rPr>
          <w:color w:val="000000"/>
        </w:rPr>
        <w:t xml:space="preserve">” </w:t>
      </w:r>
      <w:r>
        <w:rPr>
          <w:rFonts w:ascii="Times New Roman;sans-serif" w:hAnsi="Times New Roman;sans-serif"/>
          <w:b w:val="false"/>
          <w:color w:val="000000"/>
          <w:sz w:val="24"/>
        </w:rPr>
        <w:t>shall mean this Policy for the Recovery of Erroneously Awarded Compensation, as the same may be amended and/or restated from time to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w:t>
      </w:r>
      <w:r>
        <w:rPr>
          <w:color w:val="000000"/>
        </w:rPr>
        <w:t>“</w:t>
      </w:r>
      <w:r>
        <w:rPr>
          <w:rFonts w:ascii="Times New Roman;sans-serif" w:hAnsi="Times New Roman;sans-serif"/>
          <w:b/>
          <w:i/>
          <w:color w:val="000000"/>
          <w:sz w:val="24"/>
        </w:rPr>
        <w:t>Received</w:t>
      </w:r>
      <w:r>
        <w:rPr>
          <w:color w:val="000000"/>
        </w:rPr>
        <w:t xml:space="preserve">” </w:t>
      </w:r>
      <w:r>
        <w:rPr>
          <w:rFonts w:ascii="Times New Roman;sans-serif" w:hAnsi="Times New Roman;sans-serif"/>
          <w:b w:val="false"/>
          <w:color w:val="000000"/>
          <w:sz w:val="24"/>
        </w:rPr>
        <w:t>shall, with respect to any Incentive-Based Compensation, mean deemed receipt and Incentive-Based Compensation shall be deemed received in the Company’s fiscal period during which the Financial Reporting Measure specified in the Incentive-Based Compensation award is attained, even if the payment or grant of the Incentive-Based Compensation occurs after the end of that period. For the avoidance of doubt, Incentive-Based Compensation that is subject to both a Financial Reporting Measure vesting condition and a service-based vesting condition shall be considered received when the Financial Reporting Measure is achieved, even if the Incentive-Based Compensation continues to be subject to the service-based vesting condition.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w:t>
      </w:r>
      <w:r>
        <w:rPr>
          <w:color w:val="000000"/>
        </w:rPr>
        <w:t>“</w:t>
      </w:r>
      <w:r>
        <w:rPr>
          <w:rFonts w:ascii="Times New Roman;sans-serif" w:hAnsi="Times New Roman;sans-serif"/>
          <w:b/>
          <w:i/>
          <w:color w:val="000000"/>
          <w:sz w:val="24"/>
        </w:rPr>
        <w:t>Restatement Date</w:t>
      </w:r>
      <w:r>
        <w:rPr>
          <w:color w:val="000000"/>
        </w:rPr>
        <w:t xml:space="preserve">” </w:t>
      </w:r>
      <w:r>
        <w:rPr>
          <w:rFonts w:ascii="Times New Roman;sans-serif" w:hAnsi="Times New Roman;sans-serif"/>
          <w:b w:val="false"/>
          <w:color w:val="000000"/>
          <w:sz w:val="24"/>
        </w:rPr>
        <w:t>shall mean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(u)</w:t>
      </w:r>
      <w:r>
        <w:rPr>
          <w:color w:val="000000"/>
        </w:rPr>
        <w:t>“</w:t>
      </w:r>
      <w:r>
        <w:rPr>
          <w:rFonts w:ascii="Times New Roman;sans-serif" w:hAnsi="Times New Roman;sans-serif"/>
          <w:b/>
          <w:i/>
          <w:color w:val="000000"/>
          <w:sz w:val="24"/>
        </w:rPr>
        <w:t>SEC</w:t>
      </w:r>
      <w:r>
        <w:rPr>
          <w:color w:val="000000"/>
        </w:rPr>
        <w:t xml:space="preserve">” </w:t>
      </w:r>
      <w:r>
        <w:rPr>
          <w:rFonts w:ascii="Times New Roman;sans-serif" w:hAnsi="Times New Roman;sans-serif"/>
          <w:b w:val="false"/>
          <w:color w:val="000000"/>
          <w:sz w:val="24"/>
        </w:rPr>
        <w:t>shall mean the U.S. Securities and Exchange Commission.</w:t>
      </w:r>
    </w:p>
    <w:p>
      <w:pPr>
        <w:pStyle w:val="TextBody"/>
        <w:bidi w:val="0"/>
        <w:spacing w:lineRule="auto" w:line="240" w:before="0" w:after="2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Repayment of Erroneously Awarded Compensation</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In the event the Company is required to prepare an Accounting Restatement, the Administrator shall determine the amount of any Erroneously Awarded Compensation for each Executive Officer in connection with such Accounting Restatement and provide each Executive Officer with written notice containing the amount of Erroneously Awarded Compensation and a demand for repayment or return, as applicable. For Clawback Eligible Incentive Compensation based on stock price or total shareholder return where the amount of Erroneously Awarded Compensation is not subject to mathematical recalculation directly from the information in the applicable Accounting Restatement, the amount shall be determined by the Administrator based on a reasonable estimate of the effect of the Accounting Restatement on the stock price or total shareholder return upon which the Clawback Eligible Incentive Compensation was Received (in which case, the Company shall maintain documentation of such determination of that reasonable estimate and provide such documentation to the Listing Exchange). The Administrator is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authorized to engage, on behalf of the Company, any third-party advisors the Administrator deems advisable to perform any calculations contemplated by this Policy. For the avoidance of doubt, recovery under this Policy with respect to an Executive Officer shall not require the finding of any misconduct by such Executive Officer or such Executive Officer being found responsible for the accounting error leading to an Accounting Restatement.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If any repayment of Erroneously Awarded Compensation is owed to the Company, the Administrator shall recover the Erroneously Awarded Compensation through any Method of Recovery the Administrator deems reasonable and appropriate based on all applicable facts and circumstances and taking into account the time value of money and the cost to shareholders of delaying recovery. For the avoidance of doubt, except to the extent permitted pursuant to the Clawback Rules, in no event may the Company accept an amount that is less than the amount of Erroneously Awarded Compensation in satisfaction of an Executive Officer’s obligations under this Policy. Notwithstanding anything in this Policy to the contrary, the Company shall not be required to take the actions contemplated in this Section 4(b) if recovery would be Impracticable. In implementing the actions contemplated in this Section 4(b), the Administrator will act in accordance with the listing standards and requirements of the Listing Exchange and with the applicable Clawback Rules.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Subject to the discretion of the Administrator, an applicable Executive Officer may be required to reimburse the Company for any and all expenses reasonably incurred (including legal fees) by the Company in recovering Erroneously Awarded Compensation in accordance with Section 4(b). </w:t>
      </w:r>
    </w:p>
    <w:p>
      <w:pPr>
        <w:pStyle w:val="TextBody"/>
        <w:bidi w:val="0"/>
        <w:spacing w:lineRule="auto" w:line="240" w:before="0" w:after="2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Reporting and Disclosure</w:t>
      </w:r>
      <w:r>
        <w:rPr>
          <w:rFonts w:ascii="Times New Roman;sans-serif" w:hAnsi="Times New Roman;sans-serif"/>
          <w:b w:val="false"/>
          <w:color w:val="000000"/>
          <w:sz w:val="24"/>
        </w:rPr>
        <w:t>. The Company shall file all disclosures with respect to this Policy in accordance with the requirements of U.S. federal securities laws, including any disclosure required by applicable SEC rules.</w:t>
      </w:r>
    </w:p>
    <w:p>
      <w:pPr>
        <w:pStyle w:val="TextBody"/>
        <w:bidi w:val="0"/>
        <w:spacing w:lineRule="auto" w:line="240" w:before="0" w:after="2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Indemnification Prohibition</w:t>
      </w:r>
      <w:r>
        <w:rPr>
          <w:rFonts w:ascii="Times New Roman;sans-serif" w:hAnsi="Times New Roman;sans-serif"/>
          <w:b w:val="false"/>
          <w:color w:val="000000"/>
          <w:sz w:val="24"/>
        </w:rPr>
        <w:t xml:space="preserve">. The Company shall not be permitted to indemnify any Executive Officer against the loss of any Erroneously Awarded Compensation that is repaid, returned or recovered pursuant to the terms of this Policy and/or pursuant to the Clawback Rules or to pay or reimburse any Executive Officer for the cost of third-party insurance purchased by an Executive Officer to cover any such loss under this Policy and/or pursuant to the Clawback Rules. Further, the Company shall not enter into any agreement that exempts any Incentive-Based Compensation from the application of this Policy or that waives the Company’s right to recovery of any Erroneously Awarded Compensation and this Policy shall supersede any such agreement (whether entered into before, on or after the Effective Date). Any such purported indemnification (whether oral or in writing) shall be null and void. </w:t>
      </w:r>
    </w:p>
    <w:p>
      <w:pPr>
        <w:pStyle w:val="TextBody"/>
        <w:bidi w:val="0"/>
        <w:spacing w:lineRule="auto" w:line="240" w:before="0" w:after="24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Interpretation</w:t>
      </w:r>
      <w:r>
        <w:rPr>
          <w:rFonts w:ascii="Times New Roman;sans-serif" w:hAnsi="Times New Roman;sans-serif"/>
          <w:b w:val="false"/>
          <w:color w:val="000000"/>
          <w:sz w:val="24"/>
        </w:rPr>
        <w:t xml:space="preserve">. The Administrator is authorized to interpret and construe this Policy and to make all determinations necessary, appropriate, or advisable for the administration of this Policy. It is intended that this Policy be interpreted in a manner that is consistent with the requirements of the Clawback Rules. The terms of this Policy shall also be construed and enforced in such a manner as to comply with applicable law, including the Sarbanes-Oxley Act of 2002, the Dodd-Frank Wall Street Reform and Consumer Protection Act, and any other law or regulation that the Administrator determines is applicable. In the event any provision of this Policy is determined to be unenforceable or invalid under applicable law, such provision shall be applied to the maximum extent permitted by applicable law and shall automatically be deemed amended in a manner consistent with its objectives to the extent necessary to conform to any limitations required by applicable law. </w:t>
      </w:r>
    </w:p>
    <w:p>
      <w:pPr>
        <w:pStyle w:val="TextBody"/>
        <w:bidi w:val="0"/>
        <w:spacing w:lineRule="auto" w:line="240" w:before="0" w:after="24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Effective Date</w:t>
      </w:r>
      <w:r>
        <w:rPr>
          <w:rFonts w:ascii="Times New Roman;sans-serif" w:hAnsi="Times New Roman;sans-serif"/>
          <w:b w:val="false"/>
          <w:color w:val="000000"/>
          <w:sz w:val="24"/>
        </w:rPr>
        <w:t>. This Policy shall be effective as of the Effective Date.</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Amendment; Termination</w:t>
      </w:r>
      <w:r>
        <w:rPr>
          <w:rFonts w:ascii="Times New Roman;sans-serif" w:hAnsi="Times New Roman;sans-serif"/>
          <w:b w:val="false"/>
          <w:color w:val="000000"/>
          <w:sz w:val="24"/>
        </w:rPr>
        <w:t xml:space="preserve">. The Administrator may modify or amend this Policy, in whole or in part, from time to time as may be deemed necessary in the Administrator’s discretion and shall amend any or all of the provisions of this Policy as required for this Policy to continue to comply with the Clawback Rules, federal securities laws, SEC rules and Listing Exchange rules.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the Clawback Rules, or any federal securities law, SEC rule or Listing Exchange rule. Furthermore, unless otherwise determined by the Administrator or as otherwise amended, this Policy shall automatically be deemed amended in a manner necessary to comply with any change in the Clawback Rules. </w:t>
      </w:r>
    </w:p>
    <w:p>
      <w:pPr>
        <w:pStyle w:val="TextBody"/>
        <w:bidi w:val="0"/>
        <w:spacing w:lineRule="auto" w:line="240" w:before="0" w:after="24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Other Recoupment Rights; No Additional Payments</w:t>
      </w:r>
      <w:r>
        <w:rPr>
          <w:rFonts w:ascii="Times New Roman;sans-serif" w:hAnsi="Times New Roman;sans-serif"/>
          <w:b w:val="false"/>
          <w:color w:val="000000"/>
          <w:sz w:val="24"/>
        </w:rPr>
        <w:t>. This Policy shall be applied to the fullest extent permitted by applicable law. The Administrator may require that any employment agreement, equity award agreement, or any other agreement entered into on or after the Effective Date shall, as a condition to the grant of any benefit thereunder, require an Executive Officer to agree to abide by the terms of this Policy. Executive Officers shall be deemed to have accepted continuing employment on terms that include compliance with the Policy, to the extent of its otherwise applicable provisions, and to be contractually bound by its enforcement provisions. Executive Officers who cease employment or service with the Company shall continue to be bound by the terms of the Policy with respect to Clawback Eligible Incentive Compensation. Any right of recoupment under this Policy is in addition to, and not in lieu of, any other remedies or rights of recoupment that may be available to the Company under applicable law, regulation or rule or pursuant to the terms of any similar policy in any employment agreement, cash-based bonus plan, equity award agreement or similar agreement and any other legal remedies available to the Company. To the extent that an Executive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 as determined by the Administrator in its sole discretion. Nothing in this Policy precludes the Company from implementing any additional clawback or recoupment policies with respect to Executive Officers or any other service provider of the Company. Application of this Policy does not preclude the Company from taking any other action to enforce any Executive Officer’s obligations to the Company, including termination of employment or institution of civil or criminal proceedings or any other remedies that may be available to the Company with respect to any Executive Officer.</w:t>
      </w:r>
    </w:p>
    <w:p>
      <w:pPr>
        <w:pStyle w:val="TextBody"/>
        <w:bidi w:val="0"/>
        <w:spacing w:lineRule="auto" w:line="240" w:before="0" w:after="2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Successors</w:t>
      </w:r>
      <w:r>
        <w:rPr>
          <w:rFonts w:ascii="Times New Roman;sans-serif" w:hAnsi="Times New Roman;sans-serif"/>
          <w:b w:val="false"/>
          <w:color w:val="000000"/>
          <w:sz w:val="24"/>
        </w:rPr>
        <w:t>. This Policy shall be binding and enforceable against all Executive Officers and their beneficiaries, estates, heirs, executors, administrators or other legal representatives to the extent required by the Clawback Rules or as otherwise determined by the Administrator.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SOTERA HEALTH COMPANY POLICY FOR THE</w:t>
        <w:br/>
        <w:t>RECOVERY OF ERRONEOUSLY AWARDED COMPENSATION</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ACKNOWLEDGEMENT AND ACCEPTANCE FORM</w:t>
      </w:r>
    </w:p>
    <w:p>
      <w:pPr>
        <w:pStyle w:val="TextBody"/>
        <w:bidi w:val="0"/>
        <w:spacing w:lineRule="auto" w:line="240" w:before="0" w:after="180"/>
        <w:jc w:val="both"/>
        <w:rPr/>
      </w:pPr>
      <w:r>
        <w:rPr>
          <w:rFonts w:ascii="Times New Roman;sans-serif" w:hAnsi="Times New Roman;sans-serif"/>
          <w:b w:val="false"/>
          <w:color w:val="000000"/>
          <w:sz w:val="24"/>
        </w:rPr>
        <w:t>Capitalized terms used but not otherwise defined in this Acknowledgement and Acceptance Form shall have the meanings ascribed to such terms in the Sotera Health Company Policy for the Recovery of Erroneously Awarded Compensation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By signing below, the executive officer (the “</w:t>
      </w:r>
      <w:r>
        <w:rPr>
          <w:rFonts w:ascii="Times New Roman;sans-serif" w:hAnsi="Times New Roman;sans-serif"/>
          <w:b/>
          <w:i/>
          <w:color w:val="000000"/>
          <w:sz w:val="24"/>
        </w:rPr>
        <w:t>Executive Officer</w:t>
      </w:r>
      <w:r>
        <w:rPr>
          <w:color w:val="000000"/>
        </w:rPr>
        <w:t>”</w:t>
      </w:r>
      <w:r>
        <w:rPr>
          <w:rFonts w:ascii="Times New Roman;sans-serif" w:hAnsi="Times New Roman;sans-serif"/>
          <w:b w:val="false"/>
          <w:color w:val="000000"/>
          <w:sz w:val="24"/>
        </w:rPr>
        <w:t>) acknowledges and confirms that the Executive Officer has received and reviewed a copy of the Policy and, in addition, the Executive Officer acknowledges and agrees as follows:</w:t>
      </w:r>
    </w:p>
    <w:p>
      <w:pPr>
        <w:pStyle w:val="TextBody"/>
        <w:bidi w:val="0"/>
        <w:spacing w:lineRule="auto" w:line="240" w:before="0" w:after="18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Executive Officer is and will continue to be subject to the Policy and that the Policy will apply both during and after the Executive Officer’s employment with the Company;</w:t>
      </w:r>
    </w:p>
    <w:p>
      <w:pPr>
        <w:pStyle w:val="TextBody"/>
        <w:bidi w:val="0"/>
        <w:spacing w:lineRule="auto" w:line="240" w:before="0" w:after="18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to the extent necessary to comply with the Policy, the Policy hereby amends any employment agreement, equity award agreement or similar agreement that the Executive Officer is a party to with the Company and shall apply and govern Incentive-Based Compensation Received (including, but not limited to, cash bonuses payable under the Company’s Annual Incentive Plan) by any Executive Officer, notwithstanding any contrary or supplemental term or condition in any document, plan or agreement including without limitation any employment contract, indemnification agreement, equity agreement, or equity plan document;</w:t>
      </w:r>
    </w:p>
    <w:p>
      <w:pPr>
        <w:pStyle w:val="TextBody"/>
        <w:bidi w:val="0"/>
        <w:spacing w:lineRule="auto" w:line="240" w:before="0" w:after="18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Executive Officer shall abide by the terms of the Policy, including, without limitation, by returning any Erroneously Awarded Compensation to the Company to the extent required by, the Policy, in the manner required by the Company in its demand for repayment or return;</w:t>
      </w:r>
    </w:p>
    <w:p>
      <w:pPr>
        <w:pStyle w:val="TextBody"/>
        <w:bidi w:val="0"/>
        <w:spacing w:lineRule="auto" w:line="240" w:before="0" w:after="18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any amounts payable to the Executive Officer, including any Incentive-Based Compensation, shall be subject to the Policy as may be in effect and modified from time to time in the sole discretion of the Administrator or as required by applicable law or the requirements of the Listing Exchange, and that such modification will be deemed to amend this acknowledgment;</w:t>
      </w:r>
    </w:p>
    <w:p>
      <w:pPr>
        <w:pStyle w:val="TextBody"/>
        <w:bidi w:val="0"/>
        <w:spacing w:lineRule="auto" w:line="240" w:before="0" w:after="18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the Company may recover compensation paid to the Executive Officer through any Method of Recovery the Administrator deems appropriate, and the Executive Officer agrees to comply with any request or demand for repayment by the Company in order to comply with the Policy; </w:t>
      </w:r>
    </w:p>
    <w:p>
      <w:pPr>
        <w:pStyle w:val="TextBody"/>
        <w:bidi w:val="0"/>
        <w:spacing w:lineRule="auto" w:line="240" w:before="0" w:after="18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the recovery of Erroneously Awarded Compensation under this Policy will not give rise to any right to voluntarily terminate employment for “good reason,” or due to a “constructive termination” (or any similar term of like effect) under any plan, program or policy of or agreement with the Company; </w:t>
      </w:r>
    </w:p>
    <w:p>
      <w:pPr>
        <w:pStyle w:val="TextBody"/>
        <w:bidi w:val="0"/>
        <w:spacing w:lineRule="auto" w:line="240" w:before="0" w:after="42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the Company may, to the greatest extent permitted by applicable law, reduce any amount that may become payable to the Executive Officer by any amount to be recovered by the Company pursuant to the Policy to the extent such amount has not been returned by the Executive Officer to the Company prior to the date that any subsequent amount becomes payable to the Executive Officer; and</w:t>
      </w:r>
    </w:p>
    <w:p>
      <w:pPr>
        <w:pStyle w:val="TextBody"/>
        <w:bidi w:val="0"/>
        <w:spacing w:lineRule="auto" w:line="240" w:before="0" w:after="42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any assertion or application of any rights under federal, state, local or foreign law or in contract or equity that would otherwise conflict with or narrow the Company’s authority to interpret, apply and enforce the Policy to its fullest extent, including but not limited to, the Company’s authority to withhold or divert wages pursuant to the Policy, is hereby waived by the Executive Officer.</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469" w:type="dxa"/>
        <w:jc w:val="left"/>
        <w:tblInd w:w="0" w:type="dxa"/>
        <w:tblLayout w:type="fixed"/>
        <w:tblCellMar>
          <w:top w:w="28" w:type="dxa"/>
          <w:left w:w="28" w:type="dxa"/>
          <w:bottom w:w="28" w:type="dxa"/>
          <w:right w:w="28" w:type="dxa"/>
        </w:tblCellMar>
      </w:tblPr>
      <w:tblGrid>
        <w:gridCol w:w="470"/>
        <w:gridCol w:w="413"/>
        <w:gridCol w:w="586"/>
      </w:tblGrid>
      <w:tr>
        <w:trPr/>
        <w:tc>
          <w:tcPr>
            <w:tcW w:w="47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Printed Name</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r>
    </w:tbl>
    <w:p>
      <w:pPr>
        <w:pStyle w:val="TextBody"/>
        <w:bidi w:val="0"/>
        <w:spacing w:before="0" w:after="24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293370"/>
                <wp:effectExtent l="0" t="0" r="0" b="0"/>
                <wp:wrapNone/>
                <wp:docPr id="151" name="Frame14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Signature page to Sotera Health Company Policy for the Recovery of Erroneously Awarded Compensation </w:t>
                            </w:r>
                            <w:r>
                              <w:br w:type="page"/>
                            </w:r>
                          </w:p>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Acknowledgement and Acceptance Form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Signature page to Sotera Health Company Policy for the Recovery of Erroneously Awarded Compensation </w:t>
                      </w:r>
                    </w:p>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Acknowledgement and Acceptance Form</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1822479/000182247921000018/shc_20201231xexhibitx3x1.htm" TargetMode="External"/><Relationship Id="rId7" Type="http://schemas.openxmlformats.org/officeDocument/2006/relationships/hyperlink" Target="https://www.sec.gov/Archives/edgar/data/1822479/000182247921000018/shc20201231_exhibitx3x2.htm" TargetMode="External"/><Relationship Id="rId8" Type="http://schemas.openxmlformats.org/officeDocument/2006/relationships/hyperlink" Target="https://www.sec.gov/Archives/edgar/data/1822479/000182247921000018/shc_20201231xexhibitx4x1.htm" TargetMode="External"/><Relationship Id="rId9" Type="http://schemas.openxmlformats.org/officeDocument/2006/relationships/hyperlink" Target="https://www.sec.gov/Archives/edgar/data/1822479/000182247921000018/shc_20201231xexhibitx4x2.htm" TargetMode="External"/><Relationship Id="rId10" Type="http://schemas.openxmlformats.org/officeDocument/2006/relationships/hyperlink" Target="https://www.sec.gov/Archives/edgar/data/1822479/000119312520290973/d93452dex101.htm" TargetMode="External"/><Relationship Id="rId11" Type="http://schemas.openxmlformats.org/officeDocument/2006/relationships/hyperlink" Target="https://www.sec.gov/Archives/edgar/data/1822479/000182247923000015/shc20221231_exhibitx10x05.htm" TargetMode="External"/><Relationship Id="rId12" Type="http://schemas.openxmlformats.org/officeDocument/2006/relationships/hyperlink" Target="https://www.sec.gov/Archives/edgar/data/1822479/000182247923000015/shc20221231_exhibitx10x06.htm" TargetMode="External"/><Relationship Id="rId13" Type="http://schemas.openxmlformats.org/officeDocument/2006/relationships/hyperlink" Target="https://www.sec.gov/Archives/edgar/data/1822479/000182247923000015/shc20221231_exhibitx10x07.htm" TargetMode="External"/><Relationship Id="rId14" Type="http://schemas.openxmlformats.org/officeDocument/2006/relationships/hyperlink" Target="https://www.sec.gov/Archives/edgar/data/1822479/000182247923000015/shc20221231_exhibitx10x08.htm" TargetMode="External"/><Relationship Id="rId15" Type="http://schemas.openxmlformats.org/officeDocument/2006/relationships/hyperlink" Target="https://www.sec.gov/Archives/edgar/data/1822479/000182247923000015/shc20221231_exhibitx10x09.htm" TargetMode="External"/><Relationship Id="rId16" Type="http://schemas.openxmlformats.org/officeDocument/2006/relationships/hyperlink" Target="https://www.sec.gov/Archives/edgar/data/1822479/000182247923000051/shc20230630_exhibitx10x3.htm" TargetMode="External"/><Relationship Id="rId17" Type="http://schemas.openxmlformats.org/officeDocument/2006/relationships/hyperlink" Target="https://www.sec.gov/Archives/edgar/data/1822479/000119312520290973/d93452dex104.htm" TargetMode="External"/><Relationship Id="rId18" Type="http://schemas.openxmlformats.org/officeDocument/2006/relationships/hyperlink" Target="https://www.sec.gov/Archives/edgar/data/1822479/000119312520290973/d93452dex105.htm" TargetMode="External"/><Relationship Id="rId19" Type="http://schemas.openxmlformats.org/officeDocument/2006/relationships/hyperlink" Target="https://www.sec.gov/Archives/edgar/data/1822479/000119312520290973/d93452dex106.htm" TargetMode="External"/><Relationship Id="rId20" Type="http://schemas.openxmlformats.org/officeDocument/2006/relationships/hyperlink" Target="https://www.sec.gov/Archives/edgar/data/1822479/000119312520290973/d93452dex107.htm" TargetMode="External"/><Relationship Id="rId21" Type="http://schemas.openxmlformats.org/officeDocument/2006/relationships/hyperlink" Target="https://www.sec.gov/Archives/edgar/data/1822479/000119312520284069/d93452dex108.htm" TargetMode="External"/><Relationship Id="rId22" Type="http://schemas.openxmlformats.org/officeDocument/2006/relationships/hyperlink" Target="https://www.sec.gov/Archives/edgar/data/1822479/000182247921000018/shc_20201231xexhibitx10x9.htm" TargetMode="External"/><Relationship Id="rId23" Type="http://schemas.openxmlformats.org/officeDocument/2006/relationships/hyperlink" Target="https://www.sec.gov/Archives/edgar/data/1822479/000119312520275568/d93452dex1010.htm" TargetMode="External"/><Relationship Id="rId24" Type="http://schemas.openxmlformats.org/officeDocument/2006/relationships/hyperlink" Target="https://www.sec.gov/Archives/edgar/data/1822479/000119312520275568/d93452dex1011.htm" TargetMode="External"/><Relationship Id="rId25" Type="http://schemas.openxmlformats.org/officeDocument/2006/relationships/hyperlink" Target="https://www.sec.gov/Archives/edgar/data/1822479/000119312520275568/d93452dex1012.htm" TargetMode="External"/><Relationship Id="rId26" Type="http://schemas.openxmlformats.org/officeDocument/2006/relationships/hyperlink" Target="https://www.sec.gov/Archives/edgar/data/1822479/000119312520275568/d93452dex1013.htm" TargetMode="External"/><Relationship Id="rId27" Type="http://schemas.openxmlformats.org/officeDocument/2006/relationships/hyperlink" Target="https://www.sec.gov/Archives/edgar/data/1822479/000119312520275568/d93452dex1014.htm" TargetMode="External"/><Relationship Id="rId28" Type="http://schemas.openxmlformats.org/officeDocument/2006/relationships/hyperlink" Target="https://www.sec.gov/Archives/edgar/data/1822479/000119312520275568/d93452dex1015.htm" TargetMode="External"/><Relationship Id="rId29" Type="http://schemas.openxmlformats.org/officeDocument/2006/relationships/hyperlink" Target="https://www.sec.gov/Archives/edgar/data/1822479/000119312520275568/d93452dex1016.htm" TargetMode="External"/><Relationship Id="rId30" Type="http://schemas.openxmlformats.org/officeDocument/2006/relationships/hyperlink" Target="https://www.sec.gov/Archives/edgar/data/1822479/000119312520275568/d93452dex1017.htm" TargetMode="External"/><Relationship Id="rId31" Type="http://schemas.openxmlformats.org/officeDocument/2006/relationships/hyperlink" Target="https://www.sec.gov/Archives/edgar/data/1822479/000119312520275568/d93452dex1025.htm" TargetMode="External"/><Relationship Id="rId32" Type="http://schemas.openxmlformats.org/officeDocument/2006/relationships/hyperlink" Target="https://www.sec.gov/Archives/edgar/data/1822479/000119312520275568/d93452dex1026.htm" TargetMode="External"/><Relationship Id="rId33" Type="http://schemas.openxmlformats.org/officeDocument/2006/relationships/hyperlink" Target="https://www.sec.gov/Archives/edgar/data/1822479/000119312520275568/d93452dex1027.htm" TargetMode="External"/><Relationship Id="rId34" Type="http://schemas.openxmlformats.org/officeDocument/2006/relationships/hyperlink" Target="https://www.sec.gov/Archives/edgar/data/1822479/000119312520275568/d93452dex1028.htm" TargetMode="External"/><Relationship Id="rId35" Type="http://schemas.openxmlformats.org/officeDocument/2006/relationships/hyperlink" Target="https://www.sec.gov/Archives/edgar/data/1822479/000119312520275568/d93452dex1029.htm" TargetMode="External"/><Relationship Id="rId36" Type="http://schemas.openxmlformats.org/officeDocument/2006/relationships/hyperlink" Target="https://www.sec.gov/Archives/edgar/data/1822479/000119312520297076/d93452dex1030.htm" TargetMode="External"/><Relationship Id="rId37" Type="http://schemas.openxmlformats.org/officeDocument/2006/relationships/hyperlink" Target="https://www.sec.gov/Archives/edgar/data/1822479/000119312520290973/d93452dex1031.htm" TargetMode="External"/><Relationship Id="rId38" Type="http://schemas.openxmlformats.org/officeDocument/2006/relationships/hyperlink" Target="https://www.sec.gov/Archives/edgar/data/1822479/000119312520290973/d93452dex1032.htm" TargetMode="External"/><Relationship Id="rId39" Type="http://schemas.openxmlformats.org/officeDocument/2006/relationships/hyperlink" Target="https://www.sec.gov/Archives/edgar/data/1822479/000182247921000018/shc_20201231xexhibitx10x26.htm" TargetMode="External"/><Relationship Id="rId40" Type="http://schemas.openxmlformats.org/officeDocument/2006/relationships/hyperlink" Target="https://www.sec.gov/Archives/edgar/data/1822479/000182247921000018/shc_20201231xexhibitx10x27.htm" TargetMode="External"/><Relationship Id="rId41" Type="http://schemas.openxmlformats.org/officeDocument/2006/relationships/hyperlink" Target="https://www.sec.gov/Archives/edgar/data/1822479/000182247921000018/shc_20201231xexhibitx10x28.htm" TargetMode="External"/><Relationship Id="rId42" Type="http://schemas.openxmlformats.org/officeDocument/2006/relationships/hyperlink" Target="https://www.sec.gov/Archives/edgar/data/1822479/000182247921000028/shc-20210331_exhibitx10x2.htm" TargetMode="External"/><Relationship Id="rId43" Type="http://schemas.openxmlformats.org/officeDocument/2006/relationships/hyperlink" Target="https://www.sec.gov/Archives/edgar/data/1822479/000182247922000014/shc_20211231xexhibitx10x31.htm" TargetMode="External"/><Relationship Id="rId44" Type="http://schemas.openxmlformats.org/officeDocument/2006/relationships/hyperlink" Target="https://www.sec.gov/Archives/edgar/data/1822479/000182247923000015/shc20221231_exhibitx10x37.htm" TargetMode="External"/><Relationship Id="rId45" Type="http://schemas.openxmlformats.org/officeDocument/2006/relationships/hyperlink" Target="https://www.sec.gov/Archives/edgar/data/1822479/000182247923000015/shc20221231_exhibitx10x38.htm" TargetMode="External"/><Relationship Id="rId46" Type="http://schemas.openxmlformats.org/officeDocument/2006/relationships/hyperlink" Target="https://www.sec.gov/Archives/edgar/data/1822479/000182247923000015/shc20221231_exhibitx10x39.htm" TargetMode="External"/><Relationship Id="rId47" Type="http://schemas.openxmlformats.org/officeDocument/2006/relationships/hyperlink" Target="https://www.sec.gov/Archives/edgar/data/1822479/000182247923000015/shc20221231_exhibitx10x40.htm" TargetMode="External"/><Relationship Id="rId48" Type="http://schemas.openxmlformats.org/officeDocument/2006/relationships/hyperlink" Target="https://www.sec.gov/Archives/edgar/data/1822479/000182247923000015/shc20221231_exhibitx10x41.htm" TargetMode="External"/><Relationship Id="rId49" Type="http://schemas.openxmlformats.org/officeDocument/2006/relationships/hyperlink" Target="https://www.sec.gov/Archives/edgar/data/1822479/000182247923000015/shc20221231_exhibitx10x42.htm" TargetMode="External"/><Relationship Id="rId50" Type="http://schemas.openxmlformats.org/officeDocument/2006/relationships/hyperlink" Target="https://www.sec.gov/Archives/edgar/data/1822479/000182247923000015/shc20221231_exhibitx10x43.htm" TargetMode="External"/><Relationship Id="rId51" Type="http://schemas.openxmlformats.org/officeDocument/2006/relationships/hyperlink" Target="https://www.sec.gov/Archives/edgar/data/1822479/000182247923000015/shc20221231_exhibitx10x44.htm" TargetMode="External"/><Relationship Id="rId52" Type="http://schemas.openxmlformats.org/officeDocument/2006/relationships/hyperlink" Target="https://www.sec.gov/Archives/edgar/data/1822479/000182247923000015/shc20221231_exhibitx10x45.htm" TargetMode="External"/><Relationship Id="rId53" Type="http://schemas.openxmlformats.org/officeDocument/2006/relationships/hyperlink" Target="https://www.sec.gov/Archives/edgar/data/1822479/000119312523075979/d455593dex101.htm" TargetMode="External"/><Relationship Id="rId54" Type="http://schemas.openxmlformats.org/officeDocument/2006/relationships/hyperlink" Target="https://www.sec.gov/Archives/edgar/data/1822479/000119312523075979/d455593dex101.htm" TargetMode="External"/><Relationship Id="rId55" Type="http://schemas.openxmlformats.org/officeDocument/2006/relationships/hyperlink" Target="https://www.sec.gov/Archives/edgar/data/1822479/000119312523075979/d455593dex101.htm" TargetMode="External"/><Relationship Id="rId56" Type="http://schemas.openxmlformats.org/officeDocument/2006/relationships/hyperlink" Target="https://www.sec.gov/Archives/edgar/data/1822479/000182247923000039/shc20230622_exhibitx10x1.htm" TargetMode="External"/><Relationship Id="rId57" Type="http://schemas.openxmlformats.org/officeDocument/2006/relationships/hyperlink" Target="https://www.sec.gov/Archives/edgar/data/1822479/000182247923000039/shc20230622_exhibitx10x1.htm" TargetMode="External"/><Relationship Id="rId58" Type="http://schemas.openxmlformats.org/officeDocument/2006/relationships/hyperlink" Target="https://www.sec.gov/Archives/edgar/data/1822479/000182247923000039/shc20230622_exhibitx10x1.htm" TargetMode="External"/><Relationship Id="rId59" Type="http://schemas.openxmlformats.org/officeDocument/2006/relationships/hyperlink" Target="https://www.sec.gov/Archives/edgar/data/1822479/000182247923000015/shc20221231_exhibitx10x46.htm" TargetMode="External"/><Relationship Id="rId60" Type="http://schemas.openxmlformats.org/officeDocument/2006/relationships/hyperlink" Target="https://www.sec.gov/Archives/edgar/data/1822479/000182247923000015/shc20221231_exhibitx10x47.htm" TargetMode="External"/><Relationship Id="rId61" Type="http://schemas.openxmlformats.org/officeDocument/2006/relationships/hyperlink" Target="https://www.sec.gov/Archives/edgar/data/1822479/000182247923000033/shc_20230331xexhibitx10x2.htm" TargetMode="External"/><Relationship Id="rId62" Type="http://schemas.openxmlformats.org/officeDocument/2006/relationships/hyperlink" Target="https://www.sec.gov/Archives/edgar/data/1822479/000182247923000033/shc20230331_exhibitx10x3.htm" TargetMode="External"/><Relationship Id="rId63" Type="http://schemas.openxmlformats.org/officeDocument/2006/relationships/hyperlink" Target="https://www.sec.gov/Archives/edgar/data/1822479/000182247923000015/shc20221231_exhibitx10x48.htm" TargetMode="External"/><Relationship Id="rId64" Type="http://schemas.openxmlformats.org/officeDocument/2006/relationships/hyperlink" Target="https://www.sec.gov/Archives/edgar/data/1822479/000182247923000015/shc20221231_exhibitx10x49.htm" TargetMode="External"/><Relationship Id="rId65" Type="http://schemas.openxmlformats.org/officeDocument/2006/relationships/fontTable" Target="fontTable.xml"/><Relationship Id="rId6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84295</Words>
  <Characters>478111</Characters>
  <CharactersWithSpaces>559287</CharactersWithSpaces>
  <Paragraphs>5686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