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9" w:lineRule="exact"/>
        <w:rPr>
          <w:sz w:val="24"/>
          <w:szCs w:val="24"/>
          <w:color w:val="auto"/>
        </w:rPr>
      </w:pPr>
    </w:p>
    <w:p>
      <w:pPr>
        <w:ind w:left="1720" w:hanging="1368"/>
        <w:spacing w:after="0"/>
        <w:tabs>
          <w:tab w:leader="none" w:pos="1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1720" w:hanging="1368"/>
        <w:spacing w:after="0"/>
        <w:tabs>
          <w:tab w:leader="none" w:pos="1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3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13"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95250</wp:posOffset>
            </wp:positionV>
            <wp:extent cx="13112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286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96"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5"/>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5"/>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8"/>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73"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4" w:lineRule="exact"/>
        <w:rPr>
          <w:sz w:val="24"/>
          <w:szCs w:val="24"/>
          <w:color w:val="auto"/>
        </w:rPr>
      </w:pPr>
    </w:p>
    <w:p>
      <w:pPr>
        <w:ind w:right="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April 28, 2022, there were 282,817,234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0"/>
            <w:shd w:val="clear" w:color="auto" w:fill="CCEEFF"/>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I—FINANCIAL INFORMATION</w:t>
              </w:r>
            </w:hyperlink>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Item 2. Management’s Discussion and Analysis of Financial Condition and Results of Operations</w:t>
              </w:r>
            </w:hyperlink>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rFonts w:ascii="Arial" w:cs="Arial" w:eastAsia="Arial" w:hAnsi="Arial"/>
                <w:sz w:val="18"/>
                <w:szCs w:val="18"/>
                <w:color w:val="0000FF"/>
                <w:w w:val="94"/>
              </w:rPr>
            </w:pPr>
            <w:hyperlink w:anchor="page39">
              <w:r>
                <w:rPr>
                  <w:rFonts w:ascii="Arial" w:cs="Arial" w:eastAsia="Arial" w:hAnsi="Arial"/>
                  <w:sz w:val="18"/>
                  <w:szCs w:val="18"/>
                  <w:color w:val="0000FF"/>
                  <w:w w:val="94"/>
                </w:rPr>
                <w:t>Item 3.</w:t>
              </w:r>
            </w:hyperlink>
          </w:p>
        </w:tc>
        <w:tc>
          <w:tcPr>
            <w:tcW w:w="10260" w:type="dxa"/>
            <w:vAlign w:val="bottom"/>
            <w:gridSpan w:val="11"/>
          </w:tcPr>
          <w:p>
            <w:pPr>
              <w:ind w:lef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39">
              <w:r>
                <w:rPr>
                  <w:rFonts w:ascii="Arial" w:cs="Arial" w:eastAsia="Arial" w:hAnsi="Arial"/>
                  <w:sz w:val="18"/>
                  <w:szCs w:val="18"/>
                  <w:color w:val="0000FF"/>
                  <w:w w:val="94"/>
                </w:rPr>
                <w:t>Item 4.</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3"/>
          </w:tcPr>
          <w:p>
            <w:pPr>
              <w:spacing w:after="0" w:line="202" w:lineRule="exact"/>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II—OTHER INFORMATION</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4"/>
              </w:rPr>
            </w:pPr>
            <w:hyperlink w:anchor="page41">
              <w:r>
                <w:rPr>
                  <w:rFonts w:ascii="Arial" w:cs="Arial" w:eastAsia="Arial" w:hAnsi="Arial"/>
                  <w:sz w:val="18"/>
                  <w:szCs w:val="18"/>
                  <w:color w:val="0000FF"/>
                  <w:w w:val="94"/>
                </w:rPr>
                <w:t>Item 1.</w:t>
              </w:r>
            </w:hyperlink>
          </w:p>
        </w:tc>
        <w:tc>
          <w:tcPr>
            <w:tcW w:w="1400" w:type="dxa"/>
            <w:vAlign w:val="bottom"/>
            <w:tcBorders>
              <w:bottom w:val="single" w:sz="8" w:color="0000FF"/>
            </w:tcBorders>
            <w:gridSpan w:val="4"/>
            <w:shd w:val="clear" w:color="auto" w:fill="CCEEFF"/>
          </w:tcPr>
          <w:p>
            <w:pPr>
              <w:ind w:left="20"/>
              <w:spacing w:after="0" w:line="202"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2"/>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Item 1A. Risk Factors.</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42">
              <w:r>
                <w:rPr>
                  <w:rFonts w:ascii="Arial" w:cs="Arial" w:eastAsia="Arial" w:hAnsi="Arial"/>
                  <w:sz w:val="18"/>
                  <w:szCs w:val="18"/>
                  <w:color w:val="0000FF"/>
                  <w:w w:val="94"/>
                </w:rPr>
                <w:t>Item 6.</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0000FF"/>
            </w:tcBorders>
            <w:gridSpan w:val="3"/>
          </w:tcPr>
          <w:p>
            <w:pPr>
              <w:spacing w:after="0" w:line="202" w:lineRule="exact"/>
              <w:rPr>
                <w:rFonts w:ascii="Arial" w:cs="Arial" w:eastAsia="Arial" w:hAnsi="Arial"/>
                <w:sz w:val="18"/>
                <w:szCs w:val="18"/>
                <w:b w:val="1"/>
                <w:bCs w:val="1"/>
                <w:color w:val="0000FF"/>
                <w:w w:val="99"/>
              </w:rPr>
            </w:pPr>
            <w:hyperlink w:anchor="page43">
              <w:r>
                <w:rPr>
                  <w:rFonts w:ascii="Arial" w:cs="Arial" w:eastAsia="Arial" w:hAnsi="Arial"/>
                  <w:sz w:val="18"/>
                  <w:szCs w:val="18"/>
                  <w:b w:val="1"/>
                  <w:bCs w:val="1"/>
                  <w:color w:val="0000FF"/>
                  <w:w w:val="99"/>
                </w:rPr>
                <w:t>SIGNATURES</w:t>
              </w:r>
            </w:hyperlink>
          </w:p>
        </w:tc>
        <w:tc>
          <w:tcPr>
            <w:tcW w:w="960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20" w:type="dxa"/>
            <w:vAlign w:val="bottom"/>
            <w:tcBorders>
              <w:top w:val="single" w:sz="8" w:color="CCEEFF"/>
            </w:tcBorders>
          </w:tcPr>
          <w:p>
            <w:pPr>
              <w:spacing w:after="0"/>
              <w:rPr>
                <w:sz w:val="17"/>
                <w:szCs w:val="17"/>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 w:lineRule="exact"/>
        <w:rPr>
          <w:sz w:val="20"/>
          <w:szCs w:val="20"/>
          <w:color w:val="auto"/>
        </w:rPr>
      </w:pPr>
    </w:p>
    <w:p>
      <w:pPr>
        <w:ind w:left="9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ethylene oxide (“EO”), Cobalt-60 (“Co-60”) or our other direct materials, services and supplies, including as a result of current geopolitical instability arising from U.S., Canadian and European Union relations with Russia and related sanctions;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build new facilities in a timely and cost-effective manner and renew leases for our facilities;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our ability to find suitable acquisition targets, or our failure to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right="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jc w:val="both"/>
        <w:ind w:left="980" w:right="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around LIBOR and certain other interest “benchmarks.”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2021 (the “2021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14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121,440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$1,458 and $1,287,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114,763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108,183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45,701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54,288</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83,956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71,923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5,694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371,560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345,961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669,161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650,797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36,984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5,769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asset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7,285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5,478</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27,488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582,144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598,844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1,125,828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1,120,320</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2,835,769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72,868</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60,459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61,861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8,906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143,851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161,161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1,744,541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1,743,534</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40,014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33,017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42,995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41,833</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20,916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20,745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11,608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11,464</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16,188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16,274</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142,461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134,501</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2,193,639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2,203,406</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280" w:type="dxa"/>
            <w:vAlign w:val="bottom"/>
          </w:tcPr>
          <w:p>
            <w:pPr>
              <w:ind w:left="360"/>
              <w:spacing w:after="0"/>
              <w:rPr>
                <w:sz w:val="20"/>
                <w:szCs w:val="20"/>
                <w:color w:val="auto"/>
              </w:rPr>
            </w:pPr>
            <w:r>
              <w:rPr>
                <w:rFonts w:ascii="Arial" w:cs="Arial" w:eastAsia="Arial" w:hAnsi="Arial"/>
                <w:sz w:val="14"/>
                <w:szCs w:val="14"/>
                <w:color w:val="auto"/>
                <w:w w:val="94"/>
              </w:rPr>
              <w:t>Common stock, with $0.01 par value, 1,200,000 shares authorized; 286,037 shares issued at March 31, 2022 and December 31, 2021,</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52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with $0.01 par value, 120,000 authorized; no shares issued at March 31, 2022 and</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December 31, 2021, respectively</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(3,107 and 3,052 shares at March 31, 2022 and December 31, 2021, respectively)</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(33,536)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(33,545)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1,177,097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1,172,593</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(441,605)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(472,246)</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 attributable to Sotera Health Company</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642,130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642,130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2,835,769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987"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987"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37"/>
        </w:trPr>
        <w:tc>
          <w:tcPr>
            <w:tcW w:w="8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33"/>
        </w:trPr>
        <w:tc>
          <w:tcPr>
            <w:tcW w:w="8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6"/>
                <w:szCs w:val="16"/>
                <w:b w:val="1"/>
                <w:bCs w:val="1"/>
                <w:i w:val="1"/>
                <w:iCs w:val="1"/>
                <w:color w:val="auto"/>
              </w:rPr>
              <w:t>(Unaudited)</w:t>
            </w:r>
          </w:p>
        </w:tc>
        <w:tc>
          <w:tcPr>
            <w:tcW w:w="980" w:type="dxa"/>
            <w:vAlign w:val="bottom"/>
          </w:tcPr>
          <w:p>
            <w:pPr>
              <w:spacing w:after="0"/>
              <w:rPr>
                <w:sz w:val="20"/>
                <w:szCs w:val="20"/>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206,218</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188,698</w:t>
            </w: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30,536</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23,450</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236,754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212,148</w:t>
            </w: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94,576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85,036</w:t>
            </w: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13,303</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11,740</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107,879</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96,776</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128,875</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115,372</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59,542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52,465</w:t>
            </w:r>
          </w:p>
        </w:tc>
      </w:tr>
      <w:tr>
        <w:trPr>
          <w:trHeight w:val="237"/>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15,841</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16,543</w:t>
            </w:r>
          </w:p>
        </w:tc>
      </w:tr>
      <w:tr>
        <w:trPr>
          <w:trHeight w:val="23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75,383</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69,008</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53,492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46,364</w:t>
            </w: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10,404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21,282</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14,312</w:t>
            </w: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(2,967)</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45,267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14,082</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14,626</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30,641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w:t>
            </w:r>
          </w:p>
        </w:tc>
      </w:tr>
      <w:tr>
        <w:trPr>
          <w:trHeight w:val="236"/>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4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Sotera Health Company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30,641</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10,842</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Pension and post-retirement benefits (net of taxes of $(92) and $(84), respectively)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Interest rate derivatives (net of taxes of $2,109 and $0, respectively)</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6,179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Foreign currency translation</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14,975</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51,521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7,730</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4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Sotera Health Company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51,521</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0.11</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279,829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278,827</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279,908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278,968</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96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4"/>
                <w:szCs w:val="14"/>
                <w:b w:val="1"/>
                <w:bCs w:val="1"/>
                <w:i w:val="1"/>
                <w:iCs w:val="1"/>
                <w:color w:val="auto"/>
              </w:rPr>
              <w:t>(Unaudited)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30,641</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11,065</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15,867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15,379</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Loss on extinguishment of debt</w:t>
            </w: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14,312</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5,633</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Share-based compensation expense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4,538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3,449</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Unrealized foreign exchange losses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2,430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gain on derivatives not designated as hedging instruments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(7,364)</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1,414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(6,387)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(4,134)</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Inventories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9,323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current assets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(8,934)</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(12,742)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6,625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Accrued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(5,542)</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Income taxes payable / receivable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(5,222)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91"/>
        </w:trPr>
        <w:tc>
          <w:tcPr>
            <w:tcW w:w="8280" w:type="dxa"/>
            <w:vAlign w:val="bottom"/>
          </w:tcPr>
          <w:p>
            <w:pPr>
              <w:ind w:left="680"/>
              <w:spacing w:after="0"/>
              <w:rPr>
                <w:sz w:val="20"/>
                <w:szCs w:val="20"/>
                <w:color w:val="auto"/>
              </w:rPr>
            </w:pPr>
            <w:r>
              <w:rPr>
                <w:rFonts w:ascii="Arial" w:cs="Arial" w:eastAsia="Arial" w:hAnsi="Arial"/>
                <w:sz w:val="14"/>
                <w:szCs w:val="14"/>
                <w:color w:val="auto"/>
              </w:rPr>
              <w:t>Other long-term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49,967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56,159</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(35,546)</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(20,942)</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Purchase of mandatorily redeemable noncontrolling interest in Nelson Laboratories Fairfield, Inc.</w:t>
            </w: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(12,425)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BioScience Laboratories, LLC, net of cash acquired</w:t>
            </w:r>
          </w:p>
        </w:tc>
        <w:tc>
          <w:tcPr>
            <w:tcW w:w="8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Adjustment to purchase of Regulatory Compliance Associates Inc.</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(35,483)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(46,519)</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(418)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(3,783)</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487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including restricted cash</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14,522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106,924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102,454</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121,446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108,016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15,809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19,745</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13,505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11,561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Equipment purchases included in accounts payable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9,508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w:t>
            </w:r>
          </w:p>
        </w:tc>
        <w:tc>
          <w:tcPr>
            <w:tcW w:w="0" w:type="dxa"/>
            <w:vAlign w:val="bottom"/>
          </w:tcPr>
          <w:p>
            <w:pPr>
              <w:spacing w:after="0"/>
              <w:rPr>
                <w:sz w:val="1"/>
                <w:szCs w:val="1"/>
                <w:color w:val="auto"/>
              </w:rPr>
            </w:pPr>
          </w:p>
        </w:tc>
      </w:tr>
      <w:tr>
        <w:trPr>
          <w:trHeight w:val="25"/>
        </w:trPr>
        <w:tc>
          <w:tcPr>
            <w:tcW w:w="8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2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7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Common</w:t>
            </w:r>
          </w:p>
        </w:tc>
        <w:tc>
          <w:tcPr>
            <w:tcW w:w="180" w:type="dxa"/>
            <w:vAlign w:val="bottom"/>
          </w:tcPr>
          <w:p>
            <w:pPr>
              <w:spacing w:after="0"/>
              <w:rPr>
                <w:sz w:val="5"/>
                <w:szCs w:val="5"/>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8"/>
              </w:rPr>
              <w:t>Common</w:t>
            </w:r>
          </w:p>
        </w:tc>
        <w:tc>
          <w:tcPr>
            <w:tcW w:w="180" w:type="dxa"/>
            <w:vAlign w:val="bottom"/>
          </w:tcPr>
          <w:p>
            <w:pPr>
              <w:spacing w:after="0"/>
              <w:rPr>
                <w:sz w:val="5"/>
                <w:szCs w:val="5"/>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5"/>
                <w:szCs w:val="5"/>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283,248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1,166,412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(589,128)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(93,842)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454,574</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3,440</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(3,086)</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11,065</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282,900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1,169,852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(578,286)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(97,162)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465,744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2"/>
        </w:trPr>
        <w:tc>
          <w:tcPr>
            <w:tcW w:w="272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24"/>
                <w:szCs w:val="2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5"/>
                <w:szCs w:val="5"/>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5"/>
                <w:szCs w:val="5"/>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Common</w:t>
            </w:r>
          </w:p>
        </w:tc>
        <w:tc>
          <w:tcPr>
            <w:tcW w:w="180" w:type="dxa"/>
            <w:vAlign w:val="bottom"/>
          </w:tcPr>
          <w:p>
            <w:pPr>
              <w:spacing w:after="0"/>
              <w:rPr>
                <w:sz w:val="4"/>
                <w:szCs w:val="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8"/>
              </w:rPr>
              <w:t>Common</w:t>
            </w:r>
          </w:p>
        </w:tc>
        <w:tc>
          <w:tcPr>
            <w:tcW w:w="180" w:type="dxa"/>
            <w:vAlign w:val="bottom"/>
          </w:tcPr>
          <w:p>
            <w:pPr>
              <w:spacing w:after="0"/>
              <w:rPr>
                <w:sz w:val="4"/>
                <w:szCs w:val="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3"/>
                <w:szCs w:val="13"/>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282,985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1,172,593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586,096</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4,513</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14,975</w:t>
            </w:r>
          </w:p>
        </w:tc>
        <w:tc>
          <w:tcPr>
            <w:tcW w:w="0" w:type="dxa"/>
            <w:vAlign w:val="bottom"/>
          </w:tcPr>
          <w:p>
            <w:pPr>
              <w:spacing w:after="0"/>
              <w:rPr>
                <w:sz w:val="1"/>
                <w:szCs w:val="1"/>
                <w:color w:val="auto"/>
              </w:rPr>
            </w:pPr>
          </w:p>
        </w:tc>
      </w:tr>
      <w:tr>
        <w:trPr>
          <w:trHeight w:val="191"/>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6,179</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30,641</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282,930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1,177,097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(441,605)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(62,686)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642,130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sterilization and lab testing and advisory services to the medical device and pharmaceutical industries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18,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Noncontrolling interests represented the noncontrolling stockholders’ proportionate share of the total equity in the Company’s consolidated subsidiaries. In the second quarter of 2021, we purchased the outstanding noncontrolling interests of 15% and 33% in our two China subsidiaries. Refer to Note 4, “Acquisitions” for additional details. Prior to our acquisition of the noncontrolling interests in our two subsidiaries in China, we consolidated the results of operations of these subsidiaries with our results of operations and reflected the noncontrolling interests on our Consolidated Statements of Operations and Comprehensive Income as “Net income attributable to noncontrolling interests.”</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 for additional details.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2020, we acquired a 60% equity ownership interest in a joint venture to construct an E-beam facility in Alberta, Canada in connection with our acquisition of Iotron Industries Canada, Inc. (“Iotron”).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affiliates” on the Consolidated Balance Sheets.</w:t>
      </w:r>
    </w:p>
    <w:p>
      <w:pPr>
        <w:spacing w:after="0" w:line="1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Interim Financial Statements </w:t>
      </w:r>
      <w:r>
        <w:rPr>
          <w:rFonts w:ascii="Arial" w:cs="Arial" w:eastAsia="Arial" w:hAnsi="Arial"/>
          <w:sz w:val="16"/>
          <w:szCs w:val="16"/>
          <w:color w:val="auto"/>
        </w:rPr>
        <w:t>– The accompanying consolidated financial statements include the assets, liabilities, operating results, and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2021.</w:t>
      </w:r>
    </w:p>
    <w:p>
      <w:pPr>
        <w:spacing w:after="0" w:line="26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Effective January 1, 2022, we adopted </w:t>
      </w:r>
      <w:r>
        <w:rPr>
          <w:rFonts w:ascii="Arial" w:cs="Arial" w:eastAsia="Arial" w:hAnsi="Arial"/>
          <w:sz w:val="17"/>
          <w:szCs w:val="17"/>
          <w:i w:val="1"/>
          <w:iCs w:val="1"/>
          <w:color w:val="auto"/>
        </w:rPr>
        <w:t>Accounting Standards Update (“ASU”) 2016-13, Financial Instruments – Credit Losses</w:t>
      </w:r>
      <w:r>
        <w:rPr>
          <w:rFonts w:ascii="Arial" w:cs="Arial" w:eastAsia="Arial" w:hAnsi="Arial"/>
          <w:sz w:val="17"/>
          <w:szCs w:val="17"/>
          <w:color w:val="auto"/>
        </w:rPr>
        <w:t xml:space="preserve"> (“ASU 2016-13”):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and the subsequently issued additional guidance that modified ASU 2016-13 which was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the Financial Accounting Standards Board (“FASB”) in June 2016. The standard requires an entity to change its accounting approach in determining impairment of certain financial instruments, including trade receivables, from an “incurred loss” to a “current expected credit loss” model. The adoption of this standard did not have a material impact on our consolidated financial statements and disclosures.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 xml:space="preserve">Effective January 1, 2022, we adopted </w:t>
      </w:r>
      <w:r>
        <w:rPr>
          <w:rFonts w:ascii="Arial" w:cs="Arial" w:eastAsia="Arial" w:hAnsi="Arial"/>
          <w:sz w:val="16"/>
          <w:szCs w:val="16"/>
          <w:i w:val="1"/>
          <w:iCs w:val="1"/>
          <w:color w:val="auto"/>
        </w:rPr>
        <w:t>ASU 2019-12 - Income Taxes (Topic 740): Simplifying the Accounting for Income Taxes</w:t>
      </w:r>
      <w:r>
        <w:rPr>
          <w:rFonts w:ascii="Arial" w:cs="Arial" w:eastAsia="Arial" w:hAnsi="Arial"/>
          <w:sz w:val="16"/>
          <w:szCs w:val="16"/>
          <w:color w:val="auto"/>
        </w:rPr>
        <w:t xml:space="preserve"> which was issued by the FASB in December 2019. The standard simplifies the accounting for income taxes and makes a number of changes meant to add or clarify guidance on accounting for income taxes. The adoption of this standard did not have a material impact on our consolidated financial statements and disclosures.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October 2021, the FASB issued </w:t>
      </w:r>
      <w:r>
        <w:rPr>
          <w:rFonts w:ascii="Arial" w:cs="Arial" w:eastAsia="Arial" w:hAnsi="Arial"/>
          <w:sz w:val="18"/>
          <w:szCs w:val="18"/>
          <w:i w:val="1"/>
          <w:iCs w:val="1"/>
          <w:color w:val="auto"/>
        </w:rPr>
        <w:t>ASU 2021-08 -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The amendments in ASU 2021-08 require that an acquiring entity recognize and measure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liabilities acquired in a business combination in accordance with Accounting Standards Codification (“ASC”) Topic 606, Revenue from Contract with Customers (“ASC Topic 606”). At the acquisition date, an acquirer should account for the related revenue contracts in accordance with ASC Topic 606 as if it had originated the contracts. For public business entities, these amendments are effective for fiscal years beginning after December 15, 2022, including interim periods within those fiscal years. We are currently assessing the effect that ASU 2021-08 will have on our financial position, results of operations, and disclosures.</w:t>
      </w:r>
    </w:p>
    <w:p>
      <w:pPr>
        <w:spacing w:after="0" w:line="29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months ended March 31, 2022 and 2021:</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80" w:type="dxa"/>
            <w:vAlign w:val="bottom"/>
            <w:gridSpan w:val="2"/>
          </w:tcPr>
          <w:p>
            <w:pPr>
              <w:ind w:left="400"/>
              <w:spacing w:after="0"/>
              <w:rPr>
                <w:sz w:val="20"/>
                <w:szCs w:val="20"/>
                <w:color w:val="auto"/>
              </w:rPr>
            </w:pPr>
            <w:r>
              <w:rPr>
                <w:rFonts w:ascii="Arial" w:cs="Arial" w:eastAsia="Arial" w:hAnsi="Arial"/>
                <w:sz w:val="14"/>
                <w:szCs w:val="14"/>
                <w:b w:val="1"/>
                <w:bCs w:val="1"/>
                <w:color w:val="auto"/>
              </w:rPr>
              <w:t>Three Months Ended March 31, 2022</w:t>
            </w:r>
          </w:p>
        </w:tc>
        <w:tc>
          <w:tcPr>
            <w:tcW w:w="1480" w:type="dxa"/>
            <w:vAlign w:val="bottom"/>
          </w:tcPr>
          <w:p>
            <w:pPr>
              <w:spacing w:after="0"/>
              <w:rPr>
                <w:sz w:val="14"/>
                <w:szCs w:val="14"/>
                <w:color w:val="auto"/>
              </w:rPr>
            </w:pPr>
          </w:p>
        </w:tc>
      </w:tr>
      <w:tr>
        <w:trPr>
          <w:trHeight w:val="34"/>
        </w:trPr>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Sterigenics</w:t>
            </w:r>
          </w:p>
        </w:tc>
        <w:tc>
          <w:tcPr>
            <w:tcW w:w="1500" w:type="dxa"/>
            <w:vAlign w:val="bottom"/>
          </w:tcPr>
          <w:p>
            <w:pPr>
              <w:ind w:left="540"/>
              <w:spacing w:after="0"/>
              <w:rPr>
                <w:sz w:val="20"/>
                <w:szCs w:val="20"/>
                <w:color w:val="auto"/>
              </w:rPr>
            </w:pPr>
            <w:r>
              <w:rPr>
                <w:rFonts w:ascii="Arial" w:cs="Arial" w:eastAsia="Arial" w:hAnsi="Arial"/>
                <w:sz w:val="14"/>
                <w:szCs w:val="14"/>
                <w:b w:val="1"/>
                <w:bCs w:val="1"/>
                <w:color w:val="auto"/>
              </w:rPr>
              <w:t>Nordion</w:t>
            </w:r>
          </w:p>
        </w:tc>
        <w:tc>
          <w:tcPr>
            <w:tcW w:w="1580" w:type="dxa"/>
            <w:vAlign w:val="bottom"/>
          </w:tcPr>
          <w:p>
            <w:pPr>
              <w:ind w:left="440"/>
              <w:spacing w:after="0"/>
              <w:rPr>
                <w:sz w:val="20"/>
                <w:szCs w:val="20"/>
                <w:color w:val="auto"/>
              </w:rPr>
            </w:pPr>
            <w:r>
              <w:rPr>
                <w:rFonts w:ascii="Arial" w:cs="Arial" w:eastAsia="Arial" w:hAnsi="Arial"/>
                <w:sz w:val="14"/>
                <w:szCs w:val="14"/>
                <w:b w:val="1"/>
                <w:bCs w:val="1"/>
                <w:color w:val="auto"/>
              </w:rPr>
              <w:t>Nelson Labs</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Consolidated</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182,747</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54,007</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149,462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53,290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157,069</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55,079</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55,079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March 31, 2022, and December 31, 2021, contract assets included in prepaid expenses and other current assets on the Consolidated Balance Sheets totaled approximately $18.5 million and $15.6 million, respectively, resulting from revenue recognized over time in excess of the amount billed to the customer.</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totaled $12.9 million and $8.7 million at March 31, 2022 and December 31, 2021, respectively. We recognize deferred revenue after all revenue recognition criteria are met.</w:t>
      </w:r>
    </w:p>
    <w:p>
      <w:pPr>
        <w:spacing w:after="0" w:line="2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$31.0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will expand and further strengthen the technical consulting and expert advisory capabilities of our Nelson Labs segment.</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purchase price of RCA was allocated to the underlying assets acquired and liabilities assumed based upon management's estimated fair values at the date of acquisition. Changes to the allocation of the purchase price may occur as these measurements are completed. As of March 31, 2022, approximately $20.7 million of goodwill was recorded related to the RCA acquisition, representing the excess of the purchase price over preliminary estimated fair values of all the assets acquired and liabilities assumed. Based on our preliminary estimates, we also recorded $12.5 million of finite-lived intangible assets, primarily related to customer relationships. The purchase price allocation will be finalized within a measurement period not to exceed one year from closing. We funded this acquisition using available cash. The acquisition price and the results of operations for this acquired entity are not material in relation to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Noncontrolling Interests in China Subsidiaries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18, 2021, we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We paid 90% of the cash consideration on the acquisition date. The remaining amounts were partially settled in post-closing payments in the third quarter of 2021; $0.2 million of the post-closing payment remains outstanding as of March 31, 2022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Mandatorily Redeemable Noncontrolling Interest - Nelson Labs Fairfield</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relative to the $13.6 million previously accrued. Pursuant to the terms of this acquisition, we initially acquired 85% of the equity interests of Nelson Labs Fairfield in August 2018 and were obligated to acquire the remaining 15% noncontrolling interest within three years from the date of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BioScience Laboratories, LLC</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8, 2021, we acquired BioScience Laboratories, LLC (“BioScience Labs”) for approximately $13.5 million, net of $0.2 million of cash acquired plus the contemporaneous repayment of BioScience Labs’ outstanding debt of $1.9 million. BioScience Labs is a provider of outsourced topical antimicrobial product testing in the pharmaceutical, medical device, and consumer products industries with one location in Bozeman, Montana. BioScience Labs is included within the Nelson Labs segment.</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purchase price of BioScience Labs was allocated to the underlying assets acquired and liabilities assumed based upon management's estimated fair values at the date of acquisition. Changes to the allocation of the purchase price may occur as these measurements are completed. Approximately $8.4 million of goodwill was recorded related to the BioScience Labs acquisition, representing the excess of the purchase price over preliminary estimated fair values of all the assets acquired and liabilities assumed. We funded this acquisition using available cash. The acquisition price and the results of operations for this acquired entity are not material in relation to our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March 31, 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45,827</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Inventories, 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54,288</w:t>
            </w:r>
          </w:p>
        </w:tc>
        <w:tc>
          <w:tcPr>
            <w:tcW w:w="0" w:type="dxa"/>
            <w:vAlign w:val="bottom"/>
          </w:tcPr>
          <w:p>
            <w:pPr>
              <w:spacing w:after="0"/>
              <w:rPr>
                <w:sz w:val="1"/>
                <w:szCs w:val="1"/>
                <w:color w:val="auto"/>
              </w:rPr>
            </w:pPr>
          </w:p>
        </w:tc>
      </w:tr>
      <w:tr>
        <w:trPr>
          <w:trHeight w:val="21"/>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March 31, 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26,752</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16,356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83,956</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w w:val="99"/>
              </w:rPr>
              <w:t>Changes to goodwill during the three months ended March 31, 2022 were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Nordion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2021</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660,743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288,905</w:t>
            </w: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170,672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RCA acquisition measurement period adjustments</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4,423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March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662,476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293,328</w:t>
            </w:r>
          </w:p>
        </w:tc>
        <w:tc>
          <w:tcPr>
            <w:tcW w:w="3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170,024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7"/>
                <w:szCs w:val="17"/>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2022</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668,034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380,341</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46,268</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245,334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114,818</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2,628</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1,018,831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545,844</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83,375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25,782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109,157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1,127,988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545,844</w:t>
            </w: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2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668,628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365,935</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241,611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109,838</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1,015,408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1,123,351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tabs>
          <w:tab w:leader="none" w:pos="33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other intangible assets was $20.2 million ($4.3 million is included in “Cost of revenues” and $15.9 million in “Selling, general and administrative expenses”) in the Consolidated Statements of Operations and Comprehensive Income and $22.3 million ($5.8 million is included in “Cost of revenues” and $16.5 million in “Selling, general and administrative expenses”) in the Consolidated Statements of Operations and Comprehensive Income for the three months ended March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62,157</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81,237</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180,959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472,987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color w:val="auto"/>
                <w:w w:val="93"/>
              </w:rPr>
              <w:t>The weighted-average remaining useful life of the finite-lived intangible assets was approximately 9.5 years as of March 31, 2022.</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68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8.  Accrued Liabilities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61,861</w:t>
            </w:r>
          </w:p>
        </w:tc>
        <w:tc>
          <w:tcPr>
            <w:tcW w:w="0" w:type="dxa"/>
            <w:vAlign w:val="bottom"/>
          </w:tcPr>
          <w:p>
            <w:pPr>
              <w:spacing w:after="0"/>
              <w:rPr>
                <w:sz w:val="1"/>
                <w:szCs w:val="1"/>
                <w:color w:val="auto"/>
              </w:rPr>
            </w:pPr>
          </w:p>
        </w:tc>
      </w:tr>
      <w:tr>
        <w:trPr>
          <w:trHeight w:val="21"/>
        </w:trPr>
        <w:tc>
          <w:tcPr>
            <w:tcW w:w="8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Long-Term Debt</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0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1,763,550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(19,009)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 less debt issuance costs and debt discounts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1,744,541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March 31, 2022 and December 31, 2021, total borrowings under the Term Loan were $1,763.1 million, and there were no borrowings outstanding on the Revolving Credit Facility. The weighted average interest rate on borrowings under the Term Loan for the three months ended March 31, 2022 and March 31, 2021 was 3.25% and 3.73%, respectively.</w:t>
      </w:r>
    </w:p>
    <w:p>
      <w:pPr>
        <w:spacing w:after="0" w:line="19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w:t>
      </w:r>
    </w:p>
    <w:p>
      <w:pPr>
        <w:spacing w:after="0" w:line="16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did not change the capacity of our Revolving Credit Facility. No unamortized debt issuance costs associated with the Revolving Credit Facility were written off and direct fees and costs incurred in connection with the amendment were immaterial.</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March 31, 2022 and December 31, 2021, capitalized debt issuance costs totaled $2.5 million and $2.7 million, respectively, and debt discounts totaled $16.5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March 31, 2022, we were in compliance with all the Senior Secured Credit Facilities covenants.</w:t>
      </w:r>
    </w:p>
    <w:p>
      <w:pPr>
        <w:spacing w:after="0" w:line="21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March 31, 2022, the Company had $69.2 million of letters of credit issued against the Revolving Credit Facility, resulting in total availability under the Revolving Credit Facility of $278.3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The Company utilizes interest rate derivatives to eliminate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for the year ended December 31, 2021.</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March 31, 2022,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tax rate was 32.3 % and 21.4% for the three months ended March 31, 2022 and 2021, respectively. Income tax expense for the three months ended March 31, 2022 and March 31, 2021 differs from the statutory rate primarily due to a net increase in the valuation allowance attributable to the limitation on the deductibility of interest expense, the impact of the foreign rate differential, and global intangible low-tax income (“GILTI”). Provision for income tax expense for the three months ended March 31, 2021 was offset by a discrete item, which reversed the valuation allowance on deferred tax assets related to certain asset retirement obligations.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interest cost, expected return on plan assets, and amortization of net actuarial loss are recorded net in “Other income, net” and the service cost component is included in the same financial statement line item as the applicable employee’s wages in the Consolidated Statements of Operations and Comprehensive Income. The components of net periodic pension cost for the defined benefit plans for the three months ended March 31, 2022 and 2021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months ended March 31, 2022 and 2021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20" w:type="dxa"/>
            <w:vAlign w:val="bottom"/>
          </w:tcPr>
          <w:p>
            <w:pPr>
              <w:spacing w:after="0"/>
              <w:rPr>
                <w:sz w:val="22"/>
                <w:szCs w:val="22"/>
                <w:color w:val="auto"/>
              </w:rPr>
            </w:pP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$3.1 million in each of the next five years to fund the regulatory solvency deficit, as defined by Canadian federal regulation, which requires solvency testing on defined benefit pension plans.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March 31, 2022, and December 31, 2021, we had letters of credit outstanding relating to the defined benefit plans totaling $46.1 million and $46.2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do business with a number of other companies affiliated with Warburg Pincus and GTCR, whom we refer to collectively as our “Sponsors”. All transactions with these companies have been conducted in the ordinary course of our business and are not material to our operations.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Defined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3"/>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2"/>
              </w:rPr>
              <w:t>Benefit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6"/>
                <w:szCs w:val="16"/>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060" w:type="dxa"/>
            <w:vAlign w:val="bottom"/>
          </w:tcPr>
          <w:p>
            <w:pPr>
              <w:jc w:val="center"/>
              <w:ind w:right="152"/>
              <w:spacing w:after="0" w:line="176" w:lineRule="exact"/>
              <w:rPr>
                <w:sz w:val="20"/>
                <w:szCs w:val="20"/>
                <w:color w:val="auto"/>
              </w:rPr>
            </w:pPr>
            <w:r>
              <w:rPr>
                <w:rFonts w:ascii="Arial" w:cs="Arial" w:eastAsia="Arial" w:hAnsi="Arial"/>
                <w:sz w:val="16"/>
                <w:szCs w:val="16"/>
                <w:b w:val="1"/>
                <w:bCs w:val="1"/>
                <w:color w:val="auto"/>
                <w:w w:val="88"/>
              </w:rPr>
              <w:t>Plans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5"/>
                <w:szCs w:val="15"/>
                <w:color w:val="auto"/>
              </w:rPr>
            </w:pPr>
          </w:p>
        </w:tc>
        <w:tc>
          <w:tcPr>
            <w:tcW w:w="1380" w:type="dxa"/>
            <w:vAlign w:val="bottom"/>
            <w:gridSpan w:val="2"/>
          </w:tcPr>
          <w:p>
            <w:pPr>
              <w:jc w:val="center"/>
              <w:ind w:right="580"/>
              <w:spacing w:after="0" w:line="176" w:lineRule="exact"/>
              <w:rPr>
                <w:sz w:val="20"/>
                <w:szCs w:val="20"/>
                <w:color w:val="auto"/>
              </w:rPr>
            </w:pPr>
            <w:r>
              <w:rPr>
                <w:rFonts w:ascii="Arial" w:cs="Arial" w:eastAsia="Arial" w:hAnsi="Arial"/>
                <w:sz w:val="16"/>
                <w:szCs w:val="16"/>
                <w:b w:val="1"/>
                <w:bCs w:val="1"/>
                <w:color w:val="auto"/>
                <w:w w:val="86"/>
              </w:rPr>
              <w:t>Swaps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(17,581)</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6,179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1"/>
                <w:szCs w:val="11"/>
                <w:color w:val="auto"/>
              </w:rPr>
              <w:t>(b)</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5"/>
              </w:rPr>
              <w:t>(a)</w:t>
            </w:r>
          </w:p>
        </w:tc>
        <w:tc>
          <w:tcPr>
            <w:tcW w:w="122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6,179</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March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(17,855)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6,583</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xml:space="preserve">275 </w:t>
            </w:r>
            <w:r>
              <w:rPr>
                <w:rFonts w:ascii="Arial" w:cs="Arial" w:eastAsia="Arial" w:hAnsi="Arial"/>
                <w:sz w:val="11"/>
                <w:szCs w:val="11"/>
                <w:color w:val="auto"/>
              </w:rPr>
              <w:t>(a)</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March 31,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right="240" w:hanging="492"/>
        <w:spacing w:after="0" w:line="258" w:lineRule="auto"/>
        <w:tabs>
          <w:tab w:leader="none" w:pos="4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w:t>
      </w:r>
    </w:p>
    <w:p>
      <w:pPr>
        <w:spacing w:after="0" w:line="1" w:lineRule="exact"/>
        <w:rPr>
          <w:rFonts w:ascii="Arial" w:cs="Arial" w:eastAsia="Arial" w:hAnsi="Arial"/>
          <w:sz w:val="18"/>
          <w:szCs w:val="18"/>
          <w:color w:val="auto"/>
        </w:rPr>
      </w:pPr>
    </w:p>
    <w:p>
      <w:pPr>
        <w:ind w:left="500" w:right="500" w:hanging="492"/>
        <w:spacing w:after="0" w:line="260"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interest rate derivatives, amounts reclassified from accumulated other comprehensive income (loss) are recorded to “Interest expense, net” within the Consolidated Statements of Operations and Comprehensive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the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March 31, 2022, these awards remain unvested.</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recognized $0.6 million and $0.7 million of share-based compensation expense related to the pre-IPO Class B-1 awards for the three months ended March 31, 2022 and 2021,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the activity for the three months ended March 31, 2022 related to the restricted stock awards distributed to the Company service providers in respect of the pre-IPO awards (Class B-1 and B-2 Units) is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 Pre-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 Pre-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IPO B-1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IPO B-2</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1,206,089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2,023,959</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(15,793)</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(40,616)</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(144,713)</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Unvested at March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1,045,583</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1,983,343</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recognized $3.9 million ($1.5 million for stock options and $2.4 million for RSUs) and $2.8 million ($1.3 million for stock options and $1.5 million for RSUs) of share-based compensation expense for these awards in our Consolidated Statements of Operations and Comprehensive Income, in “Selling, general and administrative expenses,” for the three months ended March 31,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 options generally vest ratably over a period of three to four years. They have an exercise price equal to the fair market value of a share of common stock on the date of grant, and a contractual term of 10 years. The following table summarizes our stock option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
        </w:trPr>
        <w:tc>
          <w:tcPr>
            <w:tcW w:w="45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stock options at December 31, 2021</w:t>
            </w:r>
          </w:p>
        </w:tc>
        <w:tc>
          <w:tcPr>
            <w:tcW w:w="518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2,423,256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ind w:right="2"/>
              <w:spacing w:after="0"/>
              <w:rPr>
                <w:sz w:val="20"/>
                <w:szCs w:val="20"/>
                <w:color w:val="auto"/>
              </w:rPr>
            </w:pPr>
            <w:r>
              <w:rPr>
                <w:rFonts w:ascii="Arial" w:cs="Arial" w:eastAsia="Arial" w:hAnsi="Arial"/>
                <w:sz w:val="18"/>
                <w:szCs w:val="18"/>
                <w:color w:val="auto"/>
              </w:rPr>
              <w:t>1,401,535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37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stock options at March 31, 2022</w:t>
            </w:r>
          </w:p>
        </w:tc>
        <w:tc>
          <w:tcPr>
            <w:tcW w:w="51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3,791,205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19</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9A9A9A"/>
            </w:tcBorders>
          </w:tcPr>
          <w:p>
            <w:pPr>
              <w:spacing w:after="0"/>
              <w:rPr>
                <w:sz w:val="12"/>
                <w:szCs w:val="12"/>
                <w:color w:val="auto"/>
              </w:rPr>
            </w:pPr>
          </w:p>
        </w:tc>
        <w:tc>
          <w:tcPr>
            <w:tcW w:w="37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average Grant</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Date Fair</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r>
      <w:tr>
        <w:trPr>
          <w:trHeight w:val="26"/>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820,666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March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1,439,852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w:t>
      </w:r>
    </w:p>
    <w:p>
      <w:pPr>
        <w:spacing w:after="0" w:line="1" w:lineRule="exact"/>
        <w:rPr>
          <w:sz w:val="20"/>
          <w:szCs w:val="20"/>
          <w:color w:val="auto"/>
        </w:rPr>
      </w:pPr>
    </w:p>
    <w:p>
      <w:pPr>
        <w:ind w:right="3480" w:firstLine="8"/>
        <w:spacing w:after="0" w:line="456"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two-class method, or (b) treasury stock method, as applicable, to the potentially dilutive instruments. Our basic and diluted earnings per common share are calculated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220" w:type="dxa"/>
            <w:vAlign w:val="bottom"/>
          </w:tcPr>
          <w:p>
            <w:pPr>
              <w:spacing w:after="0"/>
              <w:rPr>
                <w:sz w:val="13"/>
                <w:szCs w:val="13"/>
                <w:color w:val="auto"/>
              </w:rPr>
            </w:pPr>
          </w:p>
        </w:tc>
        <w:tc>
          <w:tcPr>
            <w:tcW w:w="1100" w:type="dxa"/>
            <w:vAlign w:val="bottom"/>
          </w:tcPr>
          <w:p>
            <w:pPr>
              <w:jc w:val="right"/>
              <w:ind w:right="435"/>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433"/>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34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30,641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279,829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278,827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80" w:type="dxa"/>
            <w:vAlign w:val="bottom"/>
            <w:gridSpan w:val="2"/>
          </w:tcPr>
          <w:p>
            <w:pPr>
              <w:ind w:left="220"/>
              <w:spacing w:after="0"/>
              <w:rPr>
                <w:sz w:val="20"/>
                <w:szCs w:val="20"/>
                <w:color w:val="auto"/>
              </w:rPr>
            </w:pPr>
            <w:r>
              <w:rPr>
                <w:rFonts w:ascii="Arial" w:cs="Arial" w:eastAsia="Arial" w:hAnsi="Arial"/>
                <w:sz w:val="18"/>
                <w:szCs w:val="18"/>
                <w:color w:val="auto"/>
              </w:rPr>
              <w:t>Dilutive effect of potential common shares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CCEEFF"/>
            </w:tcBorders>
            <w:shd w:val="clear" w:color="auto" w:fill="CCEEFF"/>
          </w:tcPr>
          <w:p>
            <w:pPr>
              <w:spacing w:after="0"/>
              <w:rPr>
                <w:sz w:val="24"/>
                <w:szCs w:val="24"/>
                <w:color w:val="auto"/>
              </w:rPr>
            </w:pPr>
          </w:p>
        </w:tc>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279,908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 - diluted</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891"/>
        </w:trPr>
        <w:tc>
          <w:tcPr>
            <w:tcW w:w="8500" w:type="dxa"/>
            <w:vAlign w:val="bottom"/>
            <w:gridSpan w:val="3"/>
          </w:tcPr>
          <w:p>
            <w:pPr>
              <w:jc w:val="right"/>
              <w:ind w:right="27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4340" w:type="dxa"/>
            <w:vAlign w:val="bottom"/>
            <w:tcBorders>
              <w:bottom w:val="single" w:sz="8" w:color="9A9A9A"/>
            </w:tcBorders>
          </w:tcPr>
          <w:p>
            <w:pPr>
              <w:spacing w:after="0"/>
              <w:rPr>
                <w:sz w:val="12"/>
                <w:szCs w:val="12"/>
                <w:color w:val="auto"/>
              </w:rPr>
            </w:pPr>
          </w:p>
        </w:tc>
        <w:tc>
          <w:tcPr>
            <w:tcW w:w="4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740" w:type="dxa"/>
            <w:vAlign w:val="bottom"/>
            <w:gridSpan w:val="3"/>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r>
      <w:tr>
        <w:trPr>
          <w:trHeight w:val="158"/>
        </w:trPr>
        <w:tc>
          <w:tcPr>
            <w:tcW w:w="20" w:type="dxa"/>
            <w:vAlign w:val="bottom"/>
          </w:tcPr>
          <w:p>
            <w:pPr>
              <w:spacing w:after="0"/>
              <w:rPr>
                <w:sz w:val="13"/>
                <w:szCs w:val="13"/>
                <w:color w:val="auto"/>
              </w:rPr>
            </w:pPr>
          </w:p>
        </w:tc>
        <w:tc>
          <w:tcPr>
            <w:tcW w:w="84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share amounts</w:t>
            </w:r>
          </w:p>
        </w:tc>
        <w:tc>
          <w:tcPr>
            <w:tcW w:w="1320" w:type="dxa"/>
            <w:vAlign w:val="bottom"/>
          </w:tcPr>
          <w:p>
            <w:pPr>
              <w:jc w:val="right"/>
              <w:ind w:right="439"/>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320" w:type="dxa"/>
            <w:vAlign w:val="bottom"/>
          </w:tcPr>
          <w:p>
            <w:pPr>
              <w:jc w:val="right"/>
              <w:ind w:right="437"/>
              <w:spacing w:after="0" w:line="158" w:lineRule="exact"/>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43"/>
        </w:trPr>
        <w:tc>
          <w:tcPr>
            <w:tcW w:w="20" w:type="dxa"/>
            <w:vAlign w:val="bottom"/>
          </w:tcPr>
          <w:p>
            <w:pPr>
              <w:spacing w:after="0"/>
              <w:rPr>
                <w:sz w:val="21"/>
                <w:szCs w:val="21"/>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RSUs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Interruption Claim (NRU Outage)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Nordion, due to the shutdown of Atomic Energy of Canada Limited's (“AECL”) NRU reactor in 2009, suffered a cessation of supply of radioisotopes and business interruption loss. Nordion, by Statement of Claim dated October 22, 2010, issued in Ontario Superior Court an action against an insurer, claiming $25.0 million USD in losses resulting from the shutdown of AECL’s reactor and its inability to supply radioisotopes through the specified period of approximately 15 months. The insurer objected to Nordion’s claim.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30, 2020, Nordion received a favorable judgment in the amount of $25.0 million USD, plus pre-judgment interest, for a total judgment value of $39.8 million USD, or $56.4 million CAD based on exchange rates approved by the trial court. In addition, costs and disbursements were assessed and awarded by the trial court in favor of Nordion in the approximate amount of $1.3 million CAD ($1.0 million USD). The insurer appealed the judgment, and on September 3, 2021 the Court of Appeal ruled in favor of the insurer denying insurance coverage to Nordion, and awarding costs and disbursements (in both the Trial Court and Court of Appeal) to the insurer, assessed at $0.6 million CAD ($0.5 million USD). Nordion's October 21, 2021 Application for Leave to Appeal was denied by the Supreme Court of Canada on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Sterigenics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Approximately 780 plaintiffs have filed lawsuits against subsidiaries of the Company and other parties, alleging personal injuries including cancer and other diseases, or wrongful death, resulting from purported emissions and releases of EO from Sterigenics U.S., LLC’s former Willowbrook facility. Additional derivative claims are alleged on behalf of other individuals related to some of these personal injury plaintiffs. Each plaintiff seeks damages in an amount to be determined by the trier of fact. The lawsuits were consolidated for pre-trial purposes by the Cook County Circuit Court, Illinois (the “Consolidated Case”). Plaintiffs have not yet made any specific damages claims.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Fact discovery in the Consolidated Case concluded on February 1, 2022. Trials in three of the individual cases included in the Consolidated Case have been scheduled for July 18, 2022, September 12, 2022 and November 7, 2022. Plaintiffs in those three cases have filed motions for leave to amend their claims to seek punitive damage awards against subsidiaries of the Company and other parties. A hearing on those motions is scheduled for May 23, 2022. The next five individual trials are scheduled to occur consecutively, beginning on January 17, 2023. Additional 2023 trial dates are expected to be announced on July 18,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and releases of EO from Sterigenics’ Atlanta facility. Additional derivative claims are alleged on behalf of other individuals related to some of these personal injury plaintiffs.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All but two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Court has stayed the remainder of the consolidated personal injury cases pending in Cobb County. One personal injury case is pending in Gwinnett County and is scheduled for trial in June 2023. The remaining two personal injury cases and two property devaluation cases are in various stages of pleadings and motions practice and fact discovery.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Georgia Facility Operations Litigation</w:t>
      </w:r>
    </w:p>
    <w:p>
      <w:pPr>
        <w:spacing w:after="0" w:line="25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October 2019, while Sterigenics had voluntarily suspended the facility’s operations to install emissions reduction enhancements at its Atlanta facility, Cobb County, Georgia officials asserted that the facility had an incorrect “certificate of occupancy” and could not resume operations without obtaining a new certificate of occupancy after a third-party code compliance review. On March 30, 2020 Sterigenics filed suit against Cobb County, Georgia and certain of its officials for wrongfully interfering with operations of the facility. On April 1, 2020 Sterigenics won a Temporary Restraining Order prohibiting Cobb County officials from interfering with the facility’s normal operations, which relief has been extended until entry of a final judgment in the case. The parties are conducting discovery, which is scheduled to end in August 2022. A settlement conference is scheduled to be held by June 17,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Mexico Attorney General Litigation</w:t>
      </w:r>
    </w:p>
    <w:p>
      <w:pPr>
        <w:spacing w:after="0" w:line="225"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Complaint asserts claims for public nuisance, negligence, strict liability, violations of New Mexico’s Public Nuisance Statute and Unfair Practices Act and seeks various forms of relief including a temporary restraining order and preliminary injunctive relief and damages. On June 29, 2021, the Court entered an Order Granting Preliminary Injunction (the “Order”). The Order does not require closure of the facility, but prohibits Sterigenics from allowing any uncontrolled emission or release of EO from the facility. On December 20, 2021 the Court entered an order identifying a protocol to monitor Sterigenics’ compliance with the Order. A motion challenging the Court’s jurisdiction over the Company and certain other defendants has been held in abeyance until the completion of jurisdictional discovery, and all other motions to dismiss have been denied. The parties are conducting fact discovery.</w:t>
      </w:r>
    </w:p>
    <w:p>
      <w:pPr>
        <w:spacing w:after="0" w:line="164"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March 31, 2022, we have utilized approximately $5.4 million of the remaining $10.0 million limit. Our insurance for future alleged environmental liabilities excludes coverage for EO claims.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from time to time, the Company enters into interest rate caps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limited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also entered into two additional interest rate cap agreements in February 2021 with a combined notional amount of $1,000.0 million, for a total option premium of $0.4 million. These instruments became effective September 30, 2021, and will terminate on December 31, 2022. The amended and new interest rate caps limit our cash flow exposure related to LIBOR under a portion of our variable rate borrowings to 0.5%.</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March 31,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6"/>
                <w:szCs w:val="16"/>
                <w:b w:val="1"/>
                <w:bCs w:val="1"/>
                <w:color w:val="auto"/>
              </w:rPr>
              <w:t>March 31, 2022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U.S. Dollars; notional in millions, fair value in thousands)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ind w:left="6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640"/>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3"/>
              <w:spacing w:after="0"/>
              <w:rPr>
                <w:sz w:val="20"/>
                <w:szCs w:val="20"/>
                <w:color w:val="auto"/>
              </w:rPr>
            </w:pPr>
            <w:r>
              <w:rPr>
                <w:rFonts w:ascii="Arial" w:cs="Arial" w:eastAsia="Arial" w:hAnsi="Arial"/>
                <w:sz w:val="16"/>
                <w:szCs w:val="16"/>
                <w:b w:val="1"/>
                <w:bCs w:val="1"/>
                <w:color w:val="auto"/>
                <w:w w:val="96"/>
              </w:rPr>
              <w:t>Notional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w w:val="96"/>
              </w:rPr>
              <w:t>Derivative</w:t>
            </w:r>
          </w:p>
        </w:tc>
        <w:tc>
          <w:tcPr>
            <w:tcW w:w="2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4"/>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8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280" w:type="dxa"/>
            <w:vAlign w:val="bottom"/>
          </w:tcPr>
          <w:p>
            <w:pPr>
              <w:ind w:left="60"/>
              <w:spacing w:after="0"/>
              <w:rPr>
                <w:sz w:val="20"/>
                <w:szCs w:val="20"/>
                <w:color w:val="auto"/>
              </w:rPr>
            </w:pPr>
            <w:r>
              <w:rPr>
                <w:rFonts w:ascii="Arial" w:cs="Arial" w:eastAsia="Arial" w:hAnsi="Arial"/>
                <w:sz w:val="12"/>
                <w:szCs w:val="12"/>
                <w:color w:val="auto"/>
              </w:rPr>
              <w:t>(a)</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10,610</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2,322</w:t>
            </w:r>
          </w:p>
        </w:tc>
        <w:tc>
          <w:tcPr>
            <w:tcW w:w="14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8,000</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1"/>
                <w:szCs w:val="21"/>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(b)</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1,842</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2,193.0</w:t>
            </w:r>
          </w:p>
        </w:tc>
        <w:tc>
          <w:tcPr>
            <w:tcW w:w="2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20,452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2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4,472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6"/>
          <w:szCs w:val="16"/>
          <w:color w:val="auto"/>
        </w:rPr>
        <w:t>$1,000.0 million notional amount of interest rate caps designated as hedging instruments have a forward start date beginning on December 31, 2022.</w:t>
      </w:r>
    </w:p>
    <w:p>
      <w:pPr>
        <w:spacing w:after="0" w:line="46"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Embedded derivative assets and interest rate caps are included in “Prepaid expenses and other current assets” and "Other Assets," respectively, on our Consolidated Balance Sheets. Embedded derivative liabilities are included in “Accrued liabilities” on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activities of our derivative instruments for the periods presented, and the line item they are recorded in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recorded in interest expense,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2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Unrealized gain on embedded derivatives recorded in other income,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foreign currency forward contracts recorded in foreign exchange (gain) loss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net gains (losses) on our cash flow hedges recognized in “Other comprehensive income (loss)” during the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9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 recorded in other comprehensive income, net of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expect to reclassify approximately $3.1 million of after-tax net gains on derivative instruments from accumulated other comprehensive income to income during the next 12 months associated with our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March 31, 2022 and December 31, 2021, accounts receivable was net of an allowance for uncollectible accounts of $1.5 million and $1.3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2022</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10,610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3"/>
          </w:tcPr>
          <w:p>
            <w:pPr>
              <w:ind w:left="880"/>
              <w:spacing w:after="0"/>
              <w:rPr>
                <w:sz w:val="20"/>
                <w:szCs w:val="20"/>
                <w:color w:val="auto"/>
              </w:rPr>
            </w:pPr>
            <w:r>
              <w:rPr>
                <w:rFonts w:ascii="Arial" w:cs="Arial" w:eastAsia="Arial" w:hAnsi="Arial"/>
                <w:sz w:val="18"/>
                <w:szCs w:val="18"/>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10,610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1,744,096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1,744,411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41,356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41,356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1,754,285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40" w:hanging="492"/>
        <w:spacing w:after="0" w:line="255"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Derivatives designated as hedging instruments are measured at fair value with changes in fair value recorded as a component of accumulated other comprehensive income (loss). Interest rate caps are valued using pricing models that incorporate observable market inputs including interest rate and yield curves.</w:t>
      </w:r>
    </w:p>
    <w:p>
      <w:pPr>
        <w:spacing w:after="0" w:line="2" w:lineRule="exact"/>
        <w:rPr>
          <w:rFonts w:ascii="Arial" w:cs="Arial" w:eastAsia="Arial" w:hAnsi="Arial"/>
          <w:sz w:val="18"/>
          <w:szCs w:val="18"/>
          <w:color w:val="auto"/>
        </w:rPr>
      </w:pPr>
    </w:p>
    <w:p>
      <w:pPr>
        <w:ind w:left="500" w:right="220" w:hanging="492"/>
        <w:spacing w:after="0" w:line="250" w:lineRule="auto"/>
        <w:tabs>
          <w:tab w:leader="none" w:pos="4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spacing w:after="0" w:line="1" w:lineRule="exact"/>
        <w:rPr>
          <w:rFonts w:ascii="Arial" w:cs="Arial" w:eastAsia="Arial" w:hAnsi="Arial"/>
          <w:sz w:val="18"/>
          <w:szCs w:val="18"/>
          <w:color w:val="auto"/>
        </w:rPr>
      </w:pPr>
    </w:p>
    <w:p>
      <w:pPr>
        <w:jc w:val="both"/>
        <w:ind w:left="500" w:right="120" w:hanging="492"/>
        <w:spacing w:after="0" w:line="250"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on quoted prices for the Term Loan due 2026 in inactive markets as provided by an independent fixed income security pricing service. Fair value approximates carrying value for “Other long-term debt.”</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our 2021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months ended March 31, 2022, five customers reported within the Nordion segment individually represented 10% or more of the segment’s total net revenues. These customers represented 15.7%, 14.4%, 13.9%, 12.2%, and 11.9% of the total segment’s external net revenues for the three months ended March 31, 2022. For the three months ended March 31, 2021, three customers reported within the Nordion segment individually represented 10% or more of the segment's total net revenues. These customers represented 23.7%, 20.0% and 12.2% of the total segment's external net revenues for the three months ended March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8"/>
                <w:szCs w:val="18"/>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149,462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55,079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b w:val="1"/>
                <w:bCs w:val="1"/>
                <w:color w:val="auto"/>
                <w:vertAlign w:val="superscript"/>
              </w:rPr>
              <w:t>(b)</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115,349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360" w:hanging="492"/>
        <w:spacing w:after="0" w:line="255"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$15.5 million and $10.5 million in revenues from sales to our Sterigenics segment for the three months ended March 31, 2022 and 2021, respectively, that is not reflected in net revenues in the table above. Intersegment sales for Sterigenics and Nelson Labs are immaterial for both periods.</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three months ended March 31, 2022 and 2021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8"/>
                <w:szCs w:val="18"/>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capital expenditures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before taxes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36"/>
        </w:trPr>
        <w:tc>
          <w:tcPr>
            <w:tcW w:w="8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105,317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36,049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37,661</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Gain on foreign currency and derivatives not designated as hedging instruments, net</w:t>
            </w:r>
            <w:r>
              <w:rPr>
                <w:rFonts w:ascii="Arial" w:cs="Arial" w:eastAsia="Arial" w:hAnsi="Arial"/>
                <w:sz w:val="23"/>
                <w:szCs w:val="23"/>
                <w:color w:val="auto"/>
                <w:vertAlign w:val="superscript"/>
              </w:rPr>
              <w:t>(d)</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(6,552)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(h)</w:t>
            </w:r>
          </w:p>
        </w:tc>
        <w:tc>
          <w:tcPr>
            <w:tcW w:w="2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14,312</w:t>
            </w:r>
          </w:p>
        </w:tc>
      </w:tr>
      <w:tr>
        <w:trPr>
          <w:trHeight w:val="358"/>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9"/>
                <w:szCs w:val="9"/>
                <w:color w:val="auto"/>
              </w:rPr>
              <w:t>(i)</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(j)</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(k)</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before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45,267</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three months ended March 31, 2022 excludes $6.3 million of unrealized gains on interest rate derivatives not designated as hedging instruments.</w:t>
      </w:r>
    </w:p>
    <w:p>
      <w:pPr>
        <w:spacing w:after="0" w:line="46" w:lineRule="exact"/>
        <w:rPr>
          <w:rFonts w:ascii="Arial" w:cs="Arial" w:eastAsia="Arial" w:hAnsi="Arial"/>
          <w:sz w:val="16"/>
          <w:szCs w:val="16"/>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8"/>
          <w:szCs w:val="18"/>
          <w:color w:val="auto"/>
        </w:rPr>
      </w:pPr>
    </w:p>
    <w:p>
      <w:pPr>
        <w:ind w:left="500" w:right="380" w:hanging="492"/>
        <w:spacing w:after="0" w:line="281" w:lineRule="auto"/>
        <w:tabs>
          <w:tab w:leader="none" w:pos="4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Arial" w:cs="Arial" w:eastAsia="Arial" w:hAnsi="Arial"/>
          <w:sz w:val="16"/>
          <w:szCs w:val="16"/>
          <w:color w:val="auto"/>
        </w:rPr>
      </w:pPr>
    </w:p>
    <w:p>
      <w:pPr>
        <w:ind w:left="500" w:right="60" w:hanging="492"/>
        <w:spacing w:after="0" w:line="265" w:lineRule="auto"/>
        <w:tabs>
          <w:tab w:leader="none" w:pos="4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500" w:right="380" w:hanging="492"/>
        <w:spacing w:after="0" w:line="250" w:lineRule="auto"/>
        <w:tabs>
          <w:tab w:leader="none" w:pos="4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 w:lineRule="exact"/>
        <w:rPr>
          <w:rFonts w:ascii="Arial" w:cs="Arial" w:eastAsia="Arial" w:hAnsi="Arial"/>
          <w:sz w:val="18"/>
          <w:szCs w:val="18"/>
          <w:color w:val="auto"/>
        </w:rPr>
      </w:pPr>
    </w:p>
    <w:p>
      <w:pPr>
        <w:ind w:left="500" w:right="40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500" w:right="30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repricing of our Term Loan in January 2021 including accelerated amortization of prior debt issuance and discount costs.</w:t>
      </w:r>
    </w:p>
    <w:p>
      <w:pPr>
        <w:ind w:left="500" w:right="48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Note 16, “Commitments and Contingencies”.</w:t>
      </w:r>
    </w:p>
    <w:p>
      <w:pPr>
        <w:ind w:left="500" w:right="12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8"/>
          <w:szCs w:val="18"/>
          <w:color w:val="auto"/>
        </w:rPr>
      </w:pPr>
    </w:p>
    <w:p>
      <w:pPr>
        <w:ind w:left="500" w:right="380" w:hanging="492"/>
        <w:spacing w:after="0" w:line="26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2021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2021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the three months ended March 31, 2022, we recorded net revenues of $236.8 million, net income of $30.6 million, Adjusted Net Income of $60.3 million and Adjusted EBITDA of $115.3 million. For the definition of Adjusted Net Income and Adjusted EBITDA and the reconciliation of these non-GAAP measures from net income, please see “Non-GAAP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strategic developments and key factors that have supported our operating results for the three months ended March 31, 2022 and may continue to affect our performance and financial condition in future periods.</w:t>
      </w:r>
    </w:p>
    <w:p>
      <w:pPr>
        <w:spacing w:after="0" w:line="58" w:lineRule="exact"/>
        <w:rPr>
          <w:sz w:val="20"/>
          <w:szCs w:val="20"/>
          <w:color w:val="auto"/>
        </w:rPr>
      </w:pPr>
    </w:p>
    <w:p>
      <w:pPr>
        <w:ind w:left="660" w:right="80" w:hanging="328"/>
        <w:spacing w:after="0" w:line="29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Business and market conditions</w:t>
      </w:r>
      <w:r>
        <w:rPr>
          <w:rFonts w:ascii="Arial" w:cs="Arial" w:eastAsia="Arial" w:hAnsi="Arial"/>
          <w:sz w:val="16"/>
          <w:szCs w:val="16"/>
          <w:color w:val="auto"/>
        </w:rPr>
        <w:t>. During the three months ended March 31, 2022, Sterigenics and Nordion benefited from sustained demand for</w:t>
      </w:r>
      <w:r>
        <w:rPr>
          <w:rFonts w:ascii="Arial" w:cs="Arial" w:eastAsia="Arial" w:hAnsi="Arial"/>
          <w:sz w:val="16"/>
          <w:szCs w:val="16"/>
          <w:b w:val="1"/>
          <w:bCs w:val="1"/>
          <w:color w:val="auto"/>
        </w:rPr>
        <w:t xml:space="preserve"> </w:t>
      </w:r>
      <w:r>
        <w:rPr>
          <w:rFonts w:ascii="Arial" w:cs="Arial" w:eastAsia="Arial" w:hAnsi="Arial"/>
          <w:sz w:val="16"/>
          <w:szCs w:val="16"/>
          <w:color w:val="auto"/>
        </w:rPr>
        <w:t>sterilization services. Reduced demand for pandemic-related testing and ongoing pressures from labor challenges compounded by the surge of the Omicron variant, supply chain constraints and slower regulatory updates on certain testing categories continued to impact Nelson Labs' results of operations in the three months ended March 31, 2022 compared to the three months ended March 31, 2021. As discussed in more detail in our most recent Form 10-K, a portion of our supply of Co-60 is generated by Russian nuclear reactors. We continue to monitor the potential for disruption in the supply of Co-60 from Russian nuclear reactors; to date there has been no impact on our supply or revenue.</w:t>
      </w:r>
    </w:p>
    <w:p>
      <w:pPr>
        <w:spacing w:after="0" w:line="51" w:lineRule="exact"/>
        <w:rPr>
          <w:rFonts w:ascii="Arial" w:cs="Arial" w:eastAsia="Arial" w:hAnsi="Arial"/>
          <w:sz w:val="16"/>
          <w:szCs w:val="16"/>
          <w:color w:val="auto"/>
        </w:rPr>
      </w:pPr>
    </w:p>
    <w:p>
      <w:pPr>
        <w:ind w:left="660" w:right="8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initiatives. </w:t>
      </w:r>
      <w:r>
        <w:rPr>
          <w:rFonts w:ascii="Arial" w:cs="Arial" w:eastAsia="Arial" w:hAnsi="Arial"/>
          <w:sz w:val="18"/>
          <w:szCs w:val="18"/>
          <w:color w:val="auto"/>
        </w:rPr>
        <w:t>We have advanced our investments in capacity expansions as well as our expenditures to increase and diversify Nordion's</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Co-60 supply chain. For the three months ended March 31, 2022, we increased capital expenditures by $14.6 million compared to the three months ended March 31, 2021.</w:t>
      </w:r>
    </w:p>
    <w:p>
      <w:pPr>
        <w:spacing w:after="0" w:line="67" w:lineRule="exact"/>
        <w:rPr>
          <w:rFonts w:ascii="Arial" w:cs="Arial" w:eastAsia="Arial" w:hAnsi="Arial"/>
          <w:sz w:val="18"/>
          <w:szCs w:val="18"/>
          <w:color w:val="auto"/>
        </w:rPr>
      </w:pPr>
    </w:p>
    <w:p>
      <w:pPr>
        <w:ind w:left="660" w:right="320" w:hanging="328"/>
        <w:spacing w:after="0" w:line="274"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Disciplined and strategic M&amp;A activity. </w:t>
      </w:r>
      <w:r>
        <w:rPr>
          <w:rFonts w:ascii="Arial" w:cs="Arial" w:eastAsia="Arial" w:hAnsi="Arial"/>
          <w:sz w:val="17"/>
          <w:szCs w:val="17"/>
          <w:color w:val="auto"/>
        </w:rPr>
        <w:t>We remain committed to our highly disciplined acquisition strategy and continue to seek suitable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targets. 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expands and strengthens the technical consulting and expert advisory capabilities of Nelson Labs. On March 8, 2021, we acquired BioScience Laboratories, LLC (“BioScience Labs”) based in Bozeman, Montana, bringing expertise in antimicrobial and virology testing to our Nelson Labs segment.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ind w:left="660" w:right="3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Exit activities and litigation costs</w:t>
      </w:r>
      <w:r>
        <w:rPr>
          <w:rFonts w:ascii="Arial" w:cs="Arial" w:eastAsia="Arial" w:hAnsi="Arial"/>
          <w:sz w:val="18"/>
          <w:szCs w:val="18"/>
          <w:color w:val="auto"/>
        </w:rPr>
        <w:t>. In connection with the ongoing litigation related to our Willowbrook, Illinois, Atlanta, Georgia and Santa</w:t>
      </w:r>
      <w:r>
        <w:rPr>
          <w:rFonts w:ascii="Arial" w:cs="Arial" w:eastAsia="Arial" w:hAnsi="Arial"/>
          <w:sz w:val="18"/>
          <w:szCs w:val="18"/>
          <w:b w:val="1"/>
          <w:bCs w:val="1"/>
          <w:color w:val="auto"/>
        </w:rPr>
        <w:t xml:space="preserve"> </w:t>
      </w:r>
      <w:r>
        <w:rPr>
          <w:rFonts w:ascii="Arial" w:cs="Arial" w:eastAsia="Arial" w:hAnsi="Arial"/>
          <w:sz w:val="18"/>
          <w:szCs w:val="18"/>
          <w:color w:val="auto"/>
        </w:rPr>
        <w:t>Teresa, New Mexico facilities, as described in Note 16, “Commitments and Contingencies”, we recorded costs of $18.1 million for the three months ended March 31, 2022 relating to legal and other professional service costs, as well as $0.7 million related to the closure of the Willowbrook, Illinois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as compared to Three Months Ended March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March 31, 2022 and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107,879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53,492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60,254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115,349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following table compares our revenues by type for the three months ended March 31, 2022 to the three months ended March 31, 2021. Results from the BioScience Labs and RCA acquisitions are included in the Nelson Labs segment for the post-acquisition periods beginning March 8, 2021 and November 4, 2021,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for the three months ended March 31,</w:t>
            </w: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206,218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30,536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236,754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212,148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revenues were $236.8 million in the three months ended March 31, 2022, an increase of $24.6 million, or 11.6%, as compared with the three months ended March 31, 2021. Excluding the impact of foreign currency exchange rates, net revenues in the three months ended March 31, 2022 increased approximately 12.7% compared with the same period in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Service revenues increased $17.5 million, or 9.3%, to $206.2 million for the three months ended March 31, 2022 as compared to $188.7 million for the three months ended March 31, 2021. The growth in net service revenues was driven by organic volume growth of $12.9 million in the Sterigenics segment and favorable pricing of $7.0 million and $2.3 million in the Sterigenics and Nelson Labs segments, respectively. In addition, service revenue growth stemmed from a $4.7 million increase attributable to the incremental contribution of the BioScience Labs and RCA acquisitions. Offsetting these factors was an overall decline of $5.9 million in pandemic-related testing revenue in the Nelson Labs segment as well as a decrease in volumes across other testing categories due to the impact of labor challenges, which were compounded by the Omicron surge in the first quarter of 2022. In addition, service revenue growth was offset by a $2.4 million unfavorable impact from changes in foreign currency exchange rates across all segments.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Product revenues increased $7.1 million, or 30.2%, to $30.5 million for the three months ended March 31, 2022 as compared to $23.5 million for the three months ended March 31, 2021. The increase in product revenues was attributable to higher sales volume of $5.3 million, largely driven by shipments of industrial use Co-60 in our Nordion segment, and the contribution of favorable pricing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cost of revenues by type for the three months ended March 31, 2022 to the three months ended March 31, 2021.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three months ended March 31,</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38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
        </w:trPr>
        <w:tc>
          <w:tcPr>
            <w:tcW w:w="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96,776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cost of revenues accounted for approximately 45.6% of our consolidated net revenues for the three months ended March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service revenues increased $9.5 million, or 11.2%, for the three months ended March 31, 2022 as compared to the three months ended March 31, 2021. The increase was attributable to $4.8 million of incremental costs associated with growth in sales volumes primarily in the Sterigenics segment, inflationary pressures, primarily on labor and utility costs, and an incremental contribution of $3.5 million from the BioScience Labs and RCA acquisitions in the Nelson Labs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Cost of product revenues increased $1.6 million, or 13.3%, for the three months ended March 31, 2022 as compared to the three months ended March 31, 2021. The increase was primarily a result of incremental costs associated with higher sales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operating expenses for the three months ended March 31, 2022 to the three months ended March 31, 2021:</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 for the three months ended March 31,</w:t>
            </w:r>
          </w:p>
        </w:tc>
        <w:tc>
          <w:tcPr>
            <w:tcW w:w="340" w:type="dxa"/>
            <w:vAlign w:val="bottom"/>
          </w:tcPr>
          <w:p>
            <w:pPr>
              <w:spacing w:after="0"/>
              <w:rPr>
                <w:sz w:val="24"/>
                <w:szCs w:val="24"/>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60" w:type="dxa"/>
            <w:vAlign w:val="bottom"/>
            <w:tcBorders>
              <w:top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expenses accounted for approximately 31.8% and 32.5% of our consolidated net revenues for the three months ended March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SG&amp;A increased $7.1 million, or 13.5%, for the three months ended March 31, 2022 as compared to the three months ended March 31, 2021. The increase was driven primarily by a $4.7 million increase in litigation and other professional services expense associated with EO sterilization facilities, a $1.3 million increase in selling and administrative personnel costs in support of our ongoing capacity expansion efforts, and an increase in share-based compensation expense of $1.1 million related to our 2020 Omnibus Incentive Plan.</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Amortization of intangible assets decreased $0.7 million, or 4.2% for the three months ended March 31, 2022 as compared to the three months ended March 31, 2021. The change was due mainly to a reduction in amortization expense related to certain intangible assets that were fully amortized by December 31, 2021 and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Interest expense, net decreased $10.9 million, or 51.1%, for the three months ended March 31, 2022 as compared to the three months ended March 31, 2021. The decrease was driven by a $6.3 million reduction to interest expense attributable to the favorable change in fair value of interest rate derivatives not designated as hedging instruments and a decline in interest expense on outstanding borrowings of $4.4 million, due largely to a decrease in the interest rate on our Term Loan following the January 20, 2021 repricing amendment, and a lower outstanding debt balance for the first quarter of 2022 compared to the first quarter of 2021. The weighted average interest rate on our outstanding debt was 3.25% and 3.45% at March 31,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Foreign exchange loss was $0.8 million for the three months ended March 31, 2022 compared to $0.6 million for the three months ended March 31, 2021. The change in foreign exchange loss in our Consolidated Statements of Operations and Comprehensive Income mainly relates to short-term losses (offset by short-term gains) on sales denominated in currencies other than the functional currency of our operating entities. As described in Note 17,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Other income, net was $3.0 million for the three months ended March 31, 2022 compared to $3.9 million for the three months ended March 31, 2021. The fluctuation was driven mostly by $1.2 million of other income recorded in the three months ended March 31, 2021 related to the gain on our purchase of the mandatorily redeemable noncontrolling interest of 15% of Nelson Labs Fairfield on March 11, 2021. The remainder of the variance stemmed from an increase in the fair value of Nordion’s embedded derivative assets in the three months ended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Provision for income taxes increased $11.6 million to a net provision of $14.6 million for the three months ended March 31, 2022 as compared to $3.0 million for the three months ended March 31, 2021. The change was primarily attributable to higher pre-tax income for the three months ended March 31, 2022 compared to the three months ended March 31, 2021 and a discrete item recorded in the three months ended March 31, 2021 that reversed the valuation allowance on deferred tax assets related to certain asset retirement obligations.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Provision for income taxes for the three months ended March 31, 2022 differed from the statutory rate primarily due to an increase in the partial valuation allowance against our excess interest expense carryforward balance, the impact of the foreign rate differential, and tax on Global Intangible Low Taxed Income (“GILTI”). Provision for income taxes for the three months ended March 31, 2021 differed from the statutory rate primarily due to the impact of the foreign rate differential, a net increase in the valuation allowance attributable to the limitation on the deductibility of interest expense, and GILTI. This was partially offset by a discrete item, which reversed the valuation allowance on deferred tax assets related to certain asset retirement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income for the three months ended March 31, 2022 was $30.6 million, as compared to $11.1 million for the three months ended March 31, 2021. Adjusted Net Income was $60.3 million for the three months ended March 31, 2022, as compared to $51.5 million for the three months ended March 31, 2021, due to the factors described above. Adjusted EBITDA was $115.3 million for the three months ended March 31, 2022, as compared to $105.3 million for the three months ended March 31, 2021,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231F20"/>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2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non-cash gains or losses from fluctuations in foreign currency exchange rates and the mark-to-fair value of embedded derivatives relating to certain customer and supply contracts at Nordion;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impairment charges on long-lived assets and intangible assets;</w:t>
      </w:r>
    </w:p>
    <w:p>
      <w:pPr>
        <w:spacing w:after="0" w:line="117" w:lineRule="exact"/>
        <w:rPr>
          <w:rFonts w:ascii="Arial" w:cs="Arial" w:eastAsia="Arial" w:hAnsi="Arial"/>
          <w:sz w:val="18"/>
          <w:szCs w:val="18"/>
          <w:color w:val="231F20"/>
        </w:rPr>
      </w:pPr>
    </w:p>
    <w:p>
      <w:pPr>
        <w:ind w:left="660" w:right="24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expenses and charges related to the litigation and other activities associated with our EO sterilization facilities, including those in Willowbrook, Illinois, Atlanta, Georgia and Santa Teresa, New Mexico, even though that litigation remains ongoing;</w:t>
      </w:r>
    </w:p>
    <w:p>
      <w:pPr>
        <w:spacing w:after="0" w:line="62" w:lineRule="exact"/>
        <w:rPr>
          <w:rFonts w:ascii="Arial" w:cs="Arial" w:eastAsia="Arial" w:hAnsi="Arial"/>
          <w:sz w:val="18"/>
          <w:szCs w:val="18"/>
          <w:color w:val="231F20"/>
        </w:rPr>
      </w:pPr>
    </w:p>
    <w:p>
      <w:pPr>
        <w:ind w:left="660" w:right="98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4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231F20"/>
        </w:rPr>
        <w:t>The following table presents a reconciliation of net income, the most directly comparable financial measure calculated and presented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GAAP to Adjusted Net Income and Adjusted EBITDA, for each of the periods indicated:</w:t>
      </w:r>
    </w:p>
    <w:p>
      <w:pPr>
        <w:spacing w:after="0" w:line="265"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29210</wp:posOffset>
            </wp:positionV>
            <wp:extent cx="1877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w:t>
            </w:r>
          </w:p>
        </w:tc>
      </w:tr>
      <w:tr>
        <w:trPr>
          <w:trHeight w:val="233"/>
        </w:trPr>
        <w:tc>
          <w:tcPr>
            <w:tcW w:w="82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22,282</w:t>
            </w:r>
          </w:p>
        </w:tc>
      </w:tr>
      <w:tr>
        <w:trPr>
          <w:trHeight w:val="33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Gain on foreign currency and derivatives not designated as hedging instruments, net</w:t>
            </w:r>
            <w:r>
              <w:rPr>
                <w:rFonts w:ascii="Arial" w:cs="Arial" w:eastAsia="Arial" w:hAnsi="Arial"/>
                <w:sz w:val="21"/>
                <w:szCs w:val="21"/>
                <w:color w:val="auto"/>
                <w:vertAlign w:val="superscript"/>
              </w:rPr>
              <w:t>(b)</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(6,552)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(f)</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14,312</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(g)</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18,059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13,399</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324"/>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(j)</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(7,852)</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60,254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51,506</w:t>
            </w:r>
          </w:p>
        </w:tc>
      </w:tr>
      <w:tr>
        <w:trPr>
          <w:trHeight w:val="243"/>
        </w:trPr>
        <w:tc>
          <w:tcPr>
            <w:tcW w:w="8280" w:type="dxa"/>
            <w:vAlign w:val="bottom"/>
          </w:tcPr>
          <w:p>
            <w:pPr>
              <w:ind w:left="360"/>
              <w:spacing w:after="0"/>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16,750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21,282</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15,379</w:t>
            </w:r>
          </w:p>
        </w:tc>
      </w:tr>
      <w:tr>
        <w:trPr>
          <w:trHeight w:val="324"/>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22,478</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17,150</w:t>
            </w:r>
          </w:p>
        </w:tc>
      </w:tr>
      <w:tr>
        <w:trPr>
          <w:trHeight w:val="262"/>
        </w:trPr>
        <w:tc>
          <w:tcPr>
            <w:tcW w:w="828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(n)</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115,349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105,317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23" w:lineRule="exact"/>
        <w:rPr>
          <w:rFonts w:ascii="Arial" w:cs="Arial" w:eastAsia="Arial" w:hAnsi="Arial"/>
          <w:sz w:val="18"/>
          <w:szCs w:val="18"/>
          <w:color w:val="auto"/>
        </w:rPr>
      </w:pPr>
    </w:p>
    <w:p>
      <w:pPr>
        <w:ind w:left="660" w:right="480" w:hanging="652"/>
        <w:spacing w:after="0" w:line="281" w:lineRule="auto"/>
        <w:tabs>
          <w:tab w:leader="none" w:pos="4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Arial" w:cs="Arial" w:eastAsia="Arial" w:hAnsi="Arial"/>
          <w:sz w:val="16"/>
          <w:szCs w:val="16"/>
          <w:color w:val="auto"/>
        </w:rPr>
      </w:pPr>
    </w:p>
    <w:p>
      <w:pPr>
        <w:jc w:val="both"/>
        <w:ind w:left="660" w:right="20" w:hanging="652"/>
        <w:spacing w:after="0" w:line="265" w:lineRule="auto"/>
        <w:tabs>
          <w:tab w:leader="none" w:pos="3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660" w:right="220" w:hanging="652"/>
        <w:spacing w:after="0" w:line="250" w:lineRule="auto"/>
        <w:tabs>
          <w:tab w:leader="none" w:pos="4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 w:lineRule="exact"/>
        <w:rPr>
          <w:rFonts w:ascii="Arial" w:cs="Arial" w:eastAsia="Arial" w:hAnsi="Arial"/>
          <w:sz w:val="18"/>
          <w:szCs w:val="18"/>
          <w:color w:val="auto"/>
        </w:rPr>
      </w:pPr>
    </w:p>
    <w:p>
      <w:pPr>
        <w:ind w:left="660" w:right="500" w:hanging="652"/>
        <w:spacing w:after="0" w:line="250" w:lineRule="auto"/>
        <w:tabs>
          <w:tab w:leader="none" w:pos="3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660" w:right="420" w:hanging="652"/>
        <w:spacing w:after="0" w:line="250" w:lineRule="auto"/>
        <w:tabs>
          <w:tab w:leader="none" w:pos="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repricing of our Term Loan in January 2021 including accelerated amortization of prior debt issuance and discount costs.</w:t>
      </w:r>
    </w:p>
    <w:p>
      <w:pPr>
        <w:ind w:left="660" w:right="580" w:hanging="652"/>
        <w:spacing w:after="0" w:line="250" w:lineRule="auto"/>
        <w:tabs>
          <w:tab w:leader="none" w:pos="4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Note 16, “Commitments and Contingencies”.</w:t>
      </w:r>
    </w:p>
    <w:p>
      <w:pPr>
        <w:ind w:left="660" w:right="360" w:hanging="652"/>
        <w:spacing w:after="0" w:line="265" w:lineRule="auto"/>
        <w:tabs>
          <w:tab w:leader="none" w:pos="4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660" w:right="520" w:hanging="652"/>
        <w:spacing w:after="0" w:line="250" w:lineRule="auto"/>
        <w:tabs>
          <w:tab w:leader="none" w:pos="3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ind w:left="660" w:right="200" w:hanging="652"/>
        <w:spacing w:after="0" w:line="250" w:lineRule="auto"/>
        <w:tabs>
          <w:tab w:leader="none" w:pos="362"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400" w:hanging="392"/>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three months ended March 31, 2022 excludes $6.3 million of unrealized gains on interest rate derivatives not designated as hedging instruments.</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Includes depreciation of Co-60 held at gamma irradiation sites.</w:t>
      </w:r>
    </w:p>
    <w:p>
      <w:pPr>
        <w:spacing w:after="0" w:line="9" w:lineRule="exact"/>
        <w:rPr>
          <w:rFonts w:ascii="Arial" w:cs="Arial" w:eastAsia="Arial" w:hAnsi="Arial"/>
          <w:sz w:val="18"/>
          <w:szCs w:val="18"/>
          <w:color w:val="231F20"/>
        </w:rPr>
      </w:pPr>
    </w:p>
    <w:p>
      <w:pPr>
        <w:ind w:left="660" w:right="740" w:hanging="652"/>
        <w:spacing w:after="0" w:line="260" w:lineRule="auto"/>
        <w:tabs>
          <w:tab w:leader="none" w:pos="452"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difference between income tax provision or benefit as determined under U.S. GAAP and the income tax provision or benefit associated with pre-tax adjustments described in footnote (j).</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4" w:name="page35"/>
    <w:bookmarkEnd w:id="34"/>
    <w:p>
      <w:pPr>
        <w:ind w:left="660" w:right="660" w:hanging="652"/>
        <w:spacing w:after="0" w:line="342" w:lineRule="auto"/>
        <w:tabs>
          <w:tab w:leader="none" w:pos="4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$19.8 million and $20.7 million of the adjustments for the three months ended March 31, 2022 and 2021, respectively, are included in cost of revenues, primarily consisting of amortization of intangible assets, depreciation, and accretion of asset retirement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reportable segments please refer to Note 18, “Segment Information”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Segment Results for the Three Months Ended March 31, 2022 and 2021</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compare segment net revenue and segment income for the three months ended March 31, 2022 to the three months ended March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8"/>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149,462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131,151</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34,002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25,918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53,290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55,079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79,403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68,461</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18,903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13,786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17,043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23,070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53.1 %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52.2 %</w:t>
            </w:r>
          </w:p>
        </w:tc>
        <w:tc>
          <w:tcPr>
            <w:tcW w:w="29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32.0 %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41.9 %</w:t>
            </w:r>
          </w:p>
        </w:tc>
        <w:tc>
          <w:tcPr>
            <w:tcW w:w="2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Sterigenics net revenues were $149.5 million for the three months ended March 31, 2022, an increase of $18.3 million, or 14.0%, as compared to the three months ended March 31, 2021. The increase reflects volume growth of 9.8%, a favorable impact from pricing of 5.4%, offset by unfavorable impacts from changes in foreign currency exchange rates of 1.2%.</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Nordion net revenues were $34.0 million for the three months ended March 31, 2022, an increase of $8.1 million, or 31.2%, as compared to the three months ended March 31, 2021. The increase was driven by volume growth of 24.4% and favorable pricing of 6.9%.</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Nelson Labs net revenues were $53.3 million for the three months ended March 31, 2022, a decrease of $1.8 million, or 3.2%, as compared to the three months ended March 31, 2021. The decrease was mainly attributable to a 10.8% decline in revenue from pandemic-related testing coupled with a decrease in volumes across other testing categories due to the impact of labor challenges, which were compounded by the Omicron surge in the first quarter of 2022. Partially offsetting this decline was revenue growth from the 2021 acquisitions of RCA and BioScience Labs of 8.4% and a positive impact from pricing of 4.3%.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Sterigenics segment income was $79.4 million for the three months ended March 31, 2022, an increase of $10.9 million, or 16.0%, as compared to the three months ended March 31, 2021. The increase in segment income was primarily a result of sales volume growth and favorable customer pricing, as referenced above.</w:t>
      </w:r>
    </w:p>
    <w:p>
      <w:pPr>
        <w:spacing w:after="0" w:line="18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Nordion segment income was $18.9 million for the three months ended March 31, 2022, an increase of $5.1 million, or 37.1%, as compared to the three months ended March 31, 2021. The increase in segment income was due to the favorable impacts of volume growth and customer pricing, as referenced above.</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Nelson Labs segment income was $17.0 million for the three months ended March 31, 2022, a decrease of $6.0 million, or 26.1%, as compared to the three months ended March 31, 2021, primarily attributable to the decline in pandemic-related testing. This decrease was partially offset by the incremental contribution of the BioScience Labs and RCA acquisitions and favorable customer pricing. The 9.9% decrease in segment income margin was driven by an unfavorable mix associated with reduced demand for pandemic-related testing, labor market constraints and supply chain pressures, which were compounded by the surge of the Omicron variant, and dilution resulting from the 2021 Nelson Labs acquisitions.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make capital expenditures, including investments in fixed assets to</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color w:val="auto"/>
        </w:rPr>
        <w:t>build and/or expand existing facilities, to fund suitable business acquisitions, service our debt, and make expenditures for other general corporate purposes.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we had $121.4 million of cash and cash equivalents. This is an increase of $14.5 million from the balance at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foreign subsidiaries held cash of approximately $89.2 million at March 31, 2022 and $87.9 million at December 31, 2021, to meet their liquidity needs.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material restrictions exist to accessing cash held by our foreign subsidiaries notwithstanding any potential tax consequences.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Co-60 development projects and information technology enhancements. During the three months ended March 31, 2022, our capital expenditures amounted to $35.5 million, compared to $20.9 million for the three months ended March 31, 2021.</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for at least the next twelve months. Our primary long-term liquidity requirements beyond the next twelve months will be to service our debt, make capital expenditures, and fund suitable business acquisitions. As of March 31, 2022,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March 31, 2022, our interest rate caps limit our cash flow exposure related to LIBOR for the total principal amount outstanding on our variable rate borrowings under the Term Loan. Refer to Note 17, “Financial Instruments and Financial Risk” under the heading “Derivative Instruments” for additional information regarding the interest rate caps used to manage economic risks associated with our variable rate borrowings.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the Three Months Ended March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49,967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56,159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r>
      <w:tr>
        <w:trPr>
          <w:trHeight w:val="243"/>
        </w:trPr>
        <w:tc>
          <w:tcPr>
            <w:tcW w:w="20" w:type="dxa"/>
            <w:vAlign w:val="bottom"/>
          </w:tcPr>
          <w:p>
            <w:pPr>
              <w:spacing w:after="0"/>
              <w:rPr>
                <w:sz w:val="21"/>
                <w:szCs w:val="21"/>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63"/>
        </w:trPr>
        <w:tc>
          <w:tcPr>
            <w:tcW w:w="2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 including restricted cash, during the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Cash flows provided by operating activities decreased $6.2 million to net cash provided of $50.0 million for the three months ended March 31, 2022 compared to $56.2 million for the three months ended March 31, 2021. The decrease in cash flows from operating activities in the three months ended March 31, 2022 compared to the three months ended March 31, 2021 was driven primarily by an increase in cash used for changes in working capital of $12.0 million offset by a $3.9 million decrease in cash paid for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used by investing activities decreased $11.0 million to net cash used of $35.5 million for the three months ended March 31, 2022 compared to $46.5 million for the three months ended March 31, 2021. 2021 included cash paid for acquisitions of $25.6 million which did not recur in 2022. We acquired BioScience Labs on March 8, 2021 for a net purchase price of approximately $13.2 million and completed the acquisition of the remaining 15% ownership of Nelson Labs Fairfield on March 11, 2021 for $12.4 million. Partially offsetting this decline was an increase in capital expenditures of $14.6 million in the first quarter of 2022 compared to the first quarter of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Cash used for financing activities decreased $3.4 million to net cash used of $0.4 million for the three months ended March 31, 2022 compared to $3.8 million for the three months ended March 31, 2021. The difference was mainly attributable to the payment of $3.4 million of debt issuance costs in the three months ended March 31, 2021 in connection with our January 2021 refinancing of the Senior Secured Credit Facilities as described in “Debt Facilities”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March 31, 2022 and December 31, 2021, total borrowings under the Term Loan were $1,763.1 million and there were no borrowings outstanding on the Revolving Credit Facility. The weighted average interest rate on borrowings under the Term Loan for the three months ended March 31, 2022 and March 31, 2021 was 3.25% and 3.73%, respectively.</w:t>
      </w:r>
    </w:p>
    <w:p>
      <w:pPr>
        <w:spacing w:after="0" w:line="19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w:t>
      </w:r>
    </w:p>
    <w:p>
      <w:pPr>
        <w:spacing w:after="0" w:line="16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March 31, 2022 and December 31, 2021, capitalized debt issuance costs totaled $2.5 million and $2.7 million, respectively, and debt discounts totaled $16.5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March 31, 2022, we were in compliance with all the Senior Secured Credit Facilities covenants.</w:t>
      </w:r>
    </w:p>
    <w:p>
      <w:pPr>
        <w:spacing w:after="0" w:line="18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jc w:val="both"/>
        <w:ind w:right="34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March 31, 2022, the Company had $69.2 million of letters of credit issued against the Revolving Credit Facility, resulting in total availability under the Revolving Credit Facility of $278.3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The Company utilizes interest rate derivatives to eliminate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for the year ended December 31, 2021.</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 comprehensive discussion of the Company’s critical accounting policies and management estimates made in connection with the preparation of the financial statements is included in Item 7 of our Annual Report on Form 10-K for the year ended December 31, 2021. There have been no significant changes in critical accounting policies, management estimates or accounting policies since the year ended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Market risks are described within “Quantitative and Qualitative Disclosures About Market Risk” in Part II, Item 7A of our Annual Report on Form 10-K for the year ended December 31, 2021. These market risks have not materially changed for the three months ended March 31,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March 31, 2022,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43" w:right="5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16 “Commitments and Contingencies” of Our Consolidated Financial Statements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Note 16, “Commitments and Contingencies” to our consolidated financial statements for the three months ended March 31, 2022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 “Commitments and Contingencies” for information regarding the following legal proceedings, which information is incorporated into this item by reference:</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 Claim (NRU Outage)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Ethylene Oxide Tort Litigation – Illinois and Georgia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Georgia Facility Operations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Mexico Attorney General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16 “Commitments and Contingencies” to Our Consolidated Financial Statements</w:t>
      </w:r>
    </w:p>
    <w:p>
      <w:pPr>
        <w:spacing w:after="0" w:line="13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addition to the matters that are identified in Note 16 “Commitments and Contingencies” to our consolidated financial statements for the three months ended March 31, 2022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2010, the Dutch Public Prosecution Service started criminal proceedings against DEROSS Holding B.V. (“DEROSS”),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(US$0.9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€0.6 million (US$0.7 million).</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The appeal procedure is still pending.</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escrow account was established in 2011 to satisfy indemnity claims for losses related to this matter. The balance of the special escrow at March 31, 2022, was approximately US$1.9 million and the cash collateral held by ABN Amro to provide security for the claims against us was approximately €2.4 million (US$2.7 million) as of March 31, 2022. These amounts are available to satisfy claims relating to the ongoing matter through its anticipated resolution. At this time, we expect that the appeal of this matter will likely take several years to resolve; however, we believe the indemnification receivable continues to be recoverable and plan to ensure escrow funds remain in place to cover outcomes of an appeal.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spacing w:after="0" w:line="259" w:lineRule="auto"/>
        <w:rPr>
          <w:sz w:val="20"/>
          <w:szCs w:val="20"/>
          <w:color w:val="auto"/>
        </w:rPr>
      </w:pPr>
      <w:r>
        <w:rPr>
          <w:rFonts w:ascii="Arial" w:cs="Arial" w:eastAsia="Arial" w:hAnsi="Arial"/>
          <w:sz w:val="18"/>
          <w:szCs w:val="18"/>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or us. We have not provided for a contingency reserve in connection with any civil claims as we are unable to determine the likelihood of an unfavorable outcome and no reasonable estimate of a loss or range of losses, if any, can be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Part I, Item 1A of our 2021 Form 10-K for a detailed discussion of risk factors affecting us.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Furnished/Filed</w:t>
            </w: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pursuant to</w:t>
              </w:r>
            </w:hyperlink>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Certification of Principal Financial Officer pursuant to</w:t>
              </w:r>
            </w:hyperlink>
          </w:p>
        </w:tc>
        <w:tc>
          <w:tcPr>
            <w:tcW w:w="5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280" w:type="dxa"/>
            <w:vAlign w:val="bottom"/>
            <w:gridSpan w:val="4"/>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Certifications of Principal Executive Officer and Principal</w:t>
              </w:r>
            </w:hyperlink>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Financial Officer pursuant to 18 U.S.C. Section 1350, as</w:t>
              </w:r>
            </w:hyperlink>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adopted pursuant to Section 906 of the Sarbanes-Oxley Act</w:t>
              </w:r>
            </w:hyperlink>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of 2002</w:t>
              </w:r>
            </w:hyperlink>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280" w:type="dxa"/>
            <w:vAlign w:val="bottom"/>
            <w:gridSpan w:val="4"/>
          </w:tcPr>
          <w:p>
            <w:pPr>
              <w:spacing w:after="0"/>
              <w:rPr>
                <w:sz w:val="20"/>
                <w:szCs w:val="20"/>
                <w:color w:val="auto"/>
              </w:rPr>
            </w:pPr>
            <w:r>
              <w:rPr>
                <w:rFonts w:ascii="Arial" w:cs="Arial" w:eastAsia="Arial" w:hAnsi="Arial"/>
                <w:sz w:val="18"/>
                <w:szCs w:val="18"/>
                <w:color w:val="auto"/>
                <w:w w:val="99"/>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because its XBRL tags are embedded within the Inline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4000" w:hanging="127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7" w:lineRule="exact"/>
        <w:rPr>
          <w:sz w:val="20"/>
          <w:szCs w:val="20"/>
          <w:color w:val="auto"/>
        </w:rPr>
      </w:pPr>
    </w:p>
    <w:p>
      <w:pPr>
        <w:sectPr>
          <w:pgSz w:w="11900" w:h="16838" w:orient="portrait"/>
          <w:cols w:equalWidth="0" w:num="2">
            <w:col w:w="9660" w:space="720"/>
            <w:col w:w="860"/>
          </w:cols>
          <w:pgMar w:left="320" w:top="1255"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20"/>
              <w:spacing w:after="0"/>
              <w:rPr>
                <w:sz w:val="20"/>
                <w:szCs w:val="20"/>
                <w:color w:val="auto"/>
              </w:rPr>
            </w:pPr>
            <w:r>
              <w:rPr>
                <w:rFonts w:ascii="Arial" w:cs="Arial" w:eastAsia="Arial" w:hAnsi="Arial"/>
                <w:sz w:val="18"/>
                <w:szCs w:val="18"/>
                <w:color w:val="auto"/>
              </w:rPr>
              <w:t>/s/ Scott J. Leffler</w:t>
            </w:r>
          </w:p>
        </w:tc>
      </w:tr>
      <w:tr>
        <w:trPr>
          <w:trHeight w:val="27"/>
        </w:trPr>
        <w:tc>
          <w:tcPr>
            <w:tcW w:w="7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Scott J. Leffler</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760" w:type="dxa"/>
            <w:vAlign w:val="bottom"/>
          </w:tcPr>
          <w:p>
            <w:pPr>
              <w:spacing w:after="0"/>
              <w:rPr>
                <w:sz w:val="23"/>
                <w:szCs w:val="23"/>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Scott J. Leffler,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Company’s Quarterly Report on Form 10-Q for the quarter ended March 31, 2022 fully complies with the requirements of Section 13(a) or 15(d) of the Securities Exchange Act of 1934 and information contained in the Form 10-Q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May 5,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May 5,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B. Petras,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J. Leffler</w:t>
      </w:r>
    </w:p>
    <w:p>
      <w:pPr>
        <w:spacing w:after="0" w:line="216" w:lineRule="auto"/>
        <w:rPr>
          <w:sz w:val="20"/>
          <w:szCs w:val="20"/>
          <w:color w:val="auto"/>
        </w:rPr>
      </w:pPr>
      <w:r>
        <w:rPr>
          <w:rFonts w:ascii="Arial" w:cs="Arial" w:eastAsia="Arial" w:hAnsi="Arial"/>
          <w:sz w:val="18"/>
          <w:szCs w:val="18"/>
          <w:color w:val="auto"/>
        </w:rPr>
        <w:t>Scott J. Leffler</w:t>
      </w:r>
    </w:p>
    <w:p>
      <w:pPr>
        <w:spacing w:after="0" w:line="216" w:lineRule="auto"/>
        <w:rPr>
          <w:sz w:val="20"/>
          <w:szCs w:val="20"/>
          <w:color w:val="auto"/>
        </w:rPr>
      </w:pPr>
      <w:r>
        <w:rPr>
          <w:rFonts w:ascii="Arial" w:cs="Arial" w:eastAsia="Arial" w:hAnsi="Arial"/>
          <w:sz w:val="17"/>
          <w:szCs w:val="17"/>
          <w:color w:val="auto"/>
        </w:rPr>
        <w:t>Title: Chief Financial Officer and Treasurer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19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4"/>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
      <w:numFmt w:val="bullet"/>
      <w:start w:val="1"/>
    </w:lvl>
    <w:lvl w:ilvl="1">
      <w:lvlJc w:val="left"/>
      <w:lvlText w:val="%2"/>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2022-05-05T16:33:04Z</dcterms:created>
  <dcterms:modified xsi:type="dcterms:W3CDTF">2022-05-05T16:33:04Z</dcterms:modified>
</cp:coreProperties>
</file>