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Sotera Health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LP ("Sculptor"), a Delaware limited partnership, is the principal investment manager to a number of private funds and discretionary accounts (collectively, the "Accounts").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II LP ("Sculptor-II"), a Delaware limited partnership that is wholly owned by Sculptor, also serves as the investment manager to certain of the Accounts. The Ordinary Shares reported in this Schedule 13G are held in the Account(s) managed by Sculptor and Sculptor-II.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Holding Corp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Holding Corporation ("SCHC"), a Delaware corporation, serves as the general partner of Sculptor.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Holding 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Holding II LLC ("SCHC-II"), a Delaware limited liability company that is wholly owned by Sculptor, serves as the general partner of Sculptor-II.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Capital Management,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Capital Management, Inc. ("SCU"), a Delaware limited liability company, is a holding company that is the sole shareholder of SCHC and the ultimate parent company of Sculptor and Sculptor-II.</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Sculptor Master Fund,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24,000,000.00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Sculptor Master Fund, Ltd. ("SCMF") is a Cayman Islands company. Sculptor is the investment adviser to SCMF.</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Sotera Health Company</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9100 South Hills Blvd, Suite 300, Broadview Heights, Ohio 44147</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Sculptor Capital LP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9 West 57th Street, 40th Floor,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(g)</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(h)</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(j)</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(k)</w:t>
            </w:r>
          </w:p>
        </w:tc>
        <w:tc>
          <w:tcPr>
            <w:tcW w:w="8893"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9048" w:type="dxa"/>
            <w:gridSpan w:val="2"/>
            <w:tcBorders/>
            <w:vAlign w:val="center"/>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24,000,000</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8.41%  %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24,000,000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24,000,000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Sculptor and Sculptor-II serve as the principal investment managers to the Accounts and thus may be deemed beneficial owners of the Units/Ordinary Shares in the Accounts managed by Sculptor and Sculptor-II. SCHC-II serves as the sole general partner of Sculptor-II and is wholly owned by Sculptor. SCHC serves as the sole general partner of Sculptor. As such, SCHC and SCHC-II may be deemed to control Sculptor as well as Sculptor-II and, therefore, may be deemed to be the beneficial owners of the Ordinary Shares reported in this Schedule 13G. SCU is the sole shareholder of SCHC, and, for purposes of this Schedule 13G, may be deemed a beneficial owner of the Ordinary Shares reported herein. In accordance with SEC Release No. 34-39538 (January 12, 1998) (the "Release"), this Schedule 13G reflects the securities beneficially owned, or deemed to be beneficially owned, by certain business units (collectively, the "Reporting Business Units") of Sculptor Capital LP and its subsidiaries and affiliates. It does not include securities, if any, beneficially owned by other business units whose beneficial ownership of securities are disaggregated from that of the Reporting Business Units in accordance with the Release. The percentages reported in this Schedule 13G have been calculated based on 285,374,795 Common Stock outstanding, as set forth in the Issuer's 10-Q filed August 6th, 2026.</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8.</w:t>
            </w:r>
          </w:p>
        </w:tc>
        <w:tc>
          <w:tcPr>
            <w:tcW w:w="88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6</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9.</w:t>
            </w:r>
          </w:p>
        </w:tc>
        <w:tc>
          <w:tcPr>
            <w:tcW w:w="88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Sculptor Capital LP</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Sculptor Capital II LP</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Sculptor Capital Holding Corp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Sculptor Capital Holding II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Sculptor Capital Management, Inc.</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Sculptor Master Fund, Ltd.</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Wayne Cohen</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Wayne Cohen /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1928</Words>
  <Characters>10105</Characters>
  <CharactersWithSpaces>11923</CharactersWithSpaces>
  <Paragraphs>399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